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 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25" w:lineRule="exact"/>
        <w:rPr>
          <w:sz w:val="24"/>
          <w:szCs w:val="24"/>
          <w:color w:val="auto"/>
        </w:rPr>
      </w:pPr>
    </w:p>
    <w:p>
      <w:pPr>
        <w:ind w:left="700" w:right="220" w:hanging="692"/>
        <w:spacing w:after="0" w:line="256" w:lineRule="auto"/>
        <w:tabs>
          <w:tab w:leader="none" w:pos="7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March 31, 2001</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06" w:lineRule="exact"/>
        <w:rPr>
          <w:sz w:val="24"/>
          <w:szCs w:val="24"/>
          <w:color w:val="auto"/>
        </w:rPr>
      </w:pPr>
    </w:p>
    <w:p>
      <w:pPr>
        <w:ind w:left="700" w:right="220" w:hanging="692"/>
        <w:spacing w:after="0" w:line="256" w:lineRule="auto"/>
        <w:tabs>
          <w:tab w:leader="none" w:pos="24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6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Commission file number 1-4298</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80010</wp:posOffset>
            </wp:positionV>
            <wp:extent cx="28511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150" cy="342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4580" w:type="dxa"/>
            <w:vAlign w:val="bottom"/>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6840" w:type="dxa"/>
            <w:vAlign w:val="bottom"/>
            <w:gridSpan w:val="3"/>
          </w:tcPr>
          <w:p>
            <w:pPr>
              <w:jc w:val="right"/>
              <w:ind w:right="1652"/>
              <w:spacing w:after="0"/>
              <w:rPr>
                <w:sz w:val="20"/>
                <w:szCs w:val="20"/>
                <w:color w:val="auto"/>
              </w:rPr>
            </w:pPr>
            <w:r>
              <w:rPr>
                <w:rFonts w:ascii="Arial" w:cs="Arial" w:eastAsia="Arial" w:hAnsi="Arial"/>
                <w:sz w:val="22"/>
                <w:szCs w:val="22"/>
                <w:b w:val="1"/>
                <w:bCs w:val="1"/>
                <w:color w:val="auto"/>
              </w:rPr>
              <w:t>95-1934119</w:t>
            </w:r>
          </w:p>
        </w:tc>
      </w:tr>
      <w:tr>
        <w:trPr>
          <w:trHeight w:val="98"/>
        </w:trPr>
        <w:tc>
          <w:tcPr>
            <w:tcW w:w="4580" w:type="dxa"/>
            <w:vAlign w:val="bottom"/>
            <w:tcBorders>
              <w:bottom w:val="single" w:sz="8" w:color="9A9A9A"/>
            </w:tcBorders>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r>
      <w:tr>
        <w:trPr>
          <w:trHeight w:val="323"/>
        </w:trPr>
        <w:tc>
          <w:tcPr>
            <w:tcW w:w="4580" w:type="dxa"/>
            <w:vAlign w:val="bottom"/>
          </w:tcPr>
          <w:p>
            <w:pPr>
              <w:jc w:val="center"/>
              <w:spacing w:after="0"/>
              <w:rPr>
                <w:sz w:val="20"/>
                <w:szCs w:val="20"/>
                <w:color w:val="auto"/>
              </w:rPr>
            </w:pPr>
            <w:r>
              <w:rPr>
                <w:rFonts w:ascii="Arial" w:cs="Arial" w:eastAsia="Arial" w:hAnsi="Arial"/>
                <w:sz w:val="22"/>
                <w:szCs w:val="22"/>
                <w:color w:val="auto"/>
                <w:w w:val="90"/>
              </w:rPr>
              <w:t>(State or other jurisdiction of</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22"/>
                <w:szCs w:val="22"/>
                <w:color w:val="auto"/>
                <w:w w:val="92"/>
              </w:rPr>
              <w:t>(I.R.S. Employer Identification No.)</w:t>
            </w:r>
          </w:p>
        </w:tc>
      </w:tr>
      <w:tr>
        <w:trPr>
          <w:trHeight w:val="275"/>
        </w:trPr>
        <w:tc>
          <w:tcPr>
            <w:tcW w:w="4580" w:type="dxa"/>
            <w:vAlign w:val="bottom"/>
          </w:tcPr>
          <w:p>
            <w:pPr>
              <w:jc w:val="center"/>
              <w:spacing w:after="0"/>
              <w:rPr>
                <w:sz w:val="20"/>
                <w:szCs w:val="20"/>
                <w:color w:val="auto"/>
              </w:rPr>
            </w:pPr>
            <w:r>
              <w:rPr>
                <w:rFonts w:ascii="Arial" w:cs="Arial" w:eastAsia="Arial" w:hAnsi="Arial"/>
                <w:sz w:val="22"/>
                <w:szCs w:val="22"/>
                <w:color w:val="auto"/>
                <w:w w:val="91"/>
              </w:rPr>
              <w:t>Incorporation or Organization)</w:t>
            </w:r>
          </w:p>
        </w:tc>
        <w:tc>
          <w:tcPr>
            <w:tcW w:w="1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560" w:type="dxa"/>
            <w:vAlign w:val="bottom"/>
          </w:tcPr>
          <w:p>
            <w:pPr>
              <w:spacing w:after="0"/>
              <w:rPr>
                <w:sz w:val="23"/>
                <w:szCs w:val="23"/>
                <w:color w:val="auto"/>
              </w:rPr>
            </w:pPr>
          </w:p>
        </w:tc>
      </w:tr>
      <w:tr>
        <w:trPr>
          <w:trHeight w:val="486"/>
        </w:trPr>
        <w:tc>
          <w:tcPr>
            <w:tcW w:w="4580" w:type="dxa"/>
            <w:vAlign w:val="bottom"/>
          </w:tcPr>
          <w:p>
            <w:pPr>
              <w:spacing w:after="0"/>
              <w:rPr>
                <w:sz w:val="20"/>
                <w:szCs w:val="20"/>
                <w:color w:val="auto"/>
              </w:rPr>
            </w:pPr>
            <w:r>
              <w:rPr>
                <w:rFonts w:ascii="Arial" w:cs="Arial" w:eastAsia="Arial" w:hAnsi="Arial"/>
                <w:sz w:val="22"/>
                <w:szCs w:val="22"/>
                <w:b w:val="1"/>
                <w:bCs w:val="1"/>
                <w:color w:val="auto"/>
                <w:w w:val="95"/>
              </w:rPr>
              <w:t>5755 Kearny Villa Road, San Diego, California</w:t>
            </w:r>
          </w:p>
        </w:tc>
        <w:tc>
          <w:tcPr>
            <w:tcW w:w="6840" w:type="dxa"/>
            <w:vAlign w:val="bottom"/>
            <w:gridSpan w:val="3"/>
          </w:tcPr>
          <w:p>
            <w:pPr>
              <w:jc w:val="right"/>
              <w:ind w:right="2192"/>
              <w:spacing w:after="0"/>
              <w:rPr>
                <w:sz w:val="20"/>
                <w:szCs w:val="20"/>
                <w:color w:val="auto"/>
              </w:rPr>
            </w:pPr>
            <w:r>
              <w:rPr>
                <w:rFonts w:ascii="Arial" w:cs="Arial" w:eastAsia="Arial" w:hAnsi="Arial"/>
                <w:sz w:val="22"/>
                <w:szCs w:val="22"/>
                <w:b w:val="1"/>
                <w:bCs w:val="1"/>
                <w:color w:val="auto"/>
              </w:rPr>
              <w:t>92123-1111</w:t>
            </w:r>
          </w:p>
        </w:tc>
      </w:tr>
      <w:tr>
        <w:trPr>
          <w:trHeight w:val="98"/>
        </w:trPr>
        <w:tc>
          <w:tcPr>
            <w:tcW w:w="45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r>
      <w:tr>
        <w:trPr>
          <w:trHeight w:val="355"/>
        </w:trPr>
        <w:tc>
          <w:tcPr>
            <w:tcW w:w="4580" w:type="dxa"/>
            <w:vAlign w:val="bottom"/>
          </w:tcPr>
          <w:p>
            <w:pPr>
              <w:spacing w:after="0"/>
              <w:rPr>
                <w:sz w:val="20"/>
                <w:szCs w:val="20"/>
                <w:color w:val="auto"/>
              </w:rPr>
            </w:pPr>
            <w:r>
              <w:rPr>
                <w:rFonts w:ascii="Arial" w:cs="Arial" w:eastAsia="Arial" w:hAnsi="Arial"/>
                <w:sz w:val="22"/>
                <w:szCs w:val="22"/>
                <w:color w:val="auto"/>
              </w:rPr>
              <w:t>(Address of principal executive office)</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tcPr>
          <w:p>
            <w:pPr>
              <w:ind w:left="1280"/>
              <w:spacing w:after="0"/>
              <w:rPr>
                <w:sz w:val="20"/>
                <w:szCs w:val="20"/>
                <w:color w:val="auto"/>
              </w:rPr>
            </w:pPr>
            <w:r>
              <w:rPr>
                <w:rFonts w:ascii="Arial" w:cs="Arial" w:eastAsia="Arial" w:hAnsi="Arial"/>
                <w:sz w:val="22"/>
                <w:szCs w:val="22"/>
                <w:color w:val="auto"/>
              </w:rPr>
              <w:t>(Zip Code)</w:t>
            </w:r>
          </w:p>
        </w:tc>
      </w:tr>
      <w:tr>
        <w:trPr>
          <w:trHeight w:val="486"/>
        </w:trPr>
        <w:tc>
          <w:tcPr>
            <w:tcW w:w="4580" w:type="dxa"/>
            <w:vAlign w:val="bottom"/>
          </w:tcPr>
          <w:p>
            <w:pPr>
              <w:spacing w:after="0"/>
              <w:rPr>
                <w:sz w:val="20"/>
                <w:szCs w:val="20"/>
                <w:color w:val="auto"/>
              </w:rPr>
            </w:pPr>
            <w:r>
              <w:rPr>
                <w:rFonts w:ascii="Arial" w:cs="Arial" w:eastAsia="Arial" w:hAnsi="Arial"/>
                <w:sz w:val="22"/>
                <w:szCs w:val="22"/>
                <w:color w:val="auto"/>
                <w:w w:val="90"/>
              </w:rPr>
              <w:t>Registrant’s telephone number, including area code</w:t>
            </w:r>
          </w:p>
        </w:tc>
        <w:tc>
          <w:tcPr>
            <w:tcW w:w="6840" w:type="dxa"/>
            <w:vAlign w:val="bottom"/>
            <w:gridSpan w:val="3"/>
          </w:tcPr>
          <w:p>
            <w:pPr>
              <w:jc w:val="right"/>
              <w:ind w:right="2072"/>
              <w:spacing w:after="0"/>
              <w:rPr>
                <w:sz w:val="20"/>
                <w:szCs w:val="20"/>
                <w:color w:val="auto"/>
              </w:rPr>
            </w:pPr>
            <w:r>
              <w:rPr>
                <w:rFonts w:ascii="Arial" w:cs="Arial" w:eastAsia="Arial" w:hAnsi="Arial"/>
                <w:sz w:val="22"/>
                <w:szCs w:val="22"/>
                <w:b w:val="1"/>
                <w:bCs w:val="1"/>
                <w:color w:val="auto"/>
              </w:rPr>
              <w:t>858-541-5194</w:t>
            </w:r>
          </w:p>
        </w:tc>
      </w:tr>
      <w:tr>
        <w:trPr>
          <w:trHeight w:val="98"/>
        </w:trPr>
        <w:tc>
          <w:tcPr>
            <w:tcW w:w="4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-1392555</wp:posOffset>
            </wp:positionV>
            <wp:extent cx="342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-1392555</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-629285</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3"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right"/>
        <w:spacing w:after="0"/>
        <w:tabs>
          <w:tab w:leader="none" w:pos="600" w:val="left"/>
        </w:tabs>
        <w:rPr>
          <w:sz w:val="20"/>
          <w:szCs w:val="20"/>
          <w:color w:val="auto"/>
        </w:rPr>
      </w:pPr>
      <w:r>
        <w:rPr>
          <w:rFonts w:ascii="Arial" w:cs="Arial" w:eastAsia="Arial" w:hAnsi="Arial"/>
          <w:sz w:val="22"/>
          <w:szCs w:val="22"/>
          <w:color w:val="auto"/>
        </w:rPr>
        <w:t>Yes [X]</w:t>
      </w:r>
      <w:r>
        <w:rPr>
          <w:sz w:val="20"/>
          <w:szCs w:val="20"/>
          <w:color w:val="auto"/>
        </w:rPr>
        <w:tab/>
      </w:r>
      <w:r>
        <w:rPr>
          <w:rFonts w:ascii="Arial" w:cs="Arial" w:eastAsia="Arial" w:hAnsi="Arial"/>
          <w:sz w:val="22"/>
          <w:szCs w:val="22"/>
          <w:color w:val="auto"/>
        </w:rPr>
        <w:t>No [  ]</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As of March 31, 2001 the Registrant had 20,355,609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4"/>
          <w:szCs w:val="24"/>
          <w:color w:val="auto"/>
        </w:rPr>
      </w:pPr>
    </w:p>
    <w:p>
      <w:pPr>
        <w:ind w:left="58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Part I Financial Information</w:t>
        </w:r>
      </w:hyperlink>
    </w:p>
    <w:p>
      <w:pPr>
        <w:spacing w:after="0" w:line="8" w:lineRule="exact"/>
        <w:rPr>
          <w:sz w:val="24"/>
          <w:szCs w:val="24"/>
          <w:color w:val="auto"/>
        </w:rPr>
      </w:pPr>
    </w:p>
    <w:p>
      <w:pPr>
        <w:ind w:left="900" w:right="820"/>
        <w:spacing w:after="0" w:line="241" w:lineRule="auto"/>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Item 1. Condensed Consolidated Balance Sheets (Unaudited) March 31, 2001 and December 31, 2000</w:t>
        </w:r>
      </w:hyperlink>
      <w:r>
        <w:rPr>
          <w:rFonts w:ascii="Arial" w:cs="Arial" w:eastAsia="Arial" w:hAnsi="Arial"/>
          <w:sz w:val="21"/>
          <w:szCs w:val="21"/>
          <w:u w:val="single" w:color="auto"/>
          <w:color w:val="0000EE"/>
        </w:rPr>
        <w:t xml:space="preserve"> </w:t>
      </w:r>
      <w:hyperlink w:anchor="page3">
        <w:r>
          <w:rPr>
            <w:rFonts w:ascii="Arial" w:cs="Arial" w:eastAsia="Arial" w:hAnsi="Arial"/>
            <w:sz w:val="21"/>
            <w:szCs w:val="21"/>
            <w:u w:val="single" w:color="auto"/>
            <w:color w:val="0000EE"/>
          </w:rPr>
          <w:t>Condensed Consolidated Statements of Operations (Unaudited) Three Months Ended March 31, 2001 and 2000</w:t>
        </w:r>
      </w:hyperlink>
      <w:r>
        <w:rPr>
          <w:rFonts w:ascii="Arial" w:cs="Arial" w:eastAsia="Arial" w:hAnsi="Arial"/>
          <w:sz w:val="21"/>
          <w:szCs w:val="21"/>
          <w:u w:val="single" w:color="auto"/>
          <w:color w:val="0000EE"/>
        </w:rPr>
        <w:t xml:space="preserve"> </w:t>
      </w:r>
      <w:hyperlink w:anchor="page4">
        <w:r>
          <w:rPr>
            <w:rFonts w:ascii="Arial" w:cs="Arial" w:eastAsia="Arial" w:hAnsi="Arial"/>
            <w:sz w:val="21"/>
            <w:szCs w:val="21"/>
            <w:u w:val="single" w:color="auto"/>
            <w:color w:val="0000EE"/>
          </w:rPr>
          <w:t>Condensed Consolidated Statements of Cash Flows (Unaudited) Three Months Ended March 31, 2001 and 2000</w:t>
        </w:r>
      </w:hyperlink>
      <w:r>
        <w:rPr>
          <w:rFonts w:ascii="Arial" w:cs="Arial" w:eastAsia="Arial" w:hAnsi="Arial"/>
          <w:sz w:val="21"/>
          <w:szCs w:val="21"/>
          <w:u w:val="single" w:color="auto"/>
          <w:color w:val="0000EE"/>
        </w:rPr>
        <w:t xml:space="preserve"> </w:t>
      </w:r>
      <w:hyperlink w:anchor="page4">
        <w:r>
          <w:rPr>
            <w:rFonts w:ascii="Arial" w:cs="Arial" w:eastAsia="Arial" w:hAnsi="Arial"/>
            <w:sz w:val="21"/>
            <w:szCs w:val="21"/>
            <w:u w:val="single" w:color="auto"/>
            <w:color w:val="0000EE"/>
          </w:rPr>
          <w:t>Notes to Unaudited Condensed Consolidated Financial Statements</w:t>
        </w:r>
      </w:hyperlink>
    </w:p>
    <w:p>
      <w:pPr>
        <w:spacing w:after="0" w:line="2" w:lineRule="exact"/>
        <w:rPr>
          <w:rFonts w:ascii="Arial" w:cs="Arial" w:eastAsia="Arial" w:hAnsi="Arial"/>
          <w:sz w:val="21"/>
          <w:szCs w:val="21"/>
          <w:u w:val="single" w:color="auto"/>
          <w:color w:val="0000EE"/>
        </w:rPr>
      </w:pPr>
    </w:p>
    <w:p>
      <w:pPr>
        <w:ind w:left="900" w:right="21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Item 3. Quantitative and Qualitative Disclosures about Market Risk</w:t>
        </w:r>
      </w:hyperlink>
    </w:p>
    <w:p>
      <w:pPr>
        <w:ind w:left="58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Part II Other Information</w:t>
        </w:r>
      </w:hyperlink>
    </w:p>
    <w:p>
      <w:pPr>
        <w:ind w:left="90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5. Other Information</w:t>
        </w:r>
      </w:hyperlink>
    </w:p>
    <w:p>
      <w:pPr>
        <w:ind w:left="90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6. Exhibits and Reports on Form 8-K.</w:t>
        </w:r>
      </w:hyperlink>
    </w:p>
    <w:p>
      <w:pPr>
        <w:ind w:left="580"/>
        <w:spacing w:after="0"/>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COHU,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ectPr>
          <w:pgSz w:w="11900" w:h="16838" w:orient="portrait"/>
          <w:cols w:equalWidth="0" w:num="1">
            <w:col w:w="11420"/>
          </w:cols>
          <w:pgMar w:left="240" w:top="230" w:right="239" w:bottom="0" w:gutter="0" w:footer="0" w:header="0"/>
        </w:sectPr>
      </w:pPr>
    </w:p>
    <w:bookmarkStart w:id="1" w:name="page2"/>
    <w:bookmarkEnd w:id="1"/>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MARCH 31, 2001</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8"/>
              </w:rPr>
              <w:t>Part I</w:t>
            </w:r>
          </w:p>
        </w:tc>
        <w:tc>
          <w:tcPr>
            <w:tcW w:w="840" w:type="dxa"/>
            <w:vAlign w:val="bottom"/>
            <w:gridSpan w:val="3"/>
          </w:tcPr>
          <w:p>
            <w:pPr>
              <w:spacing w:after="0"/>
              <w:rPr>
                <w:sz w:val="21"/>
                <w:szCs w:val="21"/>
                <w:color w:val="auto"/>
              </w:rPr>
            </w:pPr>
          </w:p>
        </w:tc>
        <w:tc>
          <w:tcPr>
            <w:tcW w:w="6140" w:type="dxa"/>
            <w:vAlign w:val="bottom"/>
          </w:tcPr>
          <w:p>
            <w:pPr>
              <w:ind w:left="240"/>
              <w:spacing w:after="0"/>
              <w:rPr>
                <w:sz w:val="20"/>
                <w:szCs w:val="20"/>
                <w:color w:val="auto"/>
              </w:rPr>
            </w:pPr>
            <w:r>
              <w:rPr>
                <w:rFonts w:ascii="Arial" w:cs="Arial" w:eastAsia="Arial" w:hAnsi="Arial"/>
                <w:sz w:val="22"/>
                <w:szCs w:val="22"/>
                <w:b w:val="1"/>
                <w:bCs w:val="1"/>
                <w:color w:val="auto"/>
              </w:rPr>
              <w:t>Financial Information</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Page Number</w:t>
            </w:r>
          </w:p>
        </w:tc>
        <w:tc>
          <w:tcPr>
            <w:tcW w:w="0" w:type="dxa"/>
            <w:vAlign w:val="bottom"/>
          </w:tcPr>
          <w:p>
            <w:pPr>
              <w:spacing w:after="0"/>
              <w:rPr>
                <w:sz w:val="1"/>
                <w:szCs w:val="1"/>
                <w:color w:val="auto"/>
              </w:rPr>
            </w:pPr>
          </w:p>
        </w:tc>
      </w:tr>
      <w:tr>
        <w:trPr>
          <w:trHeight w:val="242"/>
        </w:trPr>
        <w:tc>
          <w:tcPr>
            <w:tcW w:w="1400" w:type="dxa"/>
            <w:vAlign w:val="bottom"/>
            <w:gridSpan w:val="4"/>
          </w:tcPr>
          <w:p>
            <w:pPr>
              <w:spacing w:after="0" w:line="242" w:lineRule="exact"/>
              <w:rPr>
                <w:sz w:val="20"/>
                <w:szCs w:val="20"/>
                <w:color w:val="auto"/>
              </w:rPr>
            </w:pPr>
            <w:r>
              <w:rPr>
                <w:rFonts w:ascii="Arial" w:cs="Arial" w:eastAsia="Arial" w:hAnsi="Arial"/>
                <w:sz w:val="22"/>
                <w:szCs w:val="22"/>
                <w:color w:val="auto"/>
              </w:rPr>
              <w:t>Item 1.</w:t>
            </w:r>
          </w:p>
        </w:tc>
        <w:tc>
          <w:tcPr>
            <w:tcW w:w="8620" w:type="dxa"/>
            <w:vAlign w:val="bottom"/>
            <w:gridSpan w:val="6"/>
          </w:tcPr>
          <w:p>
            <w:pPr>
              <w:ind w:left="240"/>
              <w:spacing w:after="0" w:line="242" w:lineRule="exact"/>
              <w:rPr>
                <w:sz w:val="20"/>
                <w:szCs w:val="20"/>
                <w:color w:val="auto"/>
              </w:rPr>
            </w:pPr>
            <w:r>
              <w:rPr>
                <w:rFonts w:ascii="Arial" w:cs="Arial" w:eastAsia="Arial" w:hAnsi="Arial"/>
                <w:sz w:val="22"/>
                <w:szCs w:val="22"/>
                <w:color w:val="auto"/>
                <w:w w:val="89"/>
              </w:rPr>
              <w:t>Condensed Consolidated Balance Sheets (Unaudited) March 31, 2001 and December 31, 2000</w:t>
            </w: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2" w:lineRule="exact"/>
              <w:rPr>
                <w:sz w:val="20"/>
                <w:szCs w:val="20"/>
                <w:color w:val="auto"/>
              </w:rPr>
            </w:pPr>
            <w:r>
              <w:rPr>
                <w:rFonts w:ascii="Arial" w:cs="Arial" w:eastAsia="Arial" w:hAnsi="Arial"/>
                <w:sz w:val="22"/>
                <w:szCs w:val="22"/>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20" w:type="dxa"/>
            <w:vAlign w:val="bottom"/>
            <w:gridSpan w:val="6"/>
          </w:tcPr>
          <w:p>
            <w:pPr>
              <w:ind w:left="240"/>
              <w:spacing w:after="0" w:line="243" w:lineRule="exact"/>
              <w:rPr>
                <w:sz w:val="20"/>
                <w:szCs w:val="20"/>
                <w:color w:val="auto"/>
              </w:rPr>
            </w:pPr>
            <w:r>
              <w:rPr>
                <w:rFonts w:ascii="Arial" w:cs="Arial" w:eastAsia="Arial" w:hAnsi="Arial"/>
                <w:sz w:val="22"/>
                <w:szCs w:val="22"/>
                <w:color w:val="auto"/>
                <w:w w:val="89"/>
              </w:rPr>
              <w:t>Condensed Consolidated Statements of Operations (Unaudited) Three Months Ended March 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40" w:type="dxa"/>
            <w:vAlign w:val="bottom"/>
          </w:tcPr>
          <w:p>
            <w:pPr>
              <w:ind w:left="240"/>
              <w:spacing w:after="0" w:line="243" w:lineRule="exact"/>
              <w:rPr>
                <w:sz w:val="20"/>
                <w:szCs w:val="20"/>
                <w:color w:val="auto"/>
              </w:rPr>
            </w:pPr>
            <w:r>
              <w:rPr>
                <w:rFonts w:ascii="Arial" w:cs="Arial" w:eastAsia="Arial" w:hAnsi="Arial"/>
                <w:sz w:val="22"/>
                <w:szCs w:val="22"/>
                <w:color w:val="auto"/>
              </w:rPr>
              <w:t>2001 and 2000</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20" w:type="dxa"/>
            <w:vAlign w:val="bottom"/>
            <w:gridSpan w:val="6"/>
          </w:tcPr>
          <w:p>
            <w:pPr>
              <w:ind w:left="240"/>
              <w:spacing w:after="0" w:line="243" w:lineRule="exact"/>
              <w:rPr>
                <w:sz w:val="20"/>
                <w:szCs w:val="20"/>
                <w:color w:val="auto"/>
              </w:rPr>
            </w:pPr>
            <w:r>
              <w:rPr>
                <w:rFonts w:ascii="Arial" w:cs="Arial" w:eastAsia="Arial" w:hAnsi="Arial"/>
                <w:sz w:val="22"/>
                <w:szCs w:val="22"/>
                <w:color w:val="auto"/>
                <w:w w:val="88"/>
              </w:rPr>
              <w:t>Condensed Consolidated Statements of Cash Flows (Unaudited) Three Months Ended March 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40" w:type="dxa"/>
            <w:vAlign w:val="bottom"/>
          </w:tcPr>
          <w:p>
            <w:pPr>
              <w:ind w:left="240"/>
              <w:spacing w:after="0" w:line="243" w:lineRule="exact"/>
              <w:rPr>
                <w:sz w:val="20"/>
                <w:szCs w:val="20"/>
                <w:color w:val="auto"/>
              </w:rPr>
            </w:pPr>
            <w:r>
              <w:rPr>
                <w:rFonts w:ascii="Arial" w:cs="Arial" w:eastAsia="Arial" w:hAnsi="Arial"/>
                <w:sz w:val="22"/>
                <w:szCs w:val="22"/>
                <w:color w:val="auto"/>
              </w:rPr>
              <w:t>2001 and 2000</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40" w:type="dxa"/>
            <w:vAlign w:val="bottom"/>
          </w:tcPr>
          <w:p>
            <w:pPr>
              <w:ind w:left="240"/>
              <w:spacing w:after="0" w:line="243" w:lineRule="exact"/>
              <w:rPr>
                <w:sz w:val="20"/>
                <w:szCs w:val="20"/>
                <w:color w:val="auto"/>
              </w:rPr>
            </w:pPr>
            <w:r>
              <w:rPr>
                <w:rFonts w:ascii="Arial" w:cs="Arial" w:eastAsia="Arial" w:hAnsi="Arial"/>
                <w:sz w:val="22"/>
                <w:szCs w:val="22"/>
                <w:color w:val="auto"/>
                <w:w w:val="90"/>
              </w:rPr>
              <w:t>Notes to Unaudited Condensed Consolidated Financial Statements</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0" w:type="dxa"/>
            <w:vAlign w:val="bottom"/>
            <w:gridSpan w:val="4"/>
          </w:tcPr>
          <w:p>
            <w:pPr>
              <w:spacing w:after="0" w:line="243" w:lineRule="exact"/>
              <w:rPr>
                <w:sz w:val="20"/>
                <w:szCs w:val="20"/>
                <w:color w:val="auto"/>
              </w:rPr>
            </w:pPr>
            <w:r>
              <w:rPr>
                <w:rFonts w:ascii="Arial" w:cs="Arial" w:eastAsia="Arial" w:hAnsi="Arial"/>
                <w:sz w:val="22"/>
                <w:szCs w:val="22"/>
                <w:color w:val="auto"/>
              </w:rPr>
              <w:t>Item 2.</w:t>
            </w:r>
          </w:p>
        </w:tc>
        <w:tc>
          <w:tcPr>
            <w:tcW w:w="8200" w:type="dxa"/>
            <w:vAlign w:val="bottom"/>
            <w:gridSpan w:val="5"/>
          </w:tcPr>
          <w:p>
            <w:pPr>
              <w:ind w:left="240"/>
              <w:spacing w:after="0" w:line="243" w:lineRule="exact"/>
              <w:rPr>
                <w:sz w:val="20"/>
                <w:szCs w:val="20"/>
                <w:color w:val="auto"/>
              </w:rPr>
            </w:pPr>
            <w:r>
              <w:rPr>
                <w:rFonts w:ascii="Arial" w:cs="Arial" w:eastAsia="Arial" w:hAnsi="Arial"/>
                <w:sz w:val="22"/>
                <w:szCs w:val="22"/>
                <w:color w:val="auto"/>
                <w:w w:val="91"/>
              </w:rPr>
              <w:t>Management’s Discussion and Analysis of Financial Condition and Results of Operations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gridSpan w:val="4"/>
          </w:tcPr>
          <w:p>
            <w:pPr>
              <w:spacing w:after="0" w:line="237" w:lineRule="exact"/>
              <w:rPr>
                <w:sz w:val="20"/>
                <w:szCs w:val="20"/>
                <w:color w:val="auto"/>
              </w:rPr>
            </w:pPr>
            <w:r>
              <w:rPr>
                <w:rFonts w:ascii="Arial" w:cs="Arial" w:eastAsia="Arial" w:hAnsi="Arial"/>
                <w:sz w:val="22"/>
                <w:szCs w:val="22"/>
                <w:color w:val="auto"/>
              </w:rPr>
              <w:t>Item 3.</w:t>
            </w:r>
          </w:p>
        </w:tc>
        <w:tc>
          <w:tcPr>
            <w:tcW w:w="6140" w:type="dxa"/>
            <w:vAlign w:val="bottom"/>
          </w:tcPr>
          <w:p>
            <w:pPr>
              <w:ind w:left="240"/>
              <w:spacing w:after="0" w:line="237" w:lineRule="exact"/>
              <w:rPr>
                <w:sz w:val="20"/>
                <w:szCs w:val="20"/>
                <w:color w:val="auto"/>
              </w:rPr>
            </w:pPr>
            <w:r>
              <w:rPr>
                <w:rFonts w:ascii="Arial" w:cs="Arial" w:eastAsia="Arial" w:hAnsi="Arial"/>
                <w:sz w:val="22"/>
                <w:szCs w:val="22"/>
                <w:color w:val="auto"/>
              </w:rPr>
              <w:t>Quantitative and Qualitative Disclosures about Market Risk</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340"/>
              <w:spacing w:after="0" w:line="237" w:lineRule="exact"/>
              <w:rPr>
                <w:sz w:val="20"/>
                <w:szCs w:val="20"/>
                <w:color w:val="auto"/>
              </w:rPr>
            </w:pPr>
            <w:r>
              <w:rPr>
                <w:rFonts w:ascii="Arial" w:cs="Arial" w:eastAsia="Arial" w:hAnsi="Arial"/>
                <w:sz w:val="22"/>
                <w:szCs w:val="22"/>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22"/>
                <w:szCs w:val="22"/>
                <w:b w:val="1"/>
                <w:bCs w:val="1"/>
                <w:color w:val="auto"/>
              </w:rPr>
              <w:t>Part II</w:t>
            </w:r>
          </w:p>
        </w:tc>
        <w:tc>
          <w:tcPr>
            <w:tcW w:w="760" w:type="dxa"/>
            <w:vAlign w:val="bottom"/>
            <w:gridSpan w:val="2"/>
          </w:tcPr>
          <w:p>
            <w:pPr>
              <w:spacing w:after="0"/>
              <w:rPr>
                <w:sz w:val="20"/>
                <w:szCs w:val="20"/>
                <w:color w:val="auto"/>
              </w:rPr>
            </w:pPr>
          </w:p>
        </w:tc>
        <w:tc>
          <w:tcPr>
            <w:tcW w:w="6140" w:type="dxa"/>
            <w:vAlign w:val="bottom"/>
          </w:tcPr>
          <w:p>
            <w:pPr>
              <w:ind w:left="240"/>
              <w:spacing w:after="0" w:line="230" w:lineRule="exact"/>
              <w:rPr>
                <w:sz w:val="20"/>
                <w:szCs w:val="20"/>
                <w:color w:val="auto"/>
              </w:rPr>
            </w:pPr>
            <w:r>
              <w:rPr>
                <w:rFonts w:ascii="Arial" w:cs="Arial" w:eastAsia="Arial" w:hAnsi="Arial"/>
                <w:sz w:val="22"/>
                <w:szCs w:val="22"/>
                <w:b w:val="1"/>
                <w:bCs w:val="1"/>
                <w:color w:val="auto"/>
              </w:rPr>
              <w:t>Other Information</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0" w:type="dxa"/>
            <w:vAlign w:val="bottom"/>
            <w:gridSpan w:val="4"/>
          </w:tcPr>
          <w:p>
            <w:pPr>
              <w:spacing w:after="0" w:line="242" w:lineRule="exact"/>
              <w:rPr>
                <w:sz w:val="20"/>
                <w:szCs w:val="20"/>
                <w:color w:val="auto"/>
              </w:rPr>
            </w:pPr>
            <w:r>
              <w:rPr>
                <w:rFonts w:ascii="Arial" w:cs="Arial" w:eastAsia="Arial" w:hAnsi="Arial"/>
                <w:sz w:val="22"/>
                <w:szCs w:val="22"/>
                <w:color w:val="auto"/>
              </w:rPr>
              <w:t>Item 5.</w:t>
            </w:r>
          </w:p>
        </w:tc>
        <w:tc>
          <w:tcPr>
            <w:tcW w:w="6140" w:type="dxa"/>
            <w:vAlign w:val="bottom"/>
          </w:tcPr>
          <w:p>
            <w:pPr>
              <w:ind w:left="240"/>
              <w:spacing w:after="0" w:line="242" w:lineRule="exact"/>
              <w:rPr>
                <w:sz w:val="20"/>
                <w:szCs w:val="20"/>
                <w:color w:val="auto"/>
              </w:rPr>
            </w:pPr>
            <w:r>
              <w:rPr>
                <w:rFonts w:ascii="Arial" w:cs="Arial" w:eastAsia="Arial" w:hAnsi="Arial"/>
                <w:sz w:val="22"/>
                <w:szCs w:val="22"/>
                <w:color w:val="auto"/>
              </w:rPr>
              <w:t>Other Information</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2" w:lineRule="exact"/>
              <w:rPr>
                <w:sz w:val="20"/>
                <w:szCs w:val="20"/>
                <w:color w:val="auto"/>
              </w:rPr>
            </w:pPr>
            <w:r>
              <w:rPr>
                <w:rFonts w:ascii="Arial" w:cs="Arial" w:eastAsia="Arial" w:hAnsi="Arial"/>
                <w:sz w:val="22"/>
                <w:szCs w:val="22"/>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0" w:type="dxa"/>
            <w:vAlign w:val="bottom"/>
            <w:gridSpan w:val="4"/>
          </w:tcPr>
          <w:p>
            <w:pPr>
              <w:spacing w:after="0" w:line="243" w:lineRule="exact"/>
              <w:rPr>
                <w:sz w:val="20"/>
                <w:szCs w:val="20"/>
                <w:color w:val="auto"/>
              </w:rPr>
            </w:pPr>
            <w:r>
              <w:rPr>
                <w:rFonts w:ascii="Arial" w:cs="Arial" w:eastAsia="Arial" w:hAnsi="Arial"/>
                <w:sz w:val="22"/>
                <w:szCs w:val="22"/>
                <w:color w:val="auto"/>
              </w:rPr>
              <w:t>Item 6.</w:t>
            </w:r>
          </w:p>
        </w:tc>
        <w:tc>
          <w:tcPr>
            <w:tcW w:w="6140" w:type="dxa"/>
            <w:vAlign w:val="bottom"/>
          </w:tcPr>
          <w:p>
            <w:pPr>
              <w:ind w:left="240"/>
              <w:spacing w:after="0" w:line="243" w:lineRule="exact"/>
              <w:rPr>
                <w:sz w:val="20"/>
                <w:szCs w:val="20"/>
                <w:color w:val="auto"/>
              </w:rPr>
            </w:pPr>
            <w:r>
              <w:rPr>
                <w:rFonts w:ascii="Arial" w:cs="Arial" w:eastAsia="Arial" w:hAnsi="Arial"/>
                <w:sz w:val="22"/>
                <w:szCs w:val="22"/>
                <w:color w:val="auto"/>
              </w:rPr>
              <w:t>Exhibits and Reports on Form 8-K</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400" w:type="dxa"/>
            <w:vAlign w:val="bottom"/>
            <w:gridSpan w:val="4"/>
          </w:tcPr>
          <w:p>
            <w:pPr>
              <w:spacing w:after="0"/>
              <w:rPr>
                <w:sz w:val="20"/>
                <w:szCs w:val="20"/>
                <w:color w:val="auto"/>
              </w:rPr>
            </w:pPr>
            <w:r>
              <w:rPr>
                <w:rFonts w:ascii="Arial" w:cs="Arial" w:eastAsia="Arial" w:hAnsi="Arial"/>
                <w:sz w:val="22"/>
                <w:szCs w:val="22"/>
                <w:color w:val="auto"/>
              </w:rPr>
              <w:t>Signatures</w:t>
            </w:r>
          </w:p>
        </w:tc>
        <w:tc>
          <w:tcPr>
            <w:tcW w:w="6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22"/>
                <w:szCs w:val="22"/>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jc w:val="center"/>
              <w:ind w:left="2377"/>
              <w:spacing w:after="0"/>
              <w:rPr>
                <w:sz w:val="20"/>
                <w:szCs w:val="20"/>
                <w:color w:val="auto"/>
              </w:rPr>
            </w:pPr>
            <w:r>
              <w:rPr>
                <w:rFonts w:ascii="Arial" w:cs="Arial" w:eastAsia="Arial" w:hAnsi="Arial"/>
                <w:sz w:val="22"/>
                <w:szCs w:val="22"/>
                <w:color w:val="auto"/>
                <w:w w:val="81"/>
              </w:rPr>
              <w:t>2</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1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1400" w:type="dxa"/>
            <w:vAlign w:val="bottom"/>
            <w:gridSpan w:val="4"/>
          </w:tcPr>
          <w:p>
            <w:pPr>
              <w:spacing w:after="0"/>
              <w:rPr>
                <w:rFonts w:ascii="Arial" w:cs="Arial" w:eastAsia="Arial" w:hAnsi="Arial"/>
                <w:sz w:val="18"/>
                <w:szCs w:val="18"/>
                <w:b w:val="1"/>
                <w:bCs w:val="1"/>
                <w:color w:val="0000EE"/>
                <w:w w:val="90"/>
              </w:rPr>
            </w:pPr>
            <w:hyperlink w:anchor="page1">
              <w:r>
                <w:rPr>
                  <w:rFonts w:ascii="Arial" w:cs="Arial" w:eastAsia="Arial" w:hAnsi="Arial"/>
                  <w:sz w:val="18"/>
                  <w:szCs w:val="18"/>
                  <w:b w:val="1"/>
                  <w:bCs w:val="1"/>
                  <w:color w:val="0000EE"/>
                  <w:w w:val="90"/>
                </w:rPr>
                <w:t>Table of Contents</w:t>
              </w:r>
            </w:hyperlink>
          </w:p>
        </w:tc>
        <w:tc>
          <w:tcPr>
            <w:tcW w:w="6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jc w:val="center"/>
              <w:ind w:left="2397"/>
              <w:spacing w:after="0"/>
              <w:rPr>
                <w:sz w:val="20"/>
                <w:szCs w:val="20"/>
                <w:color w:val="auto"/>
              </w:rPr>
            </w:pPr>
            <w:r>
              <w:rPr>
                <w:rFonts w:ascii="Arial" w:cs="Arial" w:eastAsia="Arial" w:hAnsi="Arial"/>
                <w:sz w:val="22"/>
                <w:szCs w:val="22"/>
                <w:b w:val="1"/>
                <w:bCs w:val="1"/>
                <w:color w:val="auto"/>
                <w:w w:val="99"/>
              </w:rPr>
              <w:t>COHU, INC.</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0" w:type="dxa"/>
            <w:vAlign w:val="bottom"/>
            <w:gridSpan w:val="5"/>
          </w:tcPr>
          <w:p>
            <w:pPr>
              <w:jc w:val="center"/>
              <w:ind w:left="337"/>
              <w:spacing w:after="0" w:line="249" w:lineRule="exact"/>
              <w:rPr>
                <w:sz w:val="20"/>
                <w:szCs w:val="20"/>
                <w:color w:val="auto"/>
              </w:rPr>
            </w:pPr>
            <w:r>
              <w:rPr>
                <w:rFonts w:ascii="Arial" w:cs="Arial" w:eastAsia="Arial" w:hAnsi="Arial"/>
                <w:sz w:val="22"/>
                <w:szCs w:val="22"/>
                <w:b w:val="1"/>
                <w:bCs w:val="1"/>
                <w:color w:val="auto"/>
                <w:w w:val="97"/>
              </w:rPr>
              <w:t>CONDENSED CONSOLIDATED BALANCE SHEETS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40" w:type="dxa"/>
            <w:vAlign w:val="bottom"/>
          </w:tcPr>
          <w:p>
            <w:pPr>
              <w:jc w:val="center"/>
              <w:ind w:left="2397"/>
              <w:spacing w:after="0" w:line="243" w:lineRule="exact"/>
              <w:rPr>
                <w:sz w:val="20"/>
                <w:szCs w:val="20"/>
                <w:color w:val="auto"/>
              </w:rPr>
            </w:pPr>
            <w:r>
              <w:rPr>
                <w:rFonts w:ascii="Arial" w:cs="Arial" w:eastAsia="Arial" w:hAnsi="Arial"/>
                <w:sz w:val="22"/>
                <w:szCs w:val="22"/>
                <w:color w:val="auto"/>
                <w:w w:val="90"/>
              </w:rPr>
              <w:t>(Unaudited)</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140" w:type="dxa"/>
            <w:vAlign w:val="bottom"/>
          </w:tcPr>
          <w:p>
            <w:pPr>
              <w:jc w:val="center"/>
              <w:ind w:left="2377"/>
              <w:spacing w:after="0"/>
              <w:rPr>
                <w:sz w:val="20"/>
                <w:szCs w:val="20"/>
                <w:color w:val="auto"/>
              </w:rPr>
            </w:pPr>
            <w:r>
              <w:rPr>
                <w:rFonts w:ascii="Arial" w:cs="Arial" w:eastAsia="Arial" w:hAnsi="Arial"/>
                <w:sz w:val="22"/>
                <w:szCs w:val="22"/>
                <w:color w:val="auto"/>
                <w:w w:val="87"/>
              </w:rPr>
              <w:t>(in thousands)</w:t>
            </w: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1400" w:type="dxa"/>
            <w:vAlign w:val="bottom"/>
            <w:gridSpan w:val="4"/>
          </w:tcPr>
          <w:p>
            <w:pPr>
              <w:spacing w:after="0"/>
              <w:rPr>
                <w:sz w:val="20"/>
                <w:szCs w:val="20"/>
                <w:color w:val="auto"/>
              </w:rPr>
            </w:pPr>
            <w:r>
              <w:rPr>
                <w:rFonts w:ascii="Arial" w:cs="Arial" w:eastAsia="Arial" w:hAnsi="Arial"/>
                <w:sz w:val="22"/>
                <w:szCs w:val="22"/>
                <w:b w:val="1"/>
                <w:bCs w:val="1"/>
                <w:color w:val="auto"/>
              </w:rPr>
              <w:t>ASSETS</w:t>
            </w:r>
          </w:p>
        </w:tc>
        <w:tc>
          <w:tcPr>
            <w:tcW w:w="6140" w:type="dxa"/>
            <w:vAlign w:val="bottom"/>
          </w:tcPr>
          <w:p>
            <w:pPr>
              <w:spacing w:after="0"/>
              <w:rPr>
                <w:sz w:val="24"/>
                <w:szCs w:val="24"/>
                <w:color w:val="auto"/>
              </w:rPr>
            </w:pPr>
          </w:p>
        </w:tc>
        <w:tc>
          <w:tcPr>
            <w:tcW w:w="2060" w:type="dxa"/>
            <w:vAlign w:val="bottom"/>
            <w:gridSpan w:val="4"/>
          </w:tcPr>
          <w:p>
            <w:pPr>
              <w:ind w:left="220"/>
              <w:spacing w:after="0"/>
              <w:rPr>
                <w:sz w:val="20"/>
                <w:szCs w:val="20"/>
                <w:color w:val="auto"/>
              </w:rPr>
            </w:pPr>
            <w:r>
              <w:rPr>
                <w:rFonts w:ascii="Arial" w:cs="Arial" w:eastAsia="Arial" w:hAnsi="Arial"/>
                <w:sz w:val="18"/>
                <w:szCs w:val="18"/>
                <w:b w:val="1"/>
                <w:bCs w:val="1"/>
                <w:color w:val="auto"/>
              </w:rPr>
              <w:t>March 31, 2001</w:t>
            </w:r>
          </w:p>
        </w:tc>
        <w:tc>
          <w:tcPr>
            <w:tcW w:w="1840" w:type="dxa"/>
            <w:vAlign w:val="bottom"/>
            <w:gridSpan w:val="6"/>
          </w:tcPr>
          <w:p>
            <w:pPr>
              <w:ind w:left="200"/>
              <w:spacing w:after="0"/>
              <w:rPr>
                <w:sz w:val="20"/>
                <w:szCs w:val="20"/>
                <w:color w:val="auto"/>
              </w:rPr>
            </w:pPr>
            <w:r>
              <w:rPr>
                <w:rFonts w:ascii="Arial" w:cs="Arial" w:eastAsia="Arial" w:hAnsi="Arial"/>
                <w:sz w:val="18"/>
                <w:szCs w:val="18"/>
                <w:b w:val="1"/>
                <w:bCs w:val="1"/>
                <w:color w:val="auto"/>
                <w:w w:val="99"/>
              </w:rPr>
              <w:t>December 31, 2000</w:t>
            </w:r>
          </w:p>
        </w:tc>
        <w:tc>
          <w:tcPr>
            <w:tcW w:w="0" w:type="dxa"/>
            <w:vAlign w:val="bottom"/>
          </w:tcPr>
          <w:p>
            <w:pPr>
              <w:spacing w:after="0"/>
              <w:rPr>
                <w:sz w:val="1"/>
                <w:szCs w:val="1"/>
                <w:color w:val="auto"/>
              </w:rPr>
            </w:pPr>
          </w:p>
        </w:tc>
      </w:tr>
      <w:tr>
        <w:trPr>
          <w:trHeight w:val="98"/>
        </w:trPr>
        <w:tc>
          <w:tcPr>
            <w:tcW w:w="1400" w:type="dxa"/>
            <w:vAlign w:val="bottom"/>
            <w:gridSpan w:val="4"/>
            <w:vMerge w:val="restart"/>
          </w:tcPr>
          <w:p>
            <w:pPr>
              <w:spacing w:after="0"/>
              <w:rPr>
                <w:sz w:val="20"/>
                <w:szCs w:val="20"/>
                <w:color w:val="auto"/>
              </w:rPr>
            </w:pPr>
            <w:r>
              <w:rPr>
                <w:rFonts w:ascii="Arial" w:cs="Arial" w:eastAsia="Arial" w:hAnsi="Arial"/>
                <w:sz w:val="18"/>
                <w:szCs w:val="18"/>
                <w:color w:val="auto"/>
              </w:rPr>
              <w:t>Current assets:</w:t>
            </w:r>
          </w:p>
        </w:tc>
        <w:tc>
          <w:tcPr>
            <w:tcW w:w="6140" w:type="dxa"/>
            <w:vAlign w:val="bottom"/>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400" w:type="dxa"/>
            <w:vAlign w:val="bottom"/>
            <w:gridSpan w:val="4"/>
            <w:vMerge w:val="continue"/>
          </w:tcPr>
          <w:p>
            <w:pPr>
              <w:spacing w:after="0"/>
              <w:rPr>
                <w:sz w:val="24"/>
                <w:szCs w:val="24"/>
                <w:color w:val="auto"/>
              </w:rPr>
            </w:pPr>
          </w:p>
        </w:tc>
        <w:tc>
          <w:tcPr>
            <w:tcW w:w="6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79,958</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79,119</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14,992</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13,468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w w:val="97"/>
              </w:rPr>
              <w:t>Accounts receivable, less allowance for doubtful accounts of $1,890 in 2001 and $2,227 in</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ind w:left="62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29,335</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37,164</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gridSpan w:val="4"/>
          </w:tcPr>
          <w:p>
            <w:pPr>
              <w:ind w:left="480"/>
              <w:spacing w:after="0"/>
              <w:rPr>
                <w:sz w:val="20"/>
                <w:szCs w:val="20"/>
                <w:color w:val="auto"/>
              </w:rPr>
            </w:pPr>
            <w:r>
              <w:rPr>
                <w:rFonts w:ascii="Arial" w:cs="Arial" w:eastAsia="Arial" w:hAnsi="Arial"/>
                <w:sz w:val="18"/>
                <w:szCs w:val="18"/>
                <w:color w:val="auto"/>
                <w:w w:val="96"/>
              </w:rPr>
              <w:t>Inventories:</w:t>
            </w:r>
          </w:p>
        </w:tc>
        <w:tc>
          <w:tcPr>
            <w:tcW w:w="6140" w:type="dxa"/>
            <w:vAlign w:val="bottom"/>
            <w:vMerge w:val="restart"/>
          </w:tcPr>
          <w:p>
            <w:pPr>
              <w:ind w:left="20"/>
              <w:spacing w:after="0"/>
              <w:rPr>
                <w:sz w:val="20"/>
                <w:szCs w:val="20"/>
                <w:color w:val="auto"/>
              </w:rPr>
            </w:pPr>
            <w:r>
              <w:rPr>
                <w:rFonts w:ascii="Arial" w:cs="Arial" w:eastAsia="Arial" w:hAnsi="Arial"/>
                <w:sz w:val="18"/>
                <w:szCs w:val="18"/>
                <w:color w:val="auto"/>
              </w:rPr>
              <w:t>Raw materials and purchased parts</w:t>
            </w:r>
          </w:p>
        </w:tc>
        <w:tc>
          <w:tcPr>
            <w:tcW w:w="44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20,271</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22,120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15,725</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17,133</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7,244</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6,786</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43,240</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46,039</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13,781</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13,781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3,975</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3,145</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185,281</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192,716</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spacing w:after="0"/>
              <w:rPr>
                <w:sz w:val="20"/>
                <w:szCs w:val="20"/>
                <w:color w:val="auto"/>
              </w:rPr>
            </w:pPr>
            <w:r>
              <w:rPr>
                <w:rFonts w:ascii="Arial" w:cs="Arial" w:eastAsia="Arial" w:hAnsi="Arial"/>
                <w:sz w:val="18"/>
                <w:szCs w:val="18"/>
                <w:color w:val="auto"/>
              </w:rPr>
              <w:t>Property, plant and equipment, at cost:</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Land and land improvements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2,501</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13,075</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12,795</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22,571</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22,138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Land and building to be acquired</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21,288</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21,288</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59,435</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58,722</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21,546</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20,605</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1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gridSpan w:val="3"/>
          </w:tcPr>
          <w:p>
            <w:pPr>
              <w:ind w:left="320"/>
              <w:spacing w:after="0"/>
              <w:rPr>
                <w:sz w:val="20"/>
                <w:szCs w:val="20"/>
                <w:color w:val="auto"/>
              </w:rPr>
            </w:pPr>
            <w:r>
              <w:rPr>
                <w:rFonts w:ascii="Arial" w:cs="Arial" w:eastAsia="Arial" w:hAnsi="Arial"/>
                <w:sz w:val="18"/>
                <w:szCs w:val="18"/>
                <w:color w:val="auto"/>
              </w:rPr>
              <w:t>Net property, plant and equipment</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37,889</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38,117</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spacing w:after="0"/>
              <w:rPr>
                <w:sz w:val="20"/>
                <w:szCs w:val="20"/>
                <w:color w:val="auto"/>
              </w:rPr>
            </w:pPr>
            <w:r>
              <w:rPr>
                <w:rFonts w:ascii="Arial" w:cs="Arial" w:eastAsia="Arial" w:hAnsi="Arial"/>
                <w:sz w:val="18"/>
                <w:szCs w:val="18"/>
                <w:color w:val="auto"/>
              </w:rPr>
              <w:t>Goodwill, net of accumulated amortization of $2,621 in 2001 and $2,549 in 2000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6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223,840</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231,495</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540" w:type="dxa"/>
            <w:vAlign w:val="bottom"/>
            <w:gridSpan w:val="5"/>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40" w:type="dxa"/>
            <w:vAlign w:val="bottom"/>
            <w:gridSpan w:val="5"/>
            <w:vMerge w:val="continue"/>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754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w w:val="99"/>
              </w:rPr>
              <w:t>Current liabilities:</w:t>
            </w:r>
          </w:p>
        </w:tc>
        <w:tc>
          <w:tcPr>
            <w:tcW w:w="6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7,242</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7,604</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8,955</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Accrued warranty</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4,258</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4,916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Customer advances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1,507</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Deferred profit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3,479</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5,960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5"/>
          </w:tcPr>
          <w:p>
            <w:pPr>
              <w:ind w:left="480"/>
              <w:spacing w:after="0"/>
              <w:rPr>
                <w:sz w:val="20"/>
                <w:szCs w:val="20"/>
                <w:color w:val="auto"/>
              </w:rPr>
            </w:pPr>
            <w:r>
              <w:rPr>
                <w:rFonts w:ascii="Arial" w:cs="Arial" w:eastAsia="Arial" w:hAnsi="Arial"/>
                <w:sz w:val="18"/>
                <w:szCs w:val="18"/>
                <w:color w:val="auto"/>
              </w:rPr>
              <w:t>Other accrued liabilities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3,924</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3,864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26,415</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32,133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40" w:type="dxa"/>
            <w:vAlign w:val="bottom"/>
            <w:gridSpan w:val="5"/>
          </w:tcPr>
          <w:p>
            <w:pPr>
              <w:spacing w:after="0"/>
              <w:rPr>
                <w:sz w:val="20"/>
                <w:szCs w:val="20"/>
                <w:color w:val="auto"/>
              </w:rPr>
            </w:pPr>
            <w:r>
              <w:rPr>
                <w:rFonts w:ascii="Arial" w:cs="Arial" w:eastAsia="Arial" w:hAnsi="Arial"/>
                <w:sz w:val="18"/>
                <w:szCs w:val="18"/>
                <w:color w:val="auto"/>
              </w:rPr>
              <w:t>Accrued retiree medical benefits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-7463155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-7463155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-5816600</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-5816600</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-4436110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-4436110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-3878580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-3878580</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-2909570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-2909570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-2489200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-2489200</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-1931670</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-1931670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-362585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-362585</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2" w:orient="portrait"/>
          <w:cols w:equalWidth="0" w:num="1">
            <w:col w:w="11440"/>
          </w:cols>
          <w:pgMar w:left="240" w:top="111"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Commitments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Stockholders’ equity:</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20" w:type="dxa"/>
            <w:vAlign w:val="bottom"/>
          </w:tcPr>
          <w:p>
            <w:pPr>
              <w:ind w:left="480"/>
              <w:spacing w:after="0"/>
              <w:rPr>
                <w:sz w:val="20"/>
                <w:szCs w:val="20"/>
                <w:color w:val="auto"/>
              </w:rPr>
            </w:pPr>
            <w:r>
              <w:rPr>
                <w:rFonts w:ascii="Arial" w:cs="Arial" w:eastAsia="Arial" w:hAnsi="Arial"/>
                <w:sz w:val="18"/>
                <w:szCs w:val="18"/>
                <w:color w:val="auto"/>
              </w:rPr>
              <w:t>Preferred stock</w:t>
            </w:r>
          </w:p>
        </w:tc>
        <w:tc>
          <w:tcPr>
            <w:tcW w:w="2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20,356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20,313</w:t>
            </w:r>
          </w:p>
        </w:tc>
      </w:tr>
      <w:tr>
        <w:trPr>
          <w:trHeight w:val="216"/>
        </w:trPr>
        <w:tc>
          <w:tcPr>
            <w:tcW w:w="5820" w:type="dxa"/>
            <w:vAlign w:val="bottom"/>
          </w:tcPr>
          <w:p>
            <w:pPr>
              <w:ind w:left="480"/>
              <w:spacing w:after="0"/>
              <w:rPr>
                <w:sz w:val="20"/>
                <w:szCs w:val="20"/>
                <w:color w:val="auto"/>
              </w:rPr>
            </w:pPr>
            <w:r>
              <w:rPr>
                <w:rFonts w:ascii="Arial" w:cs="Arial" w:eastAsia="Arial" w:hAnsi="Arial"/>
                <w:sz w:val="18"/>
                <w:szCs w:val="18"/>
                <w:color w:val="auto"/>
              </w:rPr>
              <w:t>Paid in excess of par</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9,344</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8,957</w:t>
            </w:r>
          </w:p>
        </w:tc>
      </w:tr>
      <w:tr>
        <w:trPr>
          <w:trHeight w:val="222"/>
        </w:trPr>
        <w:tc>
          <w:tcPr>
            <w:tcW w:w="582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166,211</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168,570</w:t>
            </w:r>
          </w:p>
        </w:tc>
      </w:tr>
      <w:tr>
        <w:trPr>
          <w:trHeight w:val="110"/>
        </w:trPr>
        <w:tc>
          <w:tcPr>
            <w:tcW w:w="58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Total stockholders’ equity</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195,911</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197,840</w:t>
            </w:r>
          </w:p>
        </w:tc>
      </w:tr>
      <w:tr>
        <w:trPr>
          <w:trHeight w:val="110"/>
        </w:trPr>
        <w:tc>
          <w:tcPr>
            <w:tcW w:w="58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r>
        <w:trPr>
          <w:trHeight w:val="316"/>
        </w:trPr>
        <w:tc>
          <w:tcPr>
            <w:tcW w:w="5820" w:type="dxa"/>
            <w:vAlign w:val="bottom"/>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$223,840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$231,495</w:t>
            </w:r>
          </w:p>
        </w:tc>
      </w:tr>
      <w:tr>
        <w:trPr>
          <w:trHeight w:val="107"/>
        </w:trPr>
        <w:tc>
          <w:tcPr>
            <w:tcW w:w="58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58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5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-614680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-614680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-331470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-331470</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230" w:lineRule="auto"/>
        <w:rPr>
          <w:sz w:val="20"/>
          <w:szCs w:val="20"/>
          <w:color w:val="auto"/>
        </w:rPr>
      </w:pPr>
      <w:r>
        <w:rPr>
          <w:rFonts w:ascii="Arial" w:cs="Arial" w:eastAsia="Arial" w:hAnsi="Arial"/>
          <w:sz w:val="22"/>
          <w:szCs w:val="22"/>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 share amounts)</w:t>
      </w:r>
    </w:p>
    <w:p>
      <w:pPr>
        <w:spacing w:after="0" w:line="200" w:lineRule="exact"/>
        <w:rPr>
          <w:sz w:val="20"/>
          <w:szCs w:val="20"/>
          <w:color w:val="auto"/>
        </w:rPr>
      </w:pPr>
    </w:p>
    <w:p>
      <w:pPr>
        <w:spacing w:after="0" w:line="238"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62865</wp:posOffset>
            </wp:positionV>
            <wp:extent cx="187388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73885" cy="342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4"/>
              </w:rPr>
              <w:t>2000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(restated)</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43,718</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72,732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Cost and expenses:</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5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32,233</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44,202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5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8,430</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5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6,514</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7,139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47,177</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58,096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(3,459)</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14,636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1,317</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(2,142)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15,929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Provision (credit) for income taxes</w:t>
            </w:r>
          </w:p>
        </w:tc>
        <w:tc>
          <w:tcPr>
            <w:tcW w:w="36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(800)</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5,476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80" w:type="dxa"/>
            <w:vAlign w:val="bottom"/>
          </w:tcPr>
          <w:p>
            <w:pPr>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36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(1,342)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10,453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$1,700 tax benefit</w:t>
            </w:r>
          </w:p>
        </w:tc>
        <w:tc>
          <w:tcPr>
            <w:tcW w:w="36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(3,299)</w:t>
            </w: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8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(1,342)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7,154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8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80" w:type="dxa"/>
            <w:vAlign w:val="bottom"/>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52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520"/>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80" w:type="dxa"/>
            <w:vAlign w:val="bottom"/>
          </w:tcPr>
          <w:p>
            <w:pPr>
              <w:ind w:left="5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480" w:type="dxa"/>
            <w:vAlign w:val="bottom"/>
          </w:tcPr>
          <w:p>
            <w:pPr>
              <w:ind w:left="520"/>
              <w:spacing w:after="0"/>
              <w:rPr>
                <w:sz w:val="20"/>
                <w:szCs w:val="20"/>
                <w:color w:val="auto"/>
              </w:rPr>
            </w:pPr>
            <w:r>
              <w:rPr>
                <w:rFonts w:ascii="Arial" w:cs="Arial" w:eastAsia="Arial" w:hAnsi="Arial"/>
                <w:sz w:val="18"/>
                <w:szCs w:val="18"/>
                <w:color w:val="auto"/>
              </w:rPr>
              <w:t>Weighted average shares used in basic per share calculation</w:t>
            </w: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20,341</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20,051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8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80" w:type="dxa"/>
            <w:vAlign w:val="bottom"/>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52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520"/>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80" w:type="dxa"/>
            <w:vAlign w:val="bottom"/>
          </w:tcPr>
          <w:p>
            <w:pPr>
              <w:ind w:left="5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480" w:type="dxa"/>
            <w:vAlign w:val="bottom"/>
          </w:tcPr>
          <w:p>
            <w:pPr>
              <w:ind w:left="520"/>
              <w:spacing w:after="0"/>
              <w:rPr>
                <w:sz w:val="20"/>
                <w:szCs w:val="20"/>
                <w:color w:val="auto"/>
              </w:rPr>
            </w:pPr>
            <w:r>
              <w:rPr>
                <w:rFonts w:ascii="Arial" w:cs="Arial" w:eastAsia="Arial" w:hAnsi="Arial"/>
                <w:sz w:val="18"/>
                <w:szCs w:val="18"/>
                <w:color w:val="auto"/>
              </w:rPr>
              <w:t>Weighted average shares used in diluted per share calculation</w:t>
            </w: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20,341</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21,305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-5193665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-5193665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-4224655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-4224655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-3942080</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-3942080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-3521710</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-3521710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-3101340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-3101340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-2680970</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-2680970</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-1814830</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-1814830</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-640080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-640080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ectPr>
          <w:pgSz w:w="11900" w:h="16838" w:orient="portrait"/>
          <w:cols w:equalWidth="0" w:num="1">
            <w:col w:w="11420"/>
          </w:cols>
          <w:pgMar w:left="240" w:top="131" w:right="239" w:bottom="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w:t>
      </w:r>
    </w:p>
    <w:p>
      <w:pPr>
        <w:spacing w:after="0" w:line="200" w:lineRule="exact"/>
        <w:rPr>
          <w:sz w:val="20"/>
          <w:szCs w:val="20"/>
          <w:color w:val="auto"/>
        </w:rPr>
      </w:pPr>
    </w:p>
    <w:p>
      <w:pPr>
        <w:spacing w:after="0" w:line="238"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62865</wp:posOffset>
            </wp:positionV>
            <wp:extent cx="193357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33575" cy="342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9"/>
              </w:rPr>
              <w:t>2001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(restated)</w:t>
            </w:r>
          </w:p>
        </w:tc>
        <w:tc>
          <w:tcPr>
            <w:tcW w:w="0" w:type="dxa"/>
            <w:vAlign w:val="bottom"/>
          </w:tcPr>
          <w:p>
            <w:pPr>
              <w:spacing w:after="0"/>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(1,342)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Adjustments to reconcile net income (loss) to net cash provided from operating activities: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620"/>
              <w:spacing w:after="0"/>
              <w:rPr>
                <w:sz w:val="20"/>
                <w:szCs w:val="20"/>
                <w:color w:val="auto"/>
              </w:rPr>
            </w:pPr>
            <w:r>
              <w:rPr>
                <w:rFonts w:ascii="Arial" w:cs="Arial" w:eastAsia="Arial" w:hAnsi="Arial"/>
                <w:sz w:val="18"/>
                <w:szCs w:val="18"/>
                <w:color w:val="auto"/>
              </w:rPr>
              <w:t>Decrease in accrued retiree medical benefits</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400" w:type="dxa"/>
            <w:vAlign w:val="bottom"/>
          </w:tcPr>
          <w:p>
            <w:pPr>
              <w:ind w:left="620"/>
              <w:spacing w:after="0"/>
              <w:rPr>
                <w:sz w:val="20"/>
                <w:szCs w:val="20"/>
                <w:color w:val="auto"/>
              </w:rPr>
            </w:pPr>
            <w:r>
              <w:rPr>
                <w:rFonts w:ascii="Arial" w:cs="Arial" w:eastAsia="Arial" w:hAnsi="Arial"/>
                <w:sz w:val="18"/>
                <w:szCs w:val="18"/>
                <w:color w:val="auto"/>
              </w:rPr>
              <w:t>Changes in current assets and liabilities: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7,829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(4,783)</w:t>
            </w: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Customer advances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(1,545)</w:t>
            </w:r>
          </w:p>
        </w:tc>
        <w:tc>
          <w:tcPr>
            <w:tcW w:w="0" w:type="dxa"/>
            <w:vAlign w:val="bottom"/>
          </w:tcPr>
          <w:p>
            <w:pPr>
              <w:spacing w:after="0"/>
              <w:rPr>
                <w:sz w:val="1"/>
                <w:szCs w:val="1"/>
                <w:color w:val="auto"/>
              </w:rPr>
            </w:pPr>
          </w:p>
        </w:tc>
      </w:tr>
      <w:tr>
        <w:trPr>
          <w:trHeight w:val="216"/>
        </w:trPr>
        <w:tc>
          <w:tcPr>
            <w:tcW w:w="8400" w:type="dxa"/>
            <w:vAlign w:val="bottom"/>
          </w:tcPr>
          <w:p>
            <w:pPr>
              <w:ind w:left="940"/>
              <w:spacing w:after="0"/>
              <w:rPr>
                <w:sz w:val="20"/>
                <w:szCs w:val="20"/>
                <w:color w:val="auto"/>
              </w:rPr>
            </w:pPr>
            <w:r>
              <w:rPr>
                <w:rFonts w:ascii="Arial" w:cs="Arial" w:eastAsia="Arial" w:hAnsi="Arial"/>
                <w:sz w:val="18"/>
                <w:szCs w:val="18"/>
                <w:color w:val="auto"/>
              </w:rPr>
              <w:t>Deferred profit</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(2,481)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940"/>
              <w:spacing w:after="0"/>
              <w:rPr>
                <w:sz w:val="20"/>
                <w:szCs w:val="20"/>
                <w:color w:val="auto"/>
              </w:rPr>
            </w:pPr>
            <w:r>
              <w:rPr>
                <w:rFonts w:ascii="Arial" w:cs="Arial" w:eastAsia="Arial" w:hAnsi="Arial"/>
                <w:sz w:val="18"/>
                <w:szCs w:val="18"/>
                <w:color w:val="auto"/>
              </w:rPr>
              <w:t>Accrued compensation, warranty and other liabilities</w:t>
            </w:r>
          </w:p>
        </w:tc>
        <w:tc>
          <w:tcPr>
            <w:tcW w:w="4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(3,548)</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(2,413)</w:t>
            </w: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00" w:type="dxa"/>
            <w:vAlign w:val="bottom"/>
          </w:tcPr>
          <w:p>
            <w:pPr>
              <w:ind w:left="940"/>
              <w:spacing w:after="0"/>
              <w:rPr>
                <w:sz w:val="20"/>
                <w:szCs w:val="20"/>
                <w:color w:val="auto"/>
              </w:rPr>
            </w:pPr>
            <w:r>
              <w:rPr>
                <w:rFonts w:ascii="Arial" w:cs="Arial" w:eastAsia="Arial" w:hAnsi="Arial"/>
                <w:sz w:val="18"/>
                <w:szCs w:val="18"/>
                <w:color w:val="auto"/>
              </w:rPr>
              <w:t>Net cash provided from operating activities</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(5,025)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(3,985)</w:t>
            </w: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Maturities of short-term investments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320"/>
              <w:spacing w:after="0"/>
              <w:rPr>
                <w:sz w:val="20"/>
                <w:szCs w:val="20"/>
                <w:color w:val="auto"/>
              </w:rPr>
            </w:pPr>
            <w:r>
              <w:rPr>
                <w:rFonts w:ascii="Arial" w:cs="Arial" w:eastAsia="Arial" w:hAnsi="Arial"/>
                <w:sz w:val="18"/>
                <w:szCs w:val="18"/>
                <w:color w:val="auto"/>
              </w:rPr>
              <w:t>Purchases of property, plant, equipment and other assets</w:t>
            </w:r>
          </w:p>
        </w:tc>
        <w:tc>
          <w:tcPr>
            <w:tcW w:w="4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(813)</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00" w:type="dxa"/>
            <w:vAlign w:val="bottom"/>
          </w:tcPr>
          <w:p>
            <w:pPr>
              <w:ind w:left="9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(2,337)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(1,819)</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Issuance of stock, net</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320"/>
              <w:spacing w:after="0"/>
              <w:rPr>
                <w:sz w:val="20"/>
                <w:szCs w:val="20"/>
                <w:color w:val="auto"/>
              </w:rPr>
            </w:pPr>
            <w:r>
              <w:rPr>
                <w:rFonts w:ascii="Arial" w:cs="Arial" w:eastAsia="Arial" w:hAnsi="Arial"/>
                <w:sz w:val="18"/>
                <w:szCs w:val="18"/>
                <w:color w:val="auto"/>
              </w:rPr>
              <w:t>Cash dividends</w:t>
            </w:r>
          </w:p>
        </w:tc>
        <w:tc>
          <w:tcPr>
            <w:tcW w:w="4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(1,017)</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(1,008)</w:t>
            </w: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00" w:type="dxa"/>
            <w:vAlign w:val="bottom"/>
          </w:tcPr>
          <w:p>
            <w:pPr>
              <w:ind w:left="940"/>
              <w:spacing w:after="0"/>
              <w:rPr>
                <w:sz w:val="20"/>
                <w:szCs w:val="20"/>
                <w:color w:val="auto"/>
              </w:rPr>
            </w:pPr>
            <w:r>
              <w:rPr>
                <w:rFonts w:ascii="Arial" w:cs="Arial" w:eastAsia="Arial" w:hAnsi="Arial"/>
                <w:sz w:val="18"/>
                <w:szCs w:val="18"/>
                <w:color w:val="auto"/>
              </w:rPr>
              <w:t>Net cash provided by (used for) financing activities</w:t>
            </w:r>
          </w:p>
        </w:tc>
        <w:tc>
          <w:tcPr>
            <w:tcW w:w="4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4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79,119</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55,954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79,958</w:t>
            </w:r>
          </w:p>
        </w:tc>
        <w:tc>
          <w:tcPr>
            <w:tcW w:w="4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62,310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4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Cash paid (refunded) during the period for:</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-5241925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-5241925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-3037840</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-3037840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-2205990</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-2205990</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-1511300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-1511300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-1228725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-1228725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-808355</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-808355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jc w:val="center"/>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ind w:left="500" w:hanging="492"/>
        <w:spacing w:after="0"/>
        <w:tabs>
          <w:tab w:leader="none" w:pos="5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w:t>
      </w:r>
    </w:p>
    <w:p>
      <w:pPr>
        <w:spacing w:after="0" w:line="212" w:lineRule="exact"/>
        <w:rPr>
          <w:sz w:val="20"/>
          <w:szCs w:val="20"/>
          <w:color w:val="auto"/>
        </w:rPr>
      </w:pPr>
    </w:p>
    <w:p>
      <w:pPr>
        <w:ind w:left="460" w:right="60"/>
        <w:spacing w:after="0" w:line="279" w:lineRule="auto"/>
        <w:rPr>
          <w:sz w:val="20"/>
          <w:szCs w:val="20"/>
          <w:color w:val="auto"/>
        </w:rPr>
      </w:pPr>
      <w:r>
        <w:rPr>
          <w:rFonts w:ascii="Arial" w:cs="Arial" w:eastAsia="Arial" w:hAnsi="Arial"/>
          <w:sz w:val="19"/>
          <w:szCs w:val="19"/>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months ended March 31, 2001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2000 and management’s discussion and analysis of financial condition and results of operations included elsewhere herein.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9"/>
          <w:szCs w:val="19"/>
          <w:color w:val="auto"/>
        </w:rPr>
        <w:t xml:space="preserve">Cohu adopted Statement of Financial Accounting Standards No. 133, </w:t>
      </w:r>
      <w:r>
        <w:rPr>
          <w:rFonts w:ascii="Arial" w:cs="Arial" w:eastAsia="Arial" w:hAnsi="Arial"/>
          <w:sz w:val="19"/>
          <w:szCs w:val="19"/>
          <w:i w:val="1"/>
          <w:iCs w:val="1"/>
          <w:color w:val="auto"/>
        </w:rPr>
        <w:t>Accounting for Derivative Instruments and Hedging</w:t>
      </w:r>
    </w:p>
    <w:p>
      <w:pPr>
        <w:sectPr>
          <w:pgSz w:w="11900" w:h="16838" w:orient="portrait"/>
          <w:cols w:equalWidth="0" w:num="1">
            <w:col w:w="11420"/>
          </w:cols>
          <w:pgMar w:left="240" w:top="122" w:right="239" w:bottom="0" w:gutter="0" w:footer="0" w:header="0"/>
        </w:sectPr>
      </w:pPr>
    </w:p>
    <w:bookmarkStart w:id="4" w:name="page5"/>
    <w:bookmarkEnd w:id="4"/>
    <w:p>
      <w:pPr>
        <w:ind w:left="460" w:right="180"/>
        <w:spacing w:after="0" w:line="287" w:lineRule="auto"/>
        <w:rPr>
          <w:sz w:val="20"/>
          <w:szCs w:val="20"/>
          <w:color w:val="auto"/>
        </w:rPr>
      </w:pPr>
      <w:r>
        <w:rPr>
          <w:rFonts w:ascii="Arial" w:cs="Arial" w:eastAsia="Arial" w:hAnsi="Arial"/>
          <w:sz w:val="19"/>
          <w:szCs w:val="19"/>
          <w:i w:val="1"/>
          <w:iCs w:val="1"/>
          <w:color w:val="auto"/>
        </w:rPr>
        <w:t xml:space="preserve">Activities </w:t>
      </w:r>
      <w:r>
        <w:rPr>
          <w:rFonts w:ascii="Arial" w:cs="Arial" w:eastAsia="Arial" w:hAnsi="Arial"/>
          <w:sz w:val="19"/>
          <w:szCs w:val="19"/>
          <w:color w:val="auto"/>
        </w:rPr>
        <w:t>(“Statement No. 133”), on January 1, 2001. Statement No. 133 requires, among other things, that all derivatives be</w:t>
      </w:r>
      <w:r>
        <w:rPr>
          <w:rFonts w:ascii="Arial" w:cs="Arial" w:eastAsia="Arial" w:hAnsi="Arial"/>
          <w:sz w:val="19"/>
          <w:szCs w:val="19"/>
          <w:i w:val="1"/>
          <w:iCs w:val="1"/>
          <w:color w:val="auto"/>
        </w:rPr>
        <w:t xml:space="preserve"> </w:t>
      </w:r>
      <w:r>
        <w:rPr>
          <w:rFonts w:ascii="Arial" w:cs="Arial" w:eastAsia="Arial" w:hAnsi="Arial"/>
          <w:sz w:val="19"/>
          <w:szCs w:val="19"/>
          <w:color w:val="auto"/>
        </w:rPr>
        <w:t>recognized in the balance sheet at fair value and special accounting for hedging activities that meet certain criteria. The Company generally does not hold derivative instruments or engage in hedging activities and as a result the adoption of Statement No. 133 has had no material effect on the Company’s financial condition or results of operations.</w:t>
      </w:r>
    </w:p>
    <w:p>
      <w:pPr>
        <w:spacing w:after="0" w:line="13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Accounting for Revenue Recognition</w:t>
      </w:r>
    </w:p>
    <w:p>
      <w:pPr>
        <w:spacing w:after="0" w:line="212"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 xml:space="preserve">In the fourth quarter of 2000 the Company changed its method of revenue recognition for certain semiconductor equipment sales to comply with SEC Staff Accounting Bulletin No. 101, </w:t>
      </w:r>
      <w:r>
        <w:rPr>
          <w:rFonts w:ascii="Arial" w:cs="Arial" w:eastAsia="Arial" w:hAnsi="Arial"/>
          <w:sz w:val="19"/>
          <w:szCs w:val="19"/>
          <w:i w:val="1"/>
          <w:iCs w:val="1"/>
          <w:color w:val="auto"/>
        </w:rPr>
        <w:t>Revenue Recognition in Financial Statements</w:t>
      </w:r>
      <w:r>
        <w:rPr>
          <w:rFonts w:ascii="Arial" w:cs="Arial" w:eastAsia="Arial" w:hAnsi="Arial"/>
          <w:sz w:val="19"/>
          <w:szCs w:val="19"/>
          <w:color w:val="auto"/>
        </w:rPr>
        <w:t xml:space="preserve"> (“SAB 101”). SAB 101 sets forth guidelines on the timing of revenue recognition based on factors such as passage of title, installation, payment and customer acceptance. The cumulative effect adjustment of the change in accounting on prior years through December 31, 1999 was a reduction to income of $3,299,000 (after credit for income taxes of $1,700,000) and is included in income for the three months ended March 31, 2000. The change was effective January 1, 2000 and amounts previously reported for the three months ended March 31, 2000 have been restated to reflect the application of SAB 101. The effect of the change on the first quarter of 2000 was to increase net sales $265,000 to $72,732,000, increase income before cumulative effect of change in accounting principle $530,000 ($.02 per diluted share) to $10,453,000 ($.49 per diluted share) and decrease net income $2,769,000 ($.14 per diluted share) to $7,154,000 ($.33 per diluted share)</w:t>
      </w:r>
    </w:p>
    <w:p>
      <w:pPr>
        <w:spacing w:after="0" w:line="15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Earnings (Loss) Per Share</w:t>
      </w:r>
    </w:p>
    <w:p>
      <w:pPr>
        <w:spacing w:after="0" w:line="212" w:lineRule="exact"/>
        <w:rPr>
          <w:sz w:val="20"/>
          <w:szCs w:val="20"/>
          <w:color w:val="auto"/>
        </w:rPr>
      </w:pPr>
    </w:p>
    <w:p>
      <w:pPr>
        <w:ind w:left="460" w:right="280"/>
        <w:spacing w:after="0" w:line="282" w:lineRule="auto"/>
        <w:rPr>
          <w:sz w:val="20"/>
          <w:szCs w:val="20"/>
          <w:color w:val="auto"/>
        </w:rPr>
      </w:pPr>
      <w:r>
        <w:rPr>
          <w:rFonts w:ascii="Arial" w:cs="Arial" w:eastAsia="Arial" w:hAnsi="Arial"/>
          <w:sz w:val="19"/>
          <w:szCs w:val="19"/>
          <w:color w:val="auto"/>
        </w:rPr>
        <w:t xml:space="preserve">Earnings (loss) per share are computed in accordance with Financial Accounting Standards Board (“FASB”) Statement No. 128, </w:t>
      </w:r>
      <w:r>
        <w:rPr>
          <w:rFonts w:ascii="Arial" w:cs="Arial" w:eastAsia="Arial" w:hAnsi="Arial"/>
          <w:sz w:val="19"/>
          <w:szCs w:val="19"/>
          <w:i w:val="1"/>
          <w:iCs w:val="1"/>
          <w:color w:val="auto"/>
        </w:rPr>
        <w:t>Earnings per Share</w:t>
      </w:r>
      <w:r>
        <w:rPr>
          <w:rFonts w:ascii="Arial" w:cs="Arial" w:eastAsia="Arial" w:hAnsi="Arial"/>
          <w:sz w:val="19"/>
          <w:szCs w:val="19"/>
          <w:color w:val="auto"/>
        </w:rPr>
        <w:t>. Basic earnings (loss) per share are computed using the weighted average number of common shares outstanding during each period. Diluted earnings per share include the dilutive effect of common shares potentially issuable upon the exercise of stock options. The impact of stock options is excluded for loss periods as they would be antidilutive. The following table reconciles the denominators used in computing basic and diluted earnings (loss) per share:</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67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24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2000</w:t>
            </w:r>
          </w:p>
        </w:tc>
        <w:tc>
          <w:tcPr>
            <w:tcW w:w="240" w:type="dxa"/>
            <w:vAlign w:val="bottom"/>
          </w:tcPr>
          <w:p>
            <w:pPr>
              <w:spacing w:after="0"/>
              <w:rPr>
                <w:sz w:val="19"/>
                <w:szCs w:val="19"/>
                <w:color w:val="auto"/>
              </w:rPr>
            </w:pPr>
          </w:p>
        </w:tc>
      </w:tr>
      <w:tr>
        <w:trPr>
          <w:trHeight w:val="110"/>
        </w:trPr>
        <w:tc>
          <w:tcPr>
            <w:tcW w:w="672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r>
        <w:trPr>
          <w:trHeight w:val="309"/>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6"/>
          </w:tcPr>
          <w:p>
            <w:pPr>
              <w:ind w:left="4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20,341</w:t>
            </w:r>
          </w:p>
        </w:tc>
        <w:tc>
          <w:tcPr>
            <w:tcW w:w="24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20,051</w:t>
            </w:r>
          </w:p>
        </w:tc>
        <w:tc>
          <w:tcPr>
            <w:tcW w:w="240" w:type="dxa"/>
            <w:vAlign w:val="bottom"/>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6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9"/>
                <w:szCs w:val="19"/>
                <w:color w:val="auto"/>
              </w:rPr>
            </w:pPr>
          </w:p>
        </w:tc>
      </w:tr>
      <w:tr>
        <w:trPr>
          <w:trHeight w:val="110"/>
        </w:trPr>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67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20,341</w:t>
            </w:r>
          </w:p>
        </w:tc>
        <w:tc>
          <w:tcPr>
            <w:tcW w:w="24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21,305</w:t>
            </w:r>
          </w:p>
        </w:tc>
        <w:tc>
          <w:tcPr>
            <w:tcW w:w="240" w:type="dxa"/>
            <w:vAlign w:val="bottom"/>
          </w:tcPr>
          <w:p>
            <w:pPr>
              <w:spacing w:after="0"/>
              <w:rPr>
                <w:sz w:val="24"/>
                <w:szCs w:val="24"/>
                <w:color w:val="auto"/>
              </w:rPr>
            </w:pPr>
          </w:p>
        </w:tc>
      </w:tr>
      <w:tr>
        <w:trPr>
          <w:trHeight w:val="107"/>
        </w:trPr>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6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-889000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-889000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-331470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-331470</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jc w:val="center"/>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Segment and Related Information</w:t>
      </w:r>
    </w:p>
    <w:p>
      <w:pPr>
        <w:spacing w:after="0" w:line="212" w:lineRule="exact"/>
        <w:rPr>
          <w:sz w:val="20"/>
          <w:szCs w:val="20"/>
          <w:color w:val="auto"/>
        </w:rPr>
      </w:pPr>
    </w:p>
    <w:p>
      <w:pPr>
        <w:ind w:left="460" w:right="300"/>
        <w:spacing w:after="0"/>
        <w:rPr>
          <w:sz w:val="20"/>
          <w:szCs w:val="20"/>
          <w:color w:val="auto"/>
        </w:rPr>
      </w:pPr>
      <w:r>
        <w:rPr>
          <w:rFonts w:ascii="Arial" w:cs="Arial" w:eastAsia="Arial" w:hAnsi="Arial"/>
          <w:sz w:val="22"/>
          <w:szCs w:val="22"/>
          <w:color w:val="auto"/>
        </w:rPr>
        <w:t xml:space="preserve">The following information is presented pursuant to FASB Statement No. 131, </w:t>
      </w:r>
      <w:r>
        <w:rPr>
          <w:rFonts w:ascii="Arial" w:cs="Arial" w:eastAsia="Arial" w:hAnsi="Arial"/>
          <w:sz w:val="22"/>
          <w:szCs w:val="22"/>
          <w:i w:val="1"/>
          <w:iCs w:val="1"/>
          <w:color w:val="auto"/>
        </w:rPr>
        <w:t>Disclosures about Segments of an Enterprise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and Related Information. </w:t>
      </w:r>
      <w:r>
        <w:rPr>
          <w:rFonts w:ascii="Arial" w:cs="Arial" w:eastAsia="Arial" w:hAnsi="Arial"/>
          <w:sz w:val="22"/>
          <w:szCs w:val="22"/>
          <w:color w:val="auto"/>
        </w:rPr>
        <w:t>Intersegment sales were not significant in either period. Amounts for the three months ended</w:t>
      </w:r>
      <w:r>
        <w:rPr>
          <w:rFonts w:ascii="Arial" w:cs="Arial" w:eastAsia="Arial" w:hAnsi="Arial"/>
          <w:sz w:val="22"/>
          <w:szCs w:val="22"/>
          <w:i w:val="1"/>
          <w:iCs w:val="1"/>
          <w:color w:val="auto"/>
        </w:rPr>
        <w:t xml:space="preserve"> </w:t>
      </w:r>
      <w:r>
        <w:rPr>
          <w:rFonts w:ascii="Arial" w:cs="Arial" w:eastAsia="Arial" w:hAnsi="Arial"/>
          <w:sz w:val="22"/>
          <w:szCs w:val="22"/>
          <w:color w:val="auto"/>
        </w:rPr>
        <w:t>March 31, 2000 have been restated for the impact of SAB 101.</w:t>
      </w:r>
    </w:p>
    <w:p>
      <w:pPr>
        <w:spacing w:after="0" w:line="200" w:lineRule="exact"/>
        <w:rPr>
          <w:sz w:val="20"/>
          <w:szCs w:val="20"/>
          <w:color w:val="auto"/>
        </w:rPr>
      </w:pPr>
    </w:p>
    <w:p>
      <w:pPr>
        <w:spacing w:after="0" w:line="23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6"/>
              </w:rPr>
              <w:t>Three months ended</w:t>
            </w:r>
          </w:p>
        </w:tc>
        <w:tc>
          <w:tcPr>
            <w:tcW w:w="0" w:type="dxa"/>
            <w:vAlign w:val="bottom"/>
          </w:tcPr>
          <w:p>
            <w:pPr>
              <w:spacing w:after="0"/>
              <w:rPr>
                <w:sz w:val="1"/>
                <w:szCs w:val="1"/>
                <w:color w:val="auto"/>
              </w:rPr>
            </w:pPr>
          </w:p>
        </w:tc>
      </w:tr>
      <w:tr>
        <w:trPr>
          <w:trHeight w:val="228"/>
        </w:trPr>
        <w:tc>
          <w:tcPr>
            <w:tcW w:w="6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5"/>
          </w:tcPr>
          <w:p>
            <w:pPr>
              <w:jc w:val="center"/>
              <w:ind w:right="96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110"/>
        </w:trPr>
        <w:tc>
          <w:tcPr>
            <w:tcW w:w="694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4"/>
                <w:szCs w:val="24"/>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94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gridSpan w:val="2"/>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80" w:type="dxa"/>
            <w:vAlign w:val="bottom"/>
          </w:tcPr>
          <w:p>
            <w:pPr>
              <w:spacing w:after="0"/>
              <w:rPr>
                <w:sz w:val="24"/>
                <w:szCs w:val="24"/>
                <w:color w:val="auto"/>
              </w:rPr>
            </w:pPr>
          </w:p>
        </w:tc>
        <w:tc>
          <w:tcPr>
            <w:tcW w:w="238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20"/>
              <w:spacing w:after="0"/>
              <w:rPr>
                <w:sz w:val="20"/>
                <w:szCs w:val="20"/>
                <w:color w:val="auto"/>
              </w:rPr>
            </w:pPr>
            <w:r>
              <w:rPr>
                <w:rFonts w:ascii="Arial" w:cs="Arial" w:eastAsia="Arial" w:hAnsi="Arial"/>
                <w:sz w:val="18"/>
                <w:szCs w:val="18"/>
                <w:color w:val="auto"/>
              </w:rPr>
              <w:t>Semiconductor equipment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$35,224</w:t>
            </w:r>
          </w:p>
        </w:tc>
        <w:tc>
          <w:tcPr>
            <w:tcW w:w="10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$63,061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420"/>
              <w:spacing w:after="0"/>
              <w:rPr>
                <w:sz w:val="20"/>
                <w:szCs w:val="20"/>
                <w:color w:val="auto"/>
              </w:rPr>
            </w:pPr>
            <w:r>
              <w:rPr>
                <w:rFonts w:ascii="Arial" w:cs="Arial" w:eastAsia="Arial" w:hAnsi="Arial"/>
                <w:sz w:val="18"/>
                <w:szCs w:val="18"/>
                <w:color w:val="auto"/>
              </w:rPr>
              <w:t>Television cameras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6,492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940" w:type="dxa"/>
            <w:vAlign w:val="bottom"/>
          </w:tcPr>
          <w:p>
            <w:pPr>
              <w:ind w:left="860"/>
              <w:spacing w:after="0"/>
              <w:rPr>
                <w:sz w:val="20"/>
                <w:szCs w:val="20"/>
                <w:color w:val="auto"/>
              </w:rPr>
            </w:pPr>
            <w:r>
              <w:rPr>
                <w:rFonts w:ascii="Arial" w:cs="Arial" w:eastAsia="Arial" w:hAnsi="Arial"/>
                <w:sz w:val="18"/>
                <w:szCs w:val="18"/>
                <w:color w:val="auto"/>
              </w:rPr>
              <w:t>Net sales for reportable segments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41,093</w:t>
            </w:r>
          </w:p>
        </w:tc>
        <w:tc>
          <w:tcPr>
            <w:tcW w:w="10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69,553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3,179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4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$43,718</w:t>
            </w:r>
          </w:p>
        </w:tc>
        <w:tc>
          <w:tcPr>
            <w:tcW w:w="10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$72,732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940" w:type="dxa"/>
            <w:vAlign w:val="bottom"/>
            <w:vMerge w:val="restart"/>
          </w:tcPr>
          <w:p>
            <w:pPr>
              <w:spacing w:after="0"/>
              <w:rPr>
                <w:sz w:val="20"/>
                <w:szCs w:val="20"/>
                <w:color w:val="auto"/>
              </w:rPr>
            </w:pPr>
            <w:r>
              <w:rPr>
                <w:rFonts w:ascii="Arial" w:cs="Arial" w:eastAsia="Arial" w:hAnsi="Arial"/>
                <w:sz w:val="18"/>
                <w:szCs w:val="18"/>
                <w:color w:val="auto"/>
              </w:rPr>
              <w:t>Operating profit (loss):</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20"/>
              <w:spacing w:after="0"/>
              <w:rPr>
                <w:sz w:val="20"/>
                <w:szCs w:val="20"/>
                <w:color w:val="auto"/>
              </w:rPr>
            </w:pPr>
            <w:r>
              <w:rPr>
                <w:rFonts w:ascii="Arial" w:cs="Arial" w:eastAsia="Arial" w:hAnsi="Arial"/>
                <w:sz w:val="18"/>
                <w:szCs w:val="18"/>
                <w:color w:val="auto"/>
              </w:rPr>
              <w:t>Semiconductor equipment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 (3,346)</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$14,638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420"/>
              <w:spacing w:after="0"/>
              <w:rPr>
                <w:sz w:val="20"/>
                <w:szCs w:val="20"/>
                <w:color w:val="auto"/>
              </w:rPr>
            </w:pPr>
            <w:r>
              <w:rPr>
                <w:rFonts w:ascii="Arial" w:cs="Arial" w:eastAsia="Arial" w:hAnsi="Arial"/>
                <w:sz w:val="18"/>
                <w:szCs w:val="18"/>
                <w:color w:val="auto"/>
              </w:rPr>
              <w:t>Television cameras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6690360</wp:posOffset>
            </wp:positionH>
            <wp:positionV relativeFrom="paragraph">
              <wp:posOffset>-2284730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-2001520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-2001520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-1306830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-1306830</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-887095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-887095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-20955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5" w:name="page6"/>
    <w:bookmarkEnd w:id="5"/>
    <w:tbl>
      <w:tblPr>
        <w:tblLayout w:type="fixed"/>
        <w:tblInd w:w="860" w:type="dxa"/>
        <w:tblCellMar>
          <w:top w:w="0" w:type="dxa"/>
          <w:left w:w="0" w:type="dxa"/>
          <w:bottom w:w="0" w:type="dxa"/>
          <w:right w:w="0" w:type="dxa"/>
        </w:tblCellMar>
      </w:tblPr>
      <w:tr>
        <w:trPr>
          <w:trHeight w:val="216"/>
        </w:trPr>
        <w:tc>
          <w:tcPr>
            <w:tcW w:w="5680" w:type="dxa"/>
            <w:vAlign w:val="bottom"/>
          </w:tcPr>
          <w:p>
            <w:pPr>
              <w:ind w:left="860"/>
              <w:spacing w:after="0"/>
              <w:rPr>
                <w:sz w:val="20"/>
                <w:szCs w:val="20"/>
                <w:color w:val="auto"/>
              </w:rPr>
            </w:pPr>
            <w:r>
              <w:rPr>
                <w:rFonts w:ascii="Arial" w:cs="Arial" w:eastAsia="Arial" w:hAnsi="Arial"/>
                <w:sz w:val="18"/>
                <w:szCs w:val="18"/>
                <w:color w:val="auto"/>
              </w:rPr>
              <w:t>Operating profit (loss) for reportable segments</w:t>
            </w:r>
          </w:p>
        </w:tc>
        <w:tc>
          <w:tcPr>
            <w:tcW w:w="2680" w:type="dxa"/>
            <w:vAlign w:val="bottom"/>
            <w:gridSpan w:val="3"/>
          </w:tcPr>
          <w:p>
            <w:pPr>
              <w:jc w:val="right"/>
              <w:ind w:right="500"/>
              <w:spacing w:after="0"/>
              <w:rPr>
                <w:sz w:val="20"/>
                <w:szCs w:val="20"/>
                <w:color w:val="auto"/>
              </w:rPr>
            </w:pPr>
            <w:r>
              <w:rPr>
                <w:rFonts w:ascii="Arial" w:cs="Arial" w:eastAsia="Arial" w:hAnsi="Arial"/>
                <w:sz w:val="18"/>
                <w:szCs w:val="18"/>
                <w:color w:val="auto"/>
              </w:rPr>
              <w:t>(2,935)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15,044</w:t>
            </w:r>
          </w:p>
        </w:tc>
        <w:tc>
          <w:tcPr>
            <w:tcW w:w="60" w:type="dxa"/>
            <w:vAlign w:val="bottom"/>
          </w:tcPr>
          <w:p>
            <w:pPr>
              <w:spacing w:after="0"/>
              <w:rPr>
                <w:sz w:val="18"/>
                <w:szCs w:val="18"/>
                <w:color w:val="auto"/>
              </w:rPr>
            </w:pPr>
          </w:p>
        </w:tc>
      </w:tr>
      <w:tr>
        <w:trPr>
          <w:trHeight w:val="222"/>
        </w:trPr>
        <w:tc>
          <w:tcPr>
            <w:tcW w:w="568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680" w:type="dxa"/>
            <w:vAlign w:val="bottom"/>
            <w:gridSpan w:val="3"/>
          </w:tcPr>
          <w:p>
            <w:pPr>
              <w:jc w:val="right"/>
              <w:ind w:right="500"/>
              <w:spacing w:after="0"/>
              <w:rPr>
                <w:sz w:val="20"/>
                <w:szCs w:val="20"/>
                <w:color w:val="auto"/>
              </w:rPr>
            </w:pPr>
            <w:r>
              <w:rPr>
                <w:rFonts w:ascii="Arial" w:cs="Arial" w:eastAsia="Arial" w:hAnsi="Arial"/>
                <w:sz w:val="18"/>
                <w:szCs w:val="18"/>
                <w:color w:val="auto"/>
              </w:rPr>
              <w:t>(74)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r>
      <w:tr>
        <w:trPr>
          <w:trHeight w:val="110"/>
        </w:trPr>
        <w:tc>
          <w:tcPr>
            <w:tcW w:w="5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5680" w:type="dxa"/>
            <w:vAlign w:val="bottom"/>
          </w:tcPr>
          <w:p>
            <w:pPr>
              <w:spacing w:after="0"/>
              <w:rPr>
                <w:sz w:val="20"/>
                <w:szCs w:val="20"/>
                <w:color w:val="auto"/>
              </w:rPr>
            </w:pPr>
            <w:r>
              <w:rPr>
                <w:rFonts w:ascii="Arial" w:cs="Arial" w:eastAsia="Arial" w:hAnsi="Arial"/>
                <w:sz w:val="18"/>
                <w:szCs w:val="18"/>
                <w:color w:val="auto"/>
              </w:rPr>
              <w:t>Total consolidated operating profit (loss)</w:t>
            </w:r>
          </w:p>
        </w:tc>
        <w:tc>
          <w:tcPr>
            <w:tcW w:w="2680" w:type="dxa"/>
            <w:vAlign w:val="bottom"/>
            <w:gridSpan w:val="3"/>
          </w:tcPr>
          <w:p>
            <w:pPr>
              <w:jc w:val="right"/>
              <w:ind w:right="500"/>
              <w:spacing w:after="0"/>
              <w:rPr>
                <w:sz w:val="20"/>
                <w:szCs w:val="20"/>
                <w:color w:val="auto"/>
              </w:rPr>
            </w:pPr>
            <w:r>
              <w:rPr>
                <w:rFonts w:ascii="Arial" w:cs="Arial" w:eastAsia="Arial" w:hAnsi="Arial"/>
                <w:sz w:val="18"/>
                <w:szCs w:val="18"/>
                <w:color w:val="auto"/>
              </w:rPr>
              <w:t>(3,009)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15,151</w:t>
            </w:r>
          </w:p>
        </w:tc>
        <w:tc>
          <w:tcPr>
            <w:tcW w:w="60" w:type="dxa"/>
            <w:vAlign w:val="bottom"/>
          </w:tcPr>
          <w:p>
            <w:pPr>
              <w:spacing w:after="0"/>
              <w:rPr>
                <w:sz w:val="24"/>
                <w:szCs w:val="24"/>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unallocated amounts:</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80" w:type="dxa"/>
            <w:vAlign w:val="bottom"/>
          </w:tcPr>
          <w:p>
            <w:pPr>
              <w:ind w:left="420"/>
              <w:spacing w:after="0"/>
              <w:rPr>
                <w:sz w:val="20"/>
                <w:szCs w:val="20"/>
                <w:color w:val="auto"/>
              </w:rPr>
            </w:pPr>
            <w:r>
              <w:rPr>
                <w:rFonts w:ascii="Arial" w:cs="Arial" w:eastAsia="Arial" w:hAnsi="Arial"/>
                <w:sz w:val="18"/>
                <w:szCs w:val="18"/>
                <w:color w:val="auto"/>
              </w:rPr>
              <w:t>Corporate expenses</w:t>
            </w:r>
          </w:p>
        </w:tc>
        <w:tc>
          <w:tcPr>
            <w:tcW w:w="2680" w:type="dxa"/>
            <w:vAlign w:val="bottom"/>
            <w:gridSpan w:val="3"/>
          </w:tcPr>
          <w:p>
            <w:pPr>
              <w:jc w:val="right"/>
              <w:ind w:right="500"/>
              <w:spacing w:after="0"/>
              <w:rPr>
                <w:sz w:val="20"/>
                <w:szCs w:val="20"/>
                <w:color w:val="auto"/>
              </w:rPr>
            </w:pPr>
            <w:r>
              <w:rPr>
                <w:rFonts w:ascii="Arial" w:cs="Arial" w:eastAsia="Arial" w:hAnsi="Arial"/>
                <w:sz w:val="18"/>
                <w:szCs w:val="18"/>
                <w:color w:val="auto"/>
              </w:rPr>
              <w:t>(378)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56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5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18"/>
                <w:szCs w:val="18"/>
                <w:color w:val="auto"/>
              </w:rPr>
            </w:pPr>
          </w:p>
        </w:tc>
      </w:tr>
      <w:tr>
        <w:trPr>
          <w:trHeight w:val="222"/>
        </w:trPr>
        <w:tc>
          <w:tcPr>
            <w:tcW w:w="5680" w:type="dxa"/>
            <w:vAlign w:val="bottom"/>
          </w:tcPr>
          <w:p>
            <w:pPr>
              <w:ind w:left="420"/>
              <w:spacing w:after="0"/>
              <w:rPr>
                <w:sz w:val="20"/>
                <w:szCs w:val="20"/>
                <w:color w:val="auto"/>
              </w:rPr>
            </w:pPr>
            <w:r>
              <w:rPr>
                <w:rFonts w:ascii="Arial" w:cs="Arial" w:eastAsia="Arial" w:hAnsi="Arial"/>
                <w:sz w:val="18"/>
                <w:szCs w:val="18"/>
                <w:color w:val="auto"/>
              </w:rPr>
              <w:t>Goodwill amortization</w:t>
            </w:r>
          </w:p>
        </w:tc>
        <w:tc>
          <w:tcPr>
            <w:tcW w:w="2680" w:type="dxa"/>
            <w:vAlign w:val="bottom"/>
            <w:gridSpan w:val="3"/>
          </w:tcPr>
          <w:p>
            <w:pPr>
              <w:jc w:val="right"/>
              <w:ind w:right="500"/>
              <w:spacing w:after="0"/>
              <w:rPr>
                <w:sz w:val="20"/>
                <w:szCs w:val="20"/>
                <w:color w:val="auto"/>
              </w:rPr>
            </w:pPr>
            <w:r>
              <w:rPr>
                <w:rFonts w:ascii="Arial" w:cs="Arial" w:eastAsia="Arial" w:hAnsi="Arial"/>
                <w:sz w:val="18"/>
                <w:szCs w:val="18"/>
                <w:color w:val="auto"/>
              </w:rPr>
              <w:t>(72)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110"/>
        </w:trPr>
        <w:tc>
          <w:tcPr>
            <w:tcW w:w="5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80" w:type="dxa"/>
            <w:vAlign w:val="bottom"/>
            <w:gridSpan w:val="3"/>
          </w:tcPr>
          <w:p>
            <w:pPr>
              <w:jc w:val="right"/>
              <w:ind w:right="500"/>
              <w:spacing w:after="0"/>
              <w:rPr>
                <w:sz w:val="20"/>
                <w:szCs w:val="20"/>
                <w:color w:val="auto"/>
              </w:rPr>
            </w:pPr>
            <w:r>
              <w:rPr>
                <w:rFonts w:ascii="Arial" w:cs="Arial" w:eastAsia="Arial" w:hAnsi="Arial"/>
                <w:sz w:val="18"/>
                <w:szCs w:val="18"/>
                <w:color w:val="auto"/>
              </w:rPr>
              <w:t>$ (2,142)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$15,929</w:t>
            </w:r>
          </w:p>
        </w:tc>
        <w:tc>
          <w:tcPr>
            <w:tcW w:w="60" w:type="dxa"/>
            <w:vAlign w:val="bottom"/>
          </w:tcPr>
          <w:p>
            <w:pPr>
              <w:spacing w:after="0"/>
              <w:rPr>
                <w:sz w:val="24"/>
                <w:szCs w:val="24"/>
                <w:color w:val="auto"/>
              </w:rPr>
            </w:pPr>
          </w:p>
        </w:tc>
      </w:tr>
      <w:tr>
        <w:trPr>
          <w:trHeight w:val="107"/>
        </w:trPr>
        <w:tc>
          <w:tcPr>
            <w:tcW w:w="5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6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-1163320</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-1163320</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-331470</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-331470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14"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1420" w:type="dxa"/>
            <w:vAlign w:val="bottom"/>
            <w:gridSpan w:val="3"/>
          </w:tcPr>
          <w:p>
            <w:pPr>
              <w:ind w:left="240"/>
              <w:spacing w:after="0"/>
              <w:rPr>
                <w:sz w:val="20"/>
                <w:szCs w:val="20"/>
                <w:color w:val="auto"/>
              </w:rPr>
            </w:pPr>
            <w:r>
              <w:rPr>
                <w:rFonts w:ascii="Arial" w:cs="Arial" w:eastAsia="Arial" w:hAnsi="Arial"/>
                <w:sz w:val="18"/>
                <w:szCs w:val="18"/>
                <w:b w:val="1"/>
                <w:bCs w:val="1"/>
                <w:color w:val="auto"/>
                <w:w w:val="90"/>
              </w:rPr>
              <w:t>March 31, 2001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 2000</w:t>
            </w:r>
          </w:p>
        </w:tc>
        <w:tc>
          <w:tcPr>
            <w:tcW w:w="0" w:type="dxa"/>
            <w:vAlign w:val="bottom"/>
          </w:tcPr>
          <w:p>
            <w:pPr>
              <w:spacing w:after="0"/>
              <w:rPr>
                <w:sz w:val="1"/>
                <w:szCs w:val="1"/>
                <w:color w:val="auto"/>
              </w:rPr>
            </w:pPr>
          </w:p>
        </w:tc>
      </w:tr>
      <w:tr>
        <w:trPr>
          <w:trHeight w:val="110"/>
        </w:trPr>
        <w:tc>
          <w:tcPr>
            <w:tcW w:w="580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vMerge w:val="restart"/>
          </w:tcPr>
          <w:p>
            <w:pPr>
              <w:spacing w:after="0"/>
              <w:rPr>
                <w:sz w:val="20"/>
                <w:szCs w:val="20"/>
                <w:color w:val="auto"/>
              </w:rPr>
            </w:pPr>
            <w:r>
              <w:rPr>
                <w:rFonts w:ascii="Arial" w:cs="Arial" w:eastAsia="Arial" w:hAnsi="Arial"/>
                <w:sz w:val="18"/>
                <w:szCs w:val="18"/>
                <w:color w:val="auto"/>
              </w:rPr>
              <w:t>Total assets by segment:</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700"/>
              <w:spacing w:after="0"/>
              <w:rPr>
                <w:sz w:val="20"/>
                <w:szCs w:val="20"/>
                <w:color w:val="auto"/>
              </w:rPr>
            </w:pPr>
            <w:r>
              <w:rPr>
                <w:rFonts w:ascii="Arial" w:cs="Arial" w:eastAsia="Arial" w:hAnsi="Arial"/>
                <w:sz w:val="18"/>
                <w:szCs w:val="18"/>
                <w:color w:val="auto"/>
              </w:rPr>
              <w:t>Semiconductor equipment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99,577</w:t>
            </w:r>
          </w:p>
        </w:tc>
        <w:tc>
          <w:tcPr>
            <w:tcW w:w="34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$110,612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700"/>
              <w:spacing w:after="0"/>
              <w:rPr>
                <w:sz w:val="20"/>
                <w:szCs w:val="20"/>
                <w:color w:val="auto"/>
              </w:rPr>
            </w:pPr>
            <w:r>
              <w:rPr>
                <w:rFonts w:ascii="Arial" w:cs="Arial" w:eastAsia="Arial" w:hAnsi="Arial"/>
                <w:sz w:val="18"/>
                <w:szCs w:val="18"/>
                <w:color w:val="auto"/>
              </w:rPr>
              <w:t>Television cameras</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9,907</w:t>
            </w:r>
          </w:p>
        </w:tc>
        <w:tc>
          <w:tcPr>
            <w:tcW w:w="340" w:type="dxa"/>
            <w:vAlign w:val="bottom"/>
          </w:tcPr>
          <w:p>
            <w:pPr>
              <w:spacing w:after="0"/>
              <w:rPr>
                <w:sz w:val="19"/>
                <w:szCs w:val="19"/>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10,951</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00" w:type="dxa"/>
            <w:vAlign w:val="bottom"/>
          </w:tcPr>
          <w:p>
            <w:pPr>
              <w:ind w:left="1420"/>
              <w:spacing w:after="0"/>
              <w:rPr>
                <w:sz w:val="20"/>
                <w:szCs w:val="20"/>
                <w:color w:val="auto"/>
              </w:rPr>
            </w:pPr>
            <w:r>
              <w:rPr>
                <w:rFonts w:ascii="Arial" w:cs="Arial" w:eastAsia="Arial" w:hAnsi="Arial"/>
                <w:sz w:val="18"/>
                <w:szCs w:val="18"/>
                <w:color w:val="auto"/>
              </w:rPr>
              <w:t>Total assets for reportable segments</w:t>
            </w: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109,484</w:t>
            </w:r>
          </w:p>
        </w:tc>
        <w:tc>
          <w:tcPr>
            <w:tcW w:w="340" w:type="dxa"/>
            <w:vAlign w:val="bottom"/>
          </w:tcPr>
          <w:p>
            <w:pPr>
              <w:spacing w:after="0"/>
              <w:rPr>
                <w:sz w:val="24"/>
                <w:szCs w:val="24"/>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121,563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700"/>
              <w:spacing w:after="0"/>
              <w:rPr>
                <w:sz w:val="20"/>
                <w:szCs w:val="20"/>
                <w:color w:val="auto"/>
              </w:rPr>
            </w:pPr>
            <w:r>
              <w:rPr>
                <w:rFonts w:ascii="Arial" w:cs="Arial" w:eastAsia="Arial" w:hAnsi="Arial"/>
                <w:sz w:val="18"/>
                <w:szCs w:val="18"/>
                <w:color w:val="auto"/>
              </w:rPr>
              <w:t>All other operating segments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6,578</w:t>
            </w:r>
          </w:p>
        </w:tc>
        <w:tc>
          <w:tcPr>
            <w:tcW w:w="34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6,477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700"/>
              <w:spacing w:after="0"/>
              <w:rPr>
                <w:sz w:val="20"/>
                <w:szCs w:val="20"/>
                <w:color w:val="auto"/>
              </w:rPr>
            </w:pPr>
            <w:r>
              <w:rPr>
                <w:rFonts w:ascii="Arial" w:cs="Arial" w:eastAsia="Arial" w:hAnsi="Arial"/>
                <w:sz w:val="18"/>
                <w:szCs w:val="18"/>
                <w:color w:val="auto"/>
              </w:rPr>
              <w:t>Corporate</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107,778</w:t>
            </w:r>
          </w:p>
        </w:tc>
        <w:tc>
          <w:tcPr>
            <w:tcW w:w="340" w:type="dxa"/>
            <w:vAlign w:val="bottom"/>
          </w:tcPr>
          <w:p>
            <w:pPr>
              <w:spacing w:after="0"/>
              <w:rPr>
                <w:sz w:val="19"/>
                <w:szCs w:val="19"/>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103,455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color w:val="auto"/>
              </w:rPr>
              <w:t>Total consolidated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223,840</w:t>
            </w:r>
          </w:p>
        </w:tc>
        <w:tc>
          <w:tcPr>
            <w:tcW w:w="340" w:type="dxa"/>
            <w:vAlign w:val="bottom"/>
          </w:tcPr>
          <w:p>
            <w:pPr>
              <w:spacing w:after="0"/>
              <w:rPr>
                <w:sz w:val="24"/>
                <w:szCs w:val="24"/>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$231,495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-1583690</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-1583690</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-889000</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-889000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-331470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-331470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Real Estate Transactions</w:t>
      </w:r>
    </w:p>
    <w:p>
      <w:pPr>
        <w:spacing w:after="0" w:line="212" w:lineRule="exact"/>
        <w:rPr>
          <w:sz w:val="20"/>
          <w:szCs w:val="20"/>
          <w:color w:val="auto"/>
        </w:rPr>
      </w:pPr>
    </w:p>
    <w:p>
      <w:pPr>
        <w:ind w:left="460" w:right="40"/>
        <w:spacing w:after="0" w:line="234" w:lineRule="auto"/>
        <w:rPr>
          <w:sz w:val="20"/>
          <w:szCs w:val="20"/>
          <w:color w:val="auto"/>
        </w:rPr>
      </w:pPr>
      <w:r>
        <w:rPr>
          <w:rFonts w:ascii="Arial" w:cs="Arial" w:eastAsia="Arial" w:hAnsi="Arial"/>
          <w:sz w:val="22"/>
          <w:szCs w:val="22"/>
          <w:color w:val="auto"/>
        </w:rPr>
        <w:t>On April 16, 2001 the Company sold its land and buildings in San Diego, California to TC Kearny Villa, L.P., an unrelated party, for $12.5 million, excluding commissions and other related expenses. The $12.5 million purchase price included a cash payment of $3.1 million and a $9.4 million, 8% non-recourse note secured by a deed of trust on the property due in six months. The note also provides for a 180-day extension option. The Company entered into a two-month (three-months if a one-month extension option is exercised) leaseback of the property with the buyer. The Company expects to record a pretax gain on the transaction of approximately $7 million in the second or third quarter of 2001, upon the expiration of the leaseback.</w:t>
      </w:r>
    </w:p>
    <w:p>
      <w:pPr>
        <w:spacing w:after="0" w:line="218" w:lineRule="exact"/>
        <w:rPr>
          <w:sz w:val="20"/>
          <w:szCs w:val="20"/>
          <w:color w:val="auto"/>
        </w:rPr>
      </w:pPr>
    </w:p>
    <w:p>
      <w:pPr>
        <w:ind w:left="460" w:right="20"/>
        <w:spacing w:after="0" w:line="282" w:lineRule="auto"/>
        <w:rPr>
          <w:sz w:val="20"/>
          <w:szCs w:val="20"/>
          <w:color w:val="auto"/>
        </w:rPr>
      </w:pPr>
      <w:r>
        <w:rPr>
          <w:rFonts w:ascii="Arial" w:cs="Arial" w:eastAsia="Arial" w:hAnsi="Arial"/>
          <w:sz w:val="19"/>
          <w:szCs w:val="19"/>
          <w:color w:val="auto"/>
        </w:rPr>
        <w:t>On April 23, 2001 the Company completed the acquisition of real property in Poway, California consisting of a 338,000 square-foot office/industrial building and approximately twenty acres of land (“the Poway Facility”). The purchase price of the Poway Facility was approximately $21.3 million and was funded from the Company’s cash reserves in October 2000. The Company is currently remodeling the Poway Facility at an estimated cost of $4 million and plans on moving its corporate headquarters and the San Diego operations of its Delta Design subsidiary to the Poway Facility in mid 2001.</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5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March 31, 2001</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22"/>
          <w:szCs w:val="22"/>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historical results of operations including the periods described herein may not be indicative of future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2001 Compared to First Quarter 2000</w:t>
      </w:r>
    </w:p>
    <w:p>
      <w:pPr>
        <w:sectPr>
          <w:pgSz w:w="11900" w:h="16838" w:orient="portrait"/>
          <w:cols w:equalWidth="0" w:num="1">
            <w:col w:w="11360"/>
          </w:cols>
          <w:pgMar w:left="240" w:top="131" w:right="299" w:bottom="202" w:gutter="0" w:footer="0" w:header="0"/>
        </w:sectPr>
      </w:pPr>
    </w:p>
    <w:bookmarkStart w:id="6" w:name="page7"/>
    <w:bookmarkEnd w:id="6"/>
    <w:p>
      <w:pPr>
        <w:ind w:right="260"/>
        <w:spacing w:after="0" w:line="236" w:lineRule="auto"/>
        <w:rPr>
          <w:sz w:val="20"/>
          <w:szCs w:val="20"/>
          <w:color w:val="auto"/>
        </w:rPr>
      </w:pPr>
      <w:r>
        <w:rPr>
          <w:rFonts w:ascii="Arial" w:cs="Arial" w:eastAsia="Arial" w:hAnsi="Arial"/>
          <w:sz w:val="22"/>
          <w:szCs w:val="22"/>
          <w:color w:val="auto"/>
        </w:rPr>
        <w:t>In the fourth quarter of 2000, Cohu changed its method of accounting for revenue recognition to comply with SEC Staff Accounting Bulletin No. 101 (“SAB 101”). In accordance with SAB 101, the new method of accounting has been applied retroactively to transactions that occurred prior to 2000. The cumulative effect adjustment of the change in accounting on prior years through December 31, 1999 was a reduction to income of $3.3 million (after credit for income taxes of $1.7 million) and is included in income for the three months ended March 31, 2000.</w:t>
      </w:r>
    </w:p>
    <w:p>
      <w:pPr>
        <w:spacing w:after="0" w:line="188"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Cohu was impacted by the downturn in the semiconductor equipment industry that began in late 2000 and as a result our net sales decreased 40% to $43.7 million in 2001 compared to net sales of $72.7 million in 2000. Sales of semiconductor test handling equipment in 2001 decreased 44% from the 2000 period and accounted for 81% of consolidated net sales in 2001 versus 87% in 2000. Sales of television cameras and other equipment accounted for 13% of net sales in 2001 and decreased 10% while the combined sales of metal detection and microwave equipment decreased 17%.</w:t>
      </w:r>
    </w:p>
    <w:p>
      <w:pPr>
        <w:spacing w:after="0" w:line="179"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Gross margin as a percentage of net sales decreased to 26.3% in 2001 from 39.2% in 2000 primarily as a result of lower margins in the semiconductor equipment business. Within the semiconductor equipment segment, margins decreased in 2001 primarily as a result of decreased business volume and increased provisions for excess and obsolete inventory. In the quarter ended March 31, 2001, the Company recorded a charge for excess and obsolete inventory of $4.2 million primarily as a result of changes in customer forecasts. Continued changes to customer forecasts may require additional provisions for excess and obsolete inventories that may negatively impact gross margin in future periods. Research and development expense as a percentage of net sales was 19.3% in 2001, compared to 9.3% in 2000, increasing in absolute dollars from $6.8 million in 2000 to $8.4 million in 2001 as a result of new product development programs in the semiconductor equipment business. Selling, general and administrative expense as a percentage of net sales increased to 14.9% in 2001 from 9.8% in 2000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1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March 31, 2001</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primarily as a result of the decrease in business volume. Interest income was $1.3 million in 2001 and 2000. The provision (credit) for income taxes expressed as a percentage of pre-tax income was (37.3)% in the first quarter of 2001 and 34.4% in 2000. As a result of the factors set forth above, net income was $7.2 million in 2000 compared to a net loss of $1.3 million in 2001.</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Company’s net cash flows generated from operating activities in the first three months of 2001 totaled $3.8 million. The major components of cash flows from operating activities were a net loss of $1.3 million, decreases in accounts receivable of $7.8 million and inventories of $2.8 million and decreases in other accrued liabilities and deferred profit of $3.5 million and $2.5 million, respectively. Net cash used for investing activities included $1.5 million for the purchase of short-term investments, less maturities, and purchases of property, plant and equipment and other assets of $.8 million. Net cash used for financing activities was</w:t>
      </w:r>
    </w:p>
    <w:p>
      <w:pPr>
        <w:spacing w:after="0" w:line="4"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$.6 million. Cash used for financing activities included $.4 million received from the issuance of stock upon the exercise of stock options offset by $1.0 million for the payment of dividends. The Company had $10 million available under its bank line of credit and working capital of $158.9 million at March 31, 2001. It is anticipated that present working capital and available borrowings under the line of credit will be sufficient to meet the Company’s 2001 operating requirements including any capital asset additions.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RISKS AND UNCERTAINTIES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semiconductor industry we serve is highly volatile and unpredictable.</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into 2001.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In the quarter ended March 31, 2001, the Company recorded a charge for excess and obsolete inventory of $4.2 million primarily as a result of changes in customer forecasts.</w:t>
      </w: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 have experienced significant increases in our electricity costs and we may be exposed to power shortages.</w:t>
      </w:r>
    </w:p>
    <w:p>
      <w:pPr>
        <w:spacing w:after="0" w:line="224"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Cohu is a significant user of electricity. The state of California has deregulated the price of electricity. Deregulation combined with increases in the cost of generating electricity have resulted in a significant rise in Cohu’s electricity costs during the past year.</w:t>
      </w:r>
    </w:p>
    <w:p>
      <w:pPr>
        <w:sectPr>
          <w:pgSz w:w="11900" w:h="16838" w:orient="portrait"/>
          <w:cols w:equalWidth="0" w:num="1">
            <w:col w:w="11420"/>
          </w:cols>
          <w:pgMar w:left="240" w:top="118" w:right="239" w:bottom="0" w:gutter="0" w:footer="0" w:header="0"/>
        </w:sectPr>
      </w:pPr>
    </w:p>
    <w:bookmarkStart w:id="7" w:name="page8"/>
    <w:bookmarkEnd w:id="7"/>
    <w:p>
      <w:pPr>
        <w:ind w:right="140"/>
        <w:spacing w:after="0" w:line="329" w:lineRule="auto"/>
        <w:rPr>
          <w:sz w:val="20"/>
          <w:szCs w:val="20"/>
          <w:color w:val="auto"/>
        </w:rPr>
      </w:pPr>
      <w:r>
        <w:rPr>
          <w:rFonts w:ascii="Arial" w:cs="Arial" w:eastAsia="Arial" w:hAnsi="Arial"/>
          <w:sz w:val="19"/>
          <w:szCs w:val="19"/>
          <w:color w:val="auto"/>
        </w:rPr>
        <w:t>Market forecasts predict significant increases in electricity prices in the future that will result in increased costs to Cohu that could have an adverse impact on our results of operations. In addition, we expect our electricity costs to increase as a result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1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RISKS AND UNCERTAINTIES (cont.)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moving certain of our San Diego operations to a significantly larger facility in nearby Poway, California in mid 2001.</w:t>
      </w:r>
    </w:p>
    <w:p>
      <w:pPr>
        <w:spacing w:after="0" w:line="206"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Power shortages have caused “blackouts” throughout California and San Diego County. In March 2001, Cohu’s operations were temporarily suspended as a result of a blackout. Blackouts may become more prevalent as electricity demands increase in the peak summer months.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42" w:lineRule="exact"/>
        <w:rPr>
          <w:sz w:val="20"/>
          <w:szCs w:val="20"/>
          <w:color w:val="auto"/>
        </w:rPr>
      </w:pPr>
    </w:p>
    <w:p>
      <w:pPr>
        <w:ind w:right="480"/>
        <w:spacing w:after="0" w:line="335" w:lineRule="auto"/>
        <w:rPr>
          <w:sz w:val="20"/>
          <w:szCs w:val="20"/>
          <w:color w:val="auto"/>
        </w:rPr>
      </w:pPr>
      <w:r>
        <w:rPr>
          <w:rFonts w:ascii="Arial" w:cs="Arial" w:eastAsia="Arial" w:hAnsi="Arial"/>
          <w:sz w:val="19"/>
          <w:szCs w:val="19"/>
          <w:b w:val="1"/>
          <w:b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98"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greater excess and obsolete inventory exposure. This increased exposure resulted in increased excess inventory reserve requirements during the third and fourth quarter of 2000 and the first quarter of 2001. Future inventory write-offs and increased reserve requirements could have a material adverse impact on our results of operations and financial condition.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w:t>
      </w:r>
    </w:p>
    <w:p>
      <w:pPr>
        <w:spacing w:after="0" w:line="2"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1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RISKS AND UNCERTAINTIES (cont.)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86"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The transition from product development to the manufacture of new semiconductor equipment is a difficult process and delays in product introductions and problems in manufacturing such equipment are common. We have in the past and may in the future</w:t>
      </w:r>
    </w:p>
    <w:p>
      <w:pPr>
        <w:sectPr>
          <w:pgSz w:w="11900" w:h="16838" w:orient="portrait"/>
          <w:cols w:equalWidth="0" w:num="1">
            <w:col w:w="11420"/>
          </w:cols>
          <w:pgMar w:left="240" w:top="118" w:right="239" w:bottom="0" w:gutter="0" w:footer="0" w:header="0"/>
        </w:sectPr>
      </w:pPr>
    </w:p>
    <w:bookmarkStart w:id="8" w:name="page9"/>
    <w:bookmarkEnd w:id="8"/>
    <w:p>
      <w:pPr>
        <w:ind w:right="120"/>
        <w:spacing w:after="0" w:line="235" w:lineRule="auto"/>
        <w:rPr>
          <w:sz w:val="20"/>
          <w:szCs w:val="20"/>
          <w:color w:val="auto"/>
        </w:rPr>
      </w:pPr>
      <w:r>
        <w:rPr>
          <w:rFonts w:ascii="Arial" w:cs="Arial" w:eastAsia="Arial" w:hAnsi="Arial"/>
          <w:sz w:val="22"/>
          <w:szCs w:val="22"/>
          <w:color w:val="auto"/>
        </w:rPr>
        <w:t>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semiconductor equipment industry in general, and the test handler market in particular, is highly competitive.</w:t>
      </w:r>
    </w:p>
    <w:p>
      <w:pPr>
        <w:spacing w:after="0" w:line="224"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limited number of customers account for a substantial percentage of our net sales.</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We rely on a limited number of customers for a substantial percentage of our net sales. In 2000, four customers of the semiconductor equipment segment accounted for 50% (46% in 1999 and 60% in 1998) of our net sales. The loss of or a significant reduction in orders by these or other significant customers as a result of competitive products, market conditions, outsourcing final IC test to test subcontractors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5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RISKS AND UNCERTAINTIES (cont.)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backlog is limited and may not accurately reflect future business activity.</w:t>
      </w:r>
    </w:p>
    <w:p>
      <w:pPr>
        <w:spacing w:after="0" w:line="212"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Our order backlog has historically represented approximately three months of revenue and as a result our visibility over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as of any point in time may not be representative of actual sales in any future period. Furthermore, all orders are subject to cancellation or rescheduling by the customer with limited penalty. A reduction in backlog during any particular period, such as occurred in the first quarter of 2001 where the Company’s backlog declined to $41.5 million at March 31, 2001, could have a material adverse effect on our business, financial condition and results of operations.</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The cyclical nature of the semiconductor equipment industry places enormous demands on our employees, operations and infrastructure.</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the first quarter of 2001, we reduced our workforce approximately 20% as a result of a downturn in the semiconductor equipment industry. If the current industry downturn continues, further workforce reductions will be required.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the large number of additions to our workforce. In</w:t>
      </w:r>
    </w:p>
    <w:p>
      <w:pPr>
        <w:sectPr>
          <w:pgSz w:w="11900" w:h="16838" w:orient="portrait"/>
          <w:cols w:equalWidth="0" w:num="1">
            <w:col w:w="11380"/>
          </w:cols>
          <w:pgMar w:left="240" w:top="118" w:right="279" w:bottom="0" w:gutter="0" w:footer="0" w:header="0"/>
        </w:sectPr>
      </w:pPr>
    </w:p>
    <w:bookmarkStart w:id="9" w:name="page10"/>
    <w:bookmarkEnd w:id="9"/>
    <w:p>
      <w:pPr>
        <w:ind w:right="40"/>
        <w:spacing w:after="0" w:line="235" w:lineRule="auto"/>
        <w:rPr>
          <w:sz w:val="20"/>
          <w:szCs w:val="20"/>
          <w:color w:val="auto"/>
        </w:rPr>
      </w:pPr>
      <w:r>
        <w:rPr>
          <w:rFonts w:ascii="Arial" w:cs="Arial" w:eastAsia="Arial" w:hAnsi="Arial"/>
          <w:sz w:val="22"/>
          <w:szCs w:val="22"/>
          <w:color w:val="auto"/>
        </w:rPr>
        <w:t>addition, competition for the employment services of certain personnel, particularly those with technical skills, is intense. The volatility in headcount and business levels, combined with the cyclical nature of the semiconductor industry, may require that we invest substantial amounts in new operational and financial systems, procedures and controls and in improved and expanded facilities.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have experienced a significant decline in gravity-feed test handler sales to DRAM customers.</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IC handlers used in DRAM applications account for a significant portion of the worldwide IC handler market.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1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RISKS AND UNCERTAINTIES (cont.)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are exposed to the risks of operating a global business.</w:t>
      </w:r>
    </w:p>
    <w:p>
      <w:pPr>
        <w:spacing w:after="0" w:line="212"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45" w:lineRule="exact"/>
        <w:rPr>
          <w:sz w:val="20"/>
          <w:szCs w:val="20"/>
          <w:color w:val="auto"/>
        </w:rPr>
      </w:pPr>
    </w:p>
    <w:p>
      <w:pPr>
        <w:ind w:right="400"/>
        <w:spacing w:after="0" w:line="256" w:lineRule="auto"/>
        <w:rPr>
          <w:sz w:val="20"/>
          <w:szCs w:val="20"/>
          <w:color w:val="auto"/>
        </w:rPr>
      </w:pPr>
      <w:r>
        <w:rPr>
          <w:rFonts w:ascii="Arial" w:cs="Arial" w:eastAsia="Arial" w:hAnsi="Arial"/>
          <w:sz w:val="22"/>
          <w:szCs w:val="22"/>
          <w:b w:val="1"/>
          <w:bCs w:val="1"/>
          <w:color w:val="auto"/>
        </w:rPr>
        <w:t>Failure of critical suppliers to deliver sufficient quantities of parts in a timely and cost-effective manner could adversely impact our operations.</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85" w:lineRule="exact"/>
        <w:rPr>
          <w:sz w:val="20"/>
          <w:szCs w:val="20"/>
          <w:color w:val="auto"/>
        </w:rPr>
      </w:pPr>
    </w:p>
    <w:p>
      <w:pPr>
        <w:ind w:right="720"/>
        <w:spacing w:after="0" w:line="256" w:lineRule="auto"/>
        <w:rPr>
          <w:sz w:val="20"/>
          <w:szCs w:val="20"/>
          <w:color w:val="auto"/>
        </w:rPr>
      </w:pPr>
      <w:r>
        <w:rPr>
          <w:rFonts w:ascii="Arial" w:cs="Arial" w:eastAsia="Arial" w:hAnsi="Arial"/>
          <w:sz w:val="22"/>
          <w:szCs w:val="22"/>
          <w:b w:val="1"/>
          <w:bCs w:val="1"/>
          <w:color w:val="auto"/>
        </w:rPr>
        <w:t>We are exposed to the risk that third parties may violate our proprietary rights or accuse us of infringing upon their proprietary rights.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1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RISKS AND UNCERTAINTIES (cont.)</w:t>
      </w:r>
    </w:p>
    <w:p>
      <w:pPr>
        <w:sectPr>
          <w:pgSz w:w="11900" w:h="16838" w:orient="portrait"/>
          <w:cols w:equalWidth="0" w:num="1">
            <w:col w:w="11420"/>
          </w:cols>
          <w:pgMar w:left="240" w:top="118" w:right="239" w:bottom="0" w:gutter="0" w:footer="0" w:header="0"/>
        </w:sectPr>
      </w:pPr>
    </w:p>
    <w:bookmarkStart w:id="10" w:name="page11"/>
    <w:bookmarkEnd w:id="10"/>
    <w:p>
      <w:pPr>
        <w:spacing w:after="0" w:line="61" w:lineRule="exact"/>
        <w:rPr>
          <w:sz w:val="20"/>
          <w:szCs w:val="20"/>
          <w:color w:val="auto"/>
        </w:rPr>
      </w:pPr>
    </w:p>
    <w:p>
      <w:pPr>
        <w:ind w:right="100"/>
        <w:spacing w:after="0" w:line="280" w:lineRule="auto"/>
        <w:rPr>
          <w:sz w:val="20"/>
          <w:szCs w:val="20"/>
          <w:color w:val="auto"/>
        </w:rPr>
      </w:pPr>
      <w:r>
        <w:rPr>
          <w:rFonts w:ascii="Arial" w:cs="Arial" w:eastAsia="Arial" w:hAnsi="Arial"/>
          <w:sz w:val="21"/>
          <w:szCs w:val="21"/>
          <w:b w:val="1"/>
          <w:b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45"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During 2000, 63% of our total net sales were exported to foreign countries, including 71%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non semiconductor equipment businesses have experienced little or no growth over the last five years.</w:t>
      </w:r>
    </w:p>
    <w:p>
      <w:pPr>
        <w:spacing w:after="0" w:line="212" w:lineRule="exact"/>
        <w:rPr>
          <w:sz w:val="20"/>
          <w:szCs w:val="20"/>
          <w:color w:val="auto"/>
        </w:rPr>
      </w:pPr>
    </w:p>
    <w:p>
      <w:pPr>
        <w:ind w:right="260"/>
        <w:spacing w:after="0" w:line="247" w:lineRule="auto"/>
        <w:rPr>
          <w:sz w:val="20"/>
          <w:szCs w:val="20"/>
          <w:color w:val="auto"/>
        </w:rPr>
      </w:pPr>
      <w:r>
        <w:rPr>
          <w:rFonts w:ascii="Arial" w:cs="Arial" w:eastAsia="Arial" w:hAnsi="Arial"/>
          <w:sz w:val="21"/>
          <w:szCs w:val="21"/>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some of these businesses over the last several years and the future prospects for certain of these businesses remain uncertain. We may not be able to continue to compete successfully in these businesses.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rules may impact the timing of revenue recognition and operating results.</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 xml:space="preserve">In December 1999, the staff of the Securities and Exchange Commission issued SAB 101, </w:t>
      </w:r>
      <w:r>
        <w:rPr>
          <w:rFonts w:ascii="Arial" w:cs="Arial" w:eastAsia="Arial" w:hAnsi="Arial"/>
          <w:sz w:val="19"/>
          <w:szCs w:val="19"/>
          <w:i w:val="1"/>
          <w:iCs w:val="1"/>
          <w:color w:val="auto"/>
        </w:rPr>
        <w:t>Revenue Recognition in 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Statements</w:t>
      </w:r>
      <w:r>
        <w:rPr>
          <w:rFonts w:ascii="Arial" w:cs="Arial" w:eastAsia="Arial" w:hAnsi="Arial"/>
          <w:sz w:val="19"/>
          <w:szCs w:val="19"/>
          <w:color w:val="auto"/>
        </w:rPr>
        <w:t>. Cohu adopted SAB 101 in the fourth quarter of 2000 and, as required, changed its method of revenue recognition in</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instances. As a result of this change, a cumulative effect adjustment was recorded in Cohu’s statement of income for the quarter ended March 31, 2000. Further changes in revenue recognition practices resulting from initiatives by the FASB are possible. Such changes could result in additional adjustments to our results of operations that may be reflected in future periods.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COHU,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MANAGEMENT’S DISCUSSION AND ANALYSIS OF FINANCIAL CONDITION</w:t>
      </w:r>
    </w:p>
    <w:p>
      <w:pPr>
        <w:jc w:val="center"/>
        <w:ind w:right="-39"/>
        <w:spacing w:after="0" w:line="230" w:lineRule="auto"/>
        <w:rPr>
          <w:sz w:val="20"/>
          <w:szCs w:val="20"/>
          <w:color w:val="auto"/>
        </w:rPr>
      </w:pPr>
      <w:r>
        <w:rPr>
          <w:rFonts w:ascii="Arial" w:cs="Arial" w:eastAsia="Arial" w:hAnsi="Arial"/>
          <w:sz w:val="22"/>
          <w:szCs w:val="22"/>
          <w:b w:val="1"/>
          <w:bCs w:val="1"/>
          <w:color w:val="auto"/>
        </w:rPr>
        <w:t>AND RESULTS OF OPERATIONS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March 31, 2001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Interest rate risk.</w:t>
      </w:r>
    </w:p>
    <w:p>
      <w:pPr>
        <w:spacing w:after="0" w:line="212"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At March 31, 2001, our investment portfolio includes fixed-income securities with a fair value of approximately $83.9 million. These securities are subject to interest rate risk and will decline in value if interest rates increase. Due to the relatively short duration of our investment portfolio, an immediate one percent change in interest rates would have no material impact on our financial condition or results of operations.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Foreign currency exchange risk.</w:t>
      </w:r>
    </w:p>
    <w:p>
      <w:pPr>
        <w:spacing w:after="0" w:line="212"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2000 Annual Report on Form 10-K, that could cause actual results to differ materially from those projected or forecasted. Cohu undertakes no obligation to update the information, including the forward-looking statements, in this Form 10-Q.</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Part II</w:t>
      </w:r>
      <w:r>
        <w:rPr>
          <w:sz w:val="20"/>
          <w:szCs w:val="20"/>
          <w:color w:val="auto"/>
        </w:rPr>
        <w:tab/>
      </w:r>
      <w:r>
        <w:rPr>
          <w:rFonts w:ascii="Arial" w:cs="Arial" w:eastAsia="Arial" w:hAnsi="Arial"/>
          <w:sz w:val="19"/>
          <w:szCs w:val="19"/>
          <w:color w:val="auto"/>
        </w:rPr>
        <w:t>OTHER INFORMATION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Other Information</w:t>
      </w:r>
    </w:p>
    <w:p>
      <w:pPr>
        <w:sectPr>
          <w:pgSz w:w="11900" w:h="16899" w:orient="portrait"/>
          <w:cols w:equalWidth="0" w:num="1">
            <w:col w:w="11400"/>
          </w:cols>
          <w:pgMar w:left="240" w:top="112" w:right="259" w:bottom="0" w:gutter="0" w:footer="0" w:header="0"/>
        </w:sectPr>
      </w:pPr>
    </w:p>
    <w:bookmarkStart w:id="11" w:name="page12"/>
    <w:bookmarkEnd w:id="11"/>
    <w:p>
      <w:pPr>
        <w:ind w:left="920" w:right="20"/>
        <w:spacing w:after="0" w:line="247" w:lineRule="auto"/>
        <w:rPr>
          <w:sz w:val="20"/>
          <w:szCs w:val="20"/>
          <w:color w:val="auto"/>
        </w:rPr>
      </w:pPr>
      <w:r>
        <w:rPr>
          <w:rFonts w:ascii="Arial" w:cs="Arial" w:eastAsia="Arial" w:hAnsi="Arial"/>
          <w:sz w:val="21"/>
          <w:szCs w:val="21"/>
          <w:color w:val="auto"/>
        </w:rPr>
        <w:t>On April 16, 2001 the Company sold its land and buildings in San Diego, California to TC Kearny Villa, L.P., an unrelated party, for $12.5 million, excluding commissions and other related expenses. The $12.5 million purchase price included a cash payment of $3.1 million and a $9.4 million, 8% non-recourse note secured by a deed of trust on the property due in six months. The note also provides for a 180-day extension option. The Company entered into a two-month (three months if a one-month extension option is exercised) leaseback of the property with the buyer. The Company expects to record a pretax gain on the transaction of approximately $7 million in the second or third quarter of 2001, upon the expiration of the leaseback.</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On April 23, 2001 the Company completed the acquisition of real property in Poway, California consisting of a 338,000</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square-foot office/industrial building and approximately twenty acres of land (“the Poway Facility”). The purchase price</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21"/>
          <w:szCs w:val="21"/>
          <w:color w:val="auto"/>
        </w:rPr>
        <w:t>of the Poway Facility was approximately $21.3 million and was funded from the Company’s cash reserves in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October 2000. The Company is currently remodeling the Poway Facility at an estimated cost of $4 million and plans on</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moving its corporate headquarters and the San Diego operations of its Delta Design subsidiary to the Poway Facility in</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mid 2001.</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Exhibits and Reports on Form 8-K.</w:t>
      </w:r>
    </w:p>
    <w:p>
      <w:pPr>
        <w:spacing w:after="0" w:line="206" w:lineRule="exact"/>
        <w:rPr>
          <w:sz w:val="20"/>
          <w:szCs w:val="20"/>
          <w:color w:val="auto"/>
        </w:rPr>
      </w:pPr>
    </w:p>
    <w:p>
      <w:pPr>
        <w:ind w:left="1840" w:hanging="684"/>
        <w:spacing w:after="0"/>
        <w:tabs>
          <w:tab w:leader="none" w:pos="1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Exhibits: None.</w:t>
      </w:r>
    </w:p>
    <w:p>
      <w:pPr>
        <w:spacing w:after="0" w:line="206" w:lineRule="exact"/>
        <w:rPr>
          <w:rFonts w:ascii="Arial" w:cs="Arial" w:eastAsia="Arial" w:hAnsi="Arial"/>
          <w:sz w:val="22"/>
          <w:szCs w:val="22"/>
          <w:color w:val="auto"/>
        </w:rPr>
      </w:pPr>
    </w:p>
    <w:p>
      <w:pPr>
        <w:ind w:left="1840" w:hanging="684"/>
        <w:spacing w:after="0" w:line="251" w:lineRule="auto"/>
        <w:tabs>
          <w:tab w:leader="none" w:pos="1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Reports on Form 8-K: The Company did not file any reports on Form 8-K during the quarter ended March 31, 2001.</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8000"/>
        <w:spacing w:after="0"/>
        <w:rPr>
          <w:sz w:val="20"/>
          <w:szCs w:val="20"/>
          <w:color w:val="auto"/>
        </w:rPr>
      </w:pPr>
      <w:r>
        <w:rPr>
          <w:rFonts w:ascii="Arial" w:cs="Arial" w:eastAsia="Arial" w:hAnsi="Arial"/>
          <w:sz w:val="22"/>
          <w:szCs w:val="22"/>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63500</wp:posOffset>
            </wp:positionV>
            <wp:extent cx="3631565"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(Registrant)</w:t>
      </w:r>
    </w:p>
    <w:p>
      <w:pPr>
        <w:spacing w:after="0" w:line="206" w:lineRule="exact"/>
        <w:rPr>
          <w:sz w:val="20"/>
          <w:szCs w:val="20"/>
          <w:color w:val="auto"/>
        </w:rPr>
      </w:pPr>
    </w:p>
    <w:p>
      <w:pPr>
        <w:spacing w:after="0"/>
        <w:tabs>
          <w:tab w:leader="none" w:pos="1360" w:val="left"/>
          <w:tab w:leader="none" w:pos="5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April 27, 2001</w:t>
      </w:r>
      <w:r>
        <w:rPr>
          <w:sz w:val="20"/>
          <w:szCs w:val="20"/>
          <w:color w:val="auto"/>
        </w:rPr>
        <w:tab/>
      </w:r>
      <w:r>
        <w:rPr>
          <w:rFonts w:ascii="Arial" w:cs="Arial" w:eastAsia="Arial" w:hAnsi="Arial"/>
          <w:sz w:val="19"/>
          <w:szCs w:val="19"/>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63500</wp:posOffset>
            </wp:positionV>
            <wp:extent cx="6890385"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90385" cy="342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James A. Donahue</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President &amp; Chief Executive Officer</w:t>
      </w:r>
    </w:p>
    <w:p>
      <w:pPr>
        <w:spacing w:after="0" w:line="188" w:lineRule="exact"/>
        <w:rPr>
          <w:sz w:val="20"/>
          <w:szCs w:val="20"/>
          <w:color w:val="auto"/>
        </w:rPr>
      </w:pPr>
    </w:p>
    <w:p>
      <w:pPr>
        <w:spacing w:after="0"/>
        <w:tabs>
          <w:tab w:leader="none" w:pos="1360" w:val="left"/>
          <w:tab w:leader="none" w:pos="5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April 27, 2001</w:t>
      </w:r>
      <w:r>
        <w:rPr>
          <w:sz w:val="20"/>
          <w:szCs w:val="20"/>
          <w:color w:val="auto"/>
        </w:rPr>
        <w:tab/>
      </w:r>
      <w:r>
        <w:rPr>
          <w:rFonts w:ascii="Arial" w:cs="Arial" w:eastAsia="Arial" w:hAnsi="Arial"/>
          <w:sz w:val="19"/>
          <w:szCs w:val="19"/>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63500</wp:posOffset>
            </wp:positionV>
            <wp:extent cx="6890385"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90385" cy="342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John H. Allen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Vice President, Finance &amp; Chief Financial Officer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2019-12-12T22:40:10Z</dcterms:created>
  <dcterms:modified xsi:type="dcterms:W3CDTF">2019-12-12T22:40:10Z</dcterms:modified>
</cp:coreProperties>
</file>