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2000</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04"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6"/>
          <w:szCs w:val="16"/>
          <w:color w:val="auto"/>
        </w:rPr>
        <w:t>92123-1111</w:t>
      </w:r>
    </w:p>
    <w:p>
      <w:pPr>
        <w:sectPr>
          <w:pgSz w:w="11900" w:h="16838" w:orient="portrait"/>
          <w:cols w:equalWidth="0" w:num="1">
            <w:col w:w="10219"/>
          </w:cols>
          <w:pgMar w:left="240" w:top="244"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858-541-5194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244" w:right="1440" w:bottom="1440" w:gutter="0" w:footer="0" w:header="0"/>
          <w:type w:val="continuous"/>
        </w:sectPr>
      </w:pPr>
    </w:p>
    <w:p>
      <w:pPr>
        <w:spacing w:after="0" w:line="2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6220"/>
        <w:spacing w:after="0"/>
        <w:tabs>
          <w:tab w:leader="none" w:pos="6720" w:val="left"/>
          <w:tab w:leader="none" w:pos="7460" w:val="left"/>
          <w:tab w:leader="none" w:pos="788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9"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As of March 31, 2000, the Registrant had 20,176,881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4020"/>
        <w:spacing w:after="0" w:line="238" w:lineRule="auto"/>
        <w:rPr>
          <w:sz w:val="20"/>
          <w:szCs w:val="20"/>
          <w:color w:val="auto"/>
        </w:rPr>
      </w:pPr>
      <w:r>
        <w:rPr>
          <w:rFonts w:ascii="Courier New" w:cs="Courier New" w:eastAsia="Courier New" w:hAnsi="Courier New"/>
          <w:sz w:val="18"/>
          <w:szCs w:val="18"/>
          <w:color w:val="auto"/>
        </w:rPr>
        <w:t>INDEX</w:t>
      </w:r>
    </w:p>
    <w:p>
      <w:pPr>
        <w:ind w:left="3800"/>
        <w:spacing w:after="0"/>
        <w:rPr>
          <w:sz w:val="20"/>
          <w:szCs w:val="20"/>
          <w:color w:val="auto"/>
        </w:rPr>
      </w:pPr>
      <w:r>
        <w:rPr>
          <w:rFonts w:ascii="Courier New" w:cs="Courier New" w:eastAsia="Courier New" w:hAnsi="Courier New"/>
          <w:sz w:val="18"/>
          <w:szCs w:val="18"/>
          <w:color w:val="auto"/>
        </w:rPr>
        <w:t>FORM 10-Q</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7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 (Unaudited)</w:t>
            </w:r>
          </w:p>
        </w:tc>
        <w:tc>
          <w:tcPr>
            <w:tcW w:w="13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March 31, 2000 and December 31, 1999..........................................</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13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Three Months Ended March 31, 2000 and 1999....................................</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13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Three Months Ended March 31, 2000 and 1999....................................</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1"/>
              </w:rPr>
              <w:t>Notes to Unaudited Condensed Consolidated Financial Statements................</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Management's Discussion and Analysis of</w:t>
            </w:r>
          </w:p>
        </w:tc>
        <w:tc>
          <w:tcPr>
            <w:tcW w:w="13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Financial Condition and Results of Operations.................................</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2"/>
              </w:rPr>
              <w:t>Quantitative and Qualitative Disclosures about Market Risk...................</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w:t>
            </w: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136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2"/>
              </w:rPr>
              <w:t>Exhibits and Reports on Form 8-K.............................................</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w:t>
            </w:r>
          </w:p>
        </w:tc>
      </w:tr>
      <w:tr>
        <w:trPr>
          <w:trHeight w:val="810"/>
        </w:trPr>
        <w:tc>
          <w:tcPr>
            <w:tcW w:w="1060" w:type="dxa"/>
            <w:vAlign w:val="bottom"/>
          </w:tcPr>
          <w:p>
            <w:pPr>
              <w:spacing w:after="0"/>
              <w:rPr>
                <w:sz w:val="24"/>
                <w:szCs w:val="24"/>
                <w:color w:val="auto"/>
              </w:rPr>
            </w:pPr>
          </w:p>
        </w:tc>
        <w:tc>
          <w:tcPr>
            <w:tcW w:w="7700" w:type="dxa"/>
            <w:vAlign w:val="bottom"/>
          </w:tcPr>
          <w:p>
            <w:pPr>
              <w:ind w:left="3160"/>
              <w:spacing w:after="0"/>
              <w:rPr>
                <w:sz w:val="20"/>
                <w:szCs w:val="20"/>
                <w:color w:val="auto"/>
              </w:rPr>
            </w:pPr>
            <w:r>
              <w:rPr>
                <w:rFonts w:ascii="Courier New" w:cs="Courier New" w:eastAsia="Courier New" w:hAnsi="Courier New"/>
                <w:sz w:val="18"/>
                <w:szCs w:val="18"/>
                <w:color w:val="auto"/>
              </w:rPr>
              <w:t>2</w:t>
            </w:r>
          </w:p>
        </w:tc>
        <w:tc>
          <w:tcPr>
            <w:tcW w:w="136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ind w:left="3700"/>
        <w:spacing w:after="0"/>
        <w:rPr>
          <w:sz w:val="20"/>
          <w:szCs w:val="20"/>
          <w:color w:val="auto"/>
        </w:rPr>
      </w:pPr>
      <w:r>
        <w:rPr>
          <w:rFonts w:ascii="Courier New" w:cs="Courier New" w:eastAsia="Courier New" w:hAnsi="Courier New"/>
          <w:sz w:val="18"/>
          <w:szCs w:val="18"/>
          <w:color w:val="auto"/>
        </w:rPr>
        <w:t>(Unaudited)</w:t>
      </w:r>
    </w:p>
    <w:p>
      <w:pPr>
        <w:ind w:left="348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 2000</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1999</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$ 62,310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$ 55,954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26,945</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25,646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Accounts receivable, less allowance for doubtful</w:t>
            </w:r>
          </w:p>
        </w:tc>
        <w:tc>
          <w:tcPr>
            <w:tcW w:w="1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5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of $1,827 in 2000 and $1,981 in 1999</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48,302</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52,262</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21,772</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21,257</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process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22,188</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18,768</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16,469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15,621</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60,429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55,646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11,231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11,231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2,369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2,030</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211,586</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202,769</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2,501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12,503</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12,507</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20,339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19,849</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35,343</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34,857</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18,494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17,841</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16,849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17,016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1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$2,332 in 2000 and $2,260 in 1999</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795</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867</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$229,311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$220,733</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$ 14,068</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$ 13,042</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7,347</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6,778</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16,985</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18,530</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15,956</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18,369</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54,356</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56,719</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977</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984</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674</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20,177</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19,938</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5,333</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147,794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138,879</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173,304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162,356</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$229,311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$220,733</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987"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328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7"/>
              </w:rPr>
              <w:t>THREE MONTHS ENDED MARCH 31,</w:t>
            </w:r>
          </w:p>
        </w:tc>
      </w:tr>
      <w:tr>
        <w:trPr>
          <w:trHeight w:val="203"/>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2000</w:t>
            </w:r>
          </w:p>
        </w:tc>
        <w:tc>
          <w:tcPr>
            <w:tcW w:w="8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7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$72,467</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$29,526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44,743</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19,164</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6,755</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4,297</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7,139</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5,087</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58,637</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28,548</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13,830</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1,293</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1,113</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15,123</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5,200</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$ 9,923</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$ 1,391</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20,051</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19,614</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21,305</w:t>
            </w:r>
          </w:p>
        </w:tc>
        <w:tc>
          <w:tcPr>
            <w:tcW w:w="8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20,118</w:t>
            </w:r>
          </w:p>
        </w:tc>
      </w:tr>
      <w:tr>
        <w:trPr>
          <w:trHeight w:val="203"/>
        </w:trPr>
        <w:tc>
          <w:tcPr>
            <w:tcW w:w="432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6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6740" w:type="dxa"/>
            <w:vAlign w:val="bottom"/>
          </w:tcPr>
          <w:p>
            <w:pPr>
              <w:ind w:left="3480"/>
              <w:spacing w:after="0" w:line="202" w:lineRule="exact"/>
              <w:rPr>
                <w:sz w:val="20"/>
                <w:szCs w:val="20"/>
                <w:color w:val="auto"/>
              </w:rPr>
            </w:pPr>
            <w:r>
              <w:rPr>
                <w:rFonts w:ascii="Courier New" w:cs="Courier New" w:eastAsia="Courier New" w:hAnsi="Courier New"/>
                <w:sz w:val="18"/>
                <w:szCs w:val="18"/>
                <w:color w:val="auto"/>
              </w:rPr>
              <w:t>(in thousands)</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013"/>
        </w:trPr>
        <w:tc>
          <w:tcPr>
            <w:tcW w:w="6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9,923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1,391</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759</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accrued retiree medical benefits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3,960</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444</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(4,783)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(2,169)</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(339)</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1,026</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5,005</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569</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(1,545)</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(2,413)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(4,319)</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7,150</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(3,985)</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(16,163)</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2,686</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(520)</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(1,819)</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(14,423)</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2,033</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4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(1,008)</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(884)</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financing activities</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1,025</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6,356</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(13,872)</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48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55,954</w:t>
            </w:r>
          </w:p>
        </w:tc>
        <w:tc>
          <w:tcPr>
            <w:tcW w:w="1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74,446</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$ 62,310</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$ 60,574</w:t>
            </w:r>
          </w:p>
        </w:tc>
      </w:tr>
      <w:tr>
        <w:trPr>
          <w:trHeight w:val="203"/>
        </w:trPr>
        <w:tc>
          <w:tcPr>
            <w:tcW w:w="674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4,631</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MARCH 31, 2000</w:t>
      </w: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months ended March 31, 2000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1999 and management's discussion and analysis of financial condition and results of operations included elsewhere herein.</w:t>
      </w:r>
    </w:p>
    <w:p>
      <w:pPr>
        <w:spacing w:after="0" w:line="216"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Net sales for the quarter ended March 31, 2000 included $11.8 million of sales from the Company's new Summit test handlers. Through March 31, 2000, additional Summit handlers with a sales value of $24.1 million had been shipped. Revenue on these shipments will be recognized subsequent to March 31, 2000 upon customer acceptance. Customer payments received on these shipments totaled $17.0 million at March 31, 2000 and have been recorded as customer advances.</w:t>
      </w:r>
    </w:p>
    <w:p>
      <w:pPr>
        <w:spacing w:after="0" w:line="211"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In December 1999, the staff of the Securities and Exchange Commission issued Staff Accounting Bulletin No. 101 ("SAB 101"), Revenue Recognition in Financial Statements. SAB 101 was amended by SAB 101A which delayed the implementation date of SAB 101 for calendar year end reporting companies, including Cohu, to the quarter ending June 30, 2000. The Company is currently evaluating SAB 101 and is uncertain as to what impact, if any, SAB 101 will have on its revenues and results of operations for the quarter ending June 30, 2000 and subsequent periods. The impact of SAB 101, if any, will be reported as a change in accounting principle in accordance with FASB Statement No. 3. This may result in a significant cumulative effect change in accounting adjustment that would be reflected in the Company's results of operations for the six months ended June 30, 2000.</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6"/>
          <w:szCs w:val="16"/>
          <w:color w:val="auto"/>
        </w:rPr>
        <w:t>EARNINGS PER SHARE</w:t>
      </w:r>
    </w:p>
    <w:p>
      <w:pPr>
        <w:spacing w:after="0" w:line="4"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Earnings per share are computed in accordance with Financial Accounting Standards Board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weighted average common share equivalents do not include stock options with an exercise price that exceeds the average fair market value of the Company's common stock for the period. For the three months ended March 31, 1999, options to purchase approximately 222,000 shares of common stock at an average price of $16.97 were excluded from the computation. All share and per share amounts have been restated to reflect the Company's two-for-one stock split effective September 1999.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500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rPr>
                <w:sz w:val="17"/>
                <w:szCs w:val="17"/>
                <w:color w:val="auto"/>
              </w:rPr>
            </w:pPr>
          </w:p>
        </w:tc>
        <w:tc>
          <w:tcPr>
            <w:tcW w:w="27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20,051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19,614</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w:t>
            </w:r>
          </w:p>
        </w:tc>
      </w:tr>
      <w:tr>
        <w:trPr>
          <w:trHeight w:val="203"/>
        </w:trPr>
        <w:tc>
          <w:tcPr>
            <w:tcW w:w="500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21,305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20,118</w:t>
            </w:r>
          </w:p>
        </w:tc>
      </w:tr>
      <w:tr>
        <w:trPr>
          <w:trHeight w:val="203"/>
        </w:trPr>
        <w:tc>
          <w:tcPr>
            <w:tcW w:w="500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581"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MARCH 31, 2000</w:t>
      </w: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SEGMENT AND RELATED INFORMATION</w:t>
      </w:r>
    </w:p>
    <w:p>
      <w:pPr>
        <w:spacing w:after="0" w:line="4"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The following information is presented pursuant to FASB Statement No. 131, Disclosures about Segments of an Enterprise and Related Information. Intersegment sales were not significant in either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w:t>
            </w:r>
          </w:p>
        </w:tc>
        <w:tc>
          <w:tcPr>
            <w:tcW w:w="6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80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$ 62,796</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$ 22,374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6,492</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4,229</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sales for reportable segments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69,288</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26,603</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 other</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3,179</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2,923</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net sales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$ 72,467</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$ 29,526</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Operating profit (loss):</w:t>
            </w: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$ 13,832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1,458</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406</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profit for reportable segments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14,238</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1,632</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107</w:t>
            </w:r>
          </w:p>
        </w:tc>
        <w:tc>
          <w:tcPr>
            <w:tcW w:w="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operating profit</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14,345</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unallocated amounts:</w:t>
            </w: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(443)</w:t>
            </w:r>
          </w:p>
        </w:tc>
        <w:tc>
          <w:tcPr>
            <w:tcW w:w="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1,293</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1,113</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(72)</w:t>
            </w:r>
          </w:p>
        </w:tc>
        <w:tc>
          <w:tcPr>
            <w:tcW w:w="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$ 15,123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w:t>
            </w:r>
          </w:p>
        </w:tc>
      </w:tr>
      <w:tr>
        <w:trPr>
          <w:trHeight w:val="203"/>
        </w:trPr>
        <w:tc>
          <w:tcPr>
            <w:tcW w:w="5280" w:type="dxa"/>
            <w:vAlign w:val="bottom"/>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March 31, 2000</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1999</w:t>
            </w:r>
          </w:p>
        </w:tc>
      </w:tr>
      <w:tr>
        <w:trPr>
          <w:trHeight w:val="203"/>
        </w:trPr>
        <w:tc>
          <w:tcPr>
            <w:tcW w:w="4640" w:type="dxa"/>
            <w:vAlign w:val="bottom"/>
          </w:tcPr>
          <w:p>
            <w:pPr>
              <w:spacing w:after="0"/>
              <w:rPr>
                <w:sz w:val="17"/>
                <w:szCs w:val="17"/>
                <w:color w:val="auto"/>
              </w:rPr>
            </w:pP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41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 by segment:</w:t>
            </w: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$111,023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$115,671</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11,989</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11,758</w:t>
            </w:r>
          </w:p>
        </w:tc>
      </w:tr>
      <w:tr>
        <w:trPr>
          <w:trHeight w:val="203"/>
        </w:trPr>
        <w:tc>
          <w:tcPr>
            <w:tcW w:w="464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 for reportable segments</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123,012</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127,429</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 other operating segments</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5,777</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5,419</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100,522</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87,885</w:t>
            </w:r>
          </w:p>
        </w:tc>
      </w:tr>
      <w:tr>
        <w:trPr>
          <w:trHeight w:val="203"/>
        </w:trPr>
        <w:tc>
          <w:tcPr>
            <w:tcW w:w="464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assets</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$229,311</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$220,733</w:t>
            </w:r>
          </w:p>
        </w:tc>
      </w:tr>
      <w:tr>
        <w:trPr>
          <w:trHeight w:val="203"/>
        </w:trPr>
        <w:tc>
          <w:tcPr>
            <w:tcW w:w="464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and Market Risks" that could cause actual results to differ materially from those projected.</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RESULTS OF OPERATIONS FIRST QUARTER 2000 COMPARED TO FIRST QUARTER 1999 Net sales increased 145% to $72.5 million in 2000 compared to net sales of $29.5 million in 1999. Sales of semiconductor test handling equipment in 2000 increased 181% from the 1999 period and accounted for 87% of consolidated net sales in 2000 versus 76% in 1999. Net sales for the quarter ended March 31, 2000 included $11.8 million of sales from the Company's new Summit test handlers. Through March 31, 2000, additional Summit handlers with a sales value of $24.1 million had been shipped. Revenue on these shipments will be recognized subsequent to March 31, 2000 upon customer acceptance. Sales of television cameras and other equipment accounted for 9% of net sales in 2000 and increased 54% while the combined sales of metal detection and microwave equipment increased 9%. Export sales accounted for 48% of net sales in the first quarter of 1999 compared to 63% for the year ended December 31, 1999.</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Gross margin as a percentage of net sales increased to 38.3% in 2000 from 35.1% in 1999 primarily as a result of higher margins in the semiconductor equipment business. Within the semiconductor equipment segment, margins increased in 2000 primarily as a result of increased business volume. Research and development expense as a percentage of net sales was 9.3% in 2000, compared to 14.6% in 1999, increasing in absolute dollars from $4.3 million in 1999 to $6.8 million in 2000 as a result of new product development efforts in the semiconductor equipment business. Selling, general and administrative expense as a percentage of net sales decreased to 9.9% in 2000 from 17.2% in 1999 primarily as a result of the increase in business volume. Interest income increased to $1.3 million in 2000 from $1.1 million in 1999 as a result of an increase in interest rates. The provision for income taxes expressed as a percentage of pre-tax income was 34.4% in the first quarter of 2000. As a result of the factors set forth above, net income increased from $1.4 million in 1999 to $9.9 million in 2000.</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net cash flows generated from operating activities in the first three months of 2000 totaled $7.2 million. The major components of cash flows from operating activities were net income of $9.9 million and a decrease in accounts receivable of $4.0 million offset by an increase in inventories of $4.8 million and a decrease in other accrued liabilities and customer advances totaling $4.0 million. Net cash used for investing activities included $1.3 million for the purchase of short-term investments, less maturities, and purchases of property, plant and equipment and other assets of $.5 million. Net cash provided by financing activities was $1.0 million. Cash provided by financing activities included $2.0 million received from the issuance of stock upon the exercise of stock options offset by $1.0 million for the payment of dividends. The Company had $10 million available under its bank line of credit and working capital of $157.2 million at March 31, 2000. It is anticipated that present working capital and available borrowings under the line of credit will be sufficient to meet the Company's 2000 operating requirements.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SEMICONDUCTOR INDUSTRY WE SERVE IS HIGHLY VOLATILE AND UNPREDICTABLE.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may also be subject to similar cycles and severe downturns, such as those experienced in 1996 and 1998. Reductions in capital equipment investment by semiconductor manufacturers will adversely affect our business, financial position and results of operations.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RULES MAY IMPACT THE TIMING OF REVENUE RECOGNITION.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December 1999, the staff of the Securities and Exchange Commission issued Staff Accounting Bulletin No. 101 ("SAB 101"), Revenue Recognition in Financial Statements. SAB 101 was amended by SAB 101A which delayed the implementation date of SAB 101 for calendar year end reporting companies, including Cohu, to the quarter ending June 30, 2000. The Company is currently evaluating SAB 101 and is uncertain as to what impact, if any, SAB 101 will have on its revenues and results of operations for the quarter ending June 30, 2000 and subsequent periods. The impact of SAB 101, if any, will be reported as a change in accounting principle in accordance with FASB Statement No. 3. This may result in a significant cumulative effect change in accounting adjustment that would be reflected in the Company's results of operations for the six months ended June 30, 2000.</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SEMICONDUCTOR EQUIPMENT IS SUBJECT TO RAPID TECHNOLOGICAL CHANGE, PRODUCT INTRODUCTIONS AND TRANSITIONS MAY RESULT IN INVENTORY WRITE-OFFS AND OUR NEW PRODUCT DEVELOPMENT INVOLVES NUMEROUS RISKS AND UNCERTAINTIES.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including the Company's Castle and Summit handlers, and the concentration of our revenues in a limited number of large customers increases the risk that our established products may become obsolete resulting in greater excess and obsolete inventory exposure. This increased exposure may result in increased inventory write-offs and reserve requirements in excess of those we recorded in prior years that could have a material adverse impact on our results of operations and financial condition.</w:t>
      </w:r>
    </w:p>
    <w:p>
      <w:pPr>
        <w:spacing w:after="0" w:line="389"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our operations, financial condition and results of operations.</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these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SEMICONDUCTOR EQUIPMENT INDUSTRY IN GENERAL, AND THE TEST HANDLER MARKET IN PARTICULAR, IS HIGHLY COMPETITIVE.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test handler industry is intensely competitive and we face substantial competition from numerous companies throughout the world. Future competition may include companies that do not currently supply test handlers. While we believe we are the largest U.S. based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 LIMITED NUMBER OF CUSTOMERS ACCOUNT FOR A SUBSTANTIAL PERCENTAGE OF OUR NET SALES.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rely on a limited number of customers for a substantial percentage of our net sales. In 1999, four customers of the semiconductor equipment segment accounted for 46% (60% in 1998) of our net sales. The loss of or a significant reduction in orders by these or other significant customers as a result of competitive products, market conditions, outsourcing final IC test to third parties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BACKLOG IS LIMITED AND MAY NOT ACCURATELY REFLECT FUTURE BUSINESS ACTIVITY.</w:t>
      </w:r>
    </w:p>
    <w:p>
      <w:pPr>
        <w:spacing w:after="0" w:line="22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 significant portion of our semiconductor test handling equipment backlog at March 31, 2000 was for new products, including the Castle and Summit test handlers. Due to the possibility of customer changes in delivery schedules, cancellation of orders, potential delays in product shipments, difficulties in obtaining inventory parts from suppliers and failure to satisfy customer acceptance requirements, our backlog as of any point in time may not be representative of actual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w:t>
      </w:r>
    </w:p>
    <w:p>
      <w:pPr>
        <w:spacing w:after="0" w:line="3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CYCLICAL NATURE OF THE SEMICONDUCTOR INDUSTRY PLACES ENORMOUS DEMANDS ON OUR OPERATIONS AND INFRASTRUCTURE.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Such radical changes in workforce levels place enormous demands on our operations and infrastructure since newly hired personnel rarely possess the expertise and level of experience of people they replace.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increased headcount and business levels, combined with the cyclical nature of the semiconductor industry, may require that we invest substantial amounts in new operational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financial systems, procedures and controls and in improved and expanded facilities. We may not be able to successfully adjust our systems, facilities and production capacity to meet customers' changing requirements. The inability to meet such requirements will have an adverse impact on our business, financial position and results of operations.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EXPERIENCED A SIGNIFICANT DECLINE IN GRAVITY-FEED IC TEST HANDLER SALES.</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If we are unable to successfully develop and market new products or enhancements to existing products for DRAM applications our results of operations will be adversely impacted.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EXPOSED TO THE RISKS OF OPERATING A GLOBAL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FAILURE OF CRITICAL SUPPLIERS TO DELIVER SUFFICIENT QUANTITIES OF PARTS IN A TIMELY AND COST-EFFECTIVE MANNER COULD ADVERSELY IMPACT OUR OPERATIONS.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21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ARE EXPOSED TO THE RISK THAT THIRD PARTIES MAY VIOLATE OUR PROPRIETARY RIGHTS OR ACCUSE US OF INFRINGING UPON THEIR PROPRIETARY RIGHTS.</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financial condition and results of operations could be adversely affected.</w:t>
      </w:r>
    </w:p>
    <w:p>
      <w:pPr>
        <w:spacing w:after="0" w:line="212"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A MAJORITY OF OUR REVENUES ARE GENERATED FROM EXPORTS TO FOREIGN COUNTRIES, PRIMARILY IN ASIA, THAT ARE SUBJECT TO ECONOMIC INSTABILITY AND WE COMPETE AGAINST A NUMBER OF ASIAN TEST HANDLING EQUIPMENT SUPPLIERS.</w:t>
      </w:r>
    </w:p>
    <w:p>
      <w:pPr>
        <w:spacing w:after="0" w:line="17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During 1999, 63% of our total net sales were exported to foreign countries, including 72%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NON SEMICONDUCTOR EQUIPMENT BUSINESSES HAVE EXPERIENCED LITTLE OR NO GROWTH AND DECLINING PROFITABILITY OVER THE LAST FIVE YEARS.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and the future prospects for certain of these businesses remain uncertain. We may not be able to continue to compete successfully in any of these businesses.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March 31, 2000 our investment portfolio includes fixed-income securities of approximately $80.4 million. These securities are subject to interest rate risk and will decline in value if interest rates increase. Due to the relatively short duration of our investment portfolio, an immediate 10 percent increase in interest rates would have no material impact on our financial condition or results of operations.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FOREIGN CURRENCY EXCHANGE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generally conduct business, including sales to foreign customers, in U.S. dollars and as a result have limited foreign currency exchange rate risk. Monetary assets and liabilities of Cohu's foreign operations are not significant. The effect of an immediate 10 percent change in foreign exchange rates would not have a material impact on our financial condition or results of operations.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BE SUBJECT TO YEAR 2000 RISKS.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Through March 2000, we have experienced no significant disruptions in mission critical information technology and non-information technology systems and believe those systems successfully responded to the Year 2000 date change. We are not aware of any material problems resulting from Year 2000 issues, either with our products, our internal systems or the products and services of third parties. We will continue to monitor our mission critical computer applications and those of our suppliers and vendors throughout the year 2000. If significant yet to be identified Year 2000 issues arise, we may experience significant problems that could have a material adverse effect on our financial condition and results of operations.</w:t>
      </w:r>
    </w:p>
    <w:p>
      <w:pPr>
        <w:spacing w:after="0" w:line="200" w:lineRule="exact"/>
        <w:rPr>
          <w:sz w:val="20"/>
          <w:szCs w:val="20"/>
          <w:color w:val="auto"/>
        </w:rPr>
      </w:pPr>
    </w:p>
    <w:p>
      <w:pPr>
        <w:spacing w:after="0" w:line="21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1999 Annual Report on Form 10-K, that could cause actual results to differ materially from those projected or forecasted. Cohu undertakes no obligation to update the information, including the forward-looking statements, in this Form 10-Q.</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800" w:hanging="528"/>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220"/>
        <w:spacing w:after="0" w:line="238" w:lineRule="auto"/>
        <w:rPr>
          <w:sz w:val="20"/>
          <w:szCs w:val="20"/>
          <w:color w:val="auto"/>
        </w:rPr>
      </w:pPr>
      <w:r>
        <w:rPr>
          <w:rFonts w:ascii="Courier New" w:cs="Courier New" w:eastAsia="Courier New" w:hAnsi="Courier New"/>
          <w:sz w:val="18"/>
          <w:szCs w:val="18"/>
          <w:color w:val="auto"/>
        </w:rPr>
        <w:t>27.1 - Financial Data Schedule</w:t>
      </w:r>
    </w:p>
    <w:p>
      <w:pPr>
        <w:spacing w:after="0" w:line="207" w:lineRule="exact"/>
        <w:rPr>
          <w:sz w:val="20"/>
          <w:szCs w:val="20"/>
          <w:color w:val="auto"/>
        </w:rPr>
      </w:pPr>
    </w:p>
    <w:p>
      <w:pPr>
        <w:ind w:left="1800" w:right="2099" w:hanging="528"/>
        <w:spacing w:after="0" w:line="235" w:lineRule="auto"/>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March 31, 2000.</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April 24,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&amp; Chief Executive Officer</w:t>
      </w:r>
    </w:p>
    <w:p>
      <w:pPr>
        <w:spacing w:after="0" w:line="200" w:lineRule="exact"/>
        <w:rPr>
          <w:sz w:val="20"/>
          <w:szCs w:val="20"/>
          <w:color w:val="auto"/>
        </w:rPr>
      </w:pPr>
    </w:p>
    <w:p>
      <w:pPr>
        <w:sectPr>
          <w:pgSz w:w="11900" w:h="16838" w:orient="portrait"/>
          <w:cols w:equalWidth="0" w:num="3">
            <w:col w:w="540" w:space="0"/>
            <w:col w:w="3480" w:space="720"/>
            <w:col w:w="54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April 24,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w:t>
      </w: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540" w:space="0"/>
            <w:col w:w="3480" w:space="720"/>
            <w:col w:w="5479"/>
          </w:cols>
          <w:pgMar w:left="240" w:top="312"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7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2000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DEC-31-2000</w:t>
      </w:r>
    </w:p>
    <w:p>
      <w:pPr>
        <w:ind w:left="3020"/>
        <w:spacing w:after="0"/>
        <w:rPr>
          <w:sz w:val="20"/>
          <w:szCs w:val="20"/>
          <w:color w:val="auto"/>
        </w:rPr>
      </w:pPr>
      <w:r>
        <w:rPr>
          <w:rFonts w:ascii="Courier New" w:cs="Courier New" w:eastAsia="Courier New" w:hAnsi="Courier New"/>
          <w:sz w:val="18"/>
          <w:szCs w:val="18"/>
          <w:color w:val="auto"/>
        </w:rPr>
        <w:t>JAN-01-2000</w:t>
      </w:r>
    </w:p>
    <w:p>
      <w:pPr>
        <w:ind w:left="3240"/>
        <w:spacing w:after="0" w:line="237" w:lineRule="auto"/>
        <w:rPr>
          <w:sz w:val="20"/>
          <w:szCs w:val="20"/>
          <w:color w:val="auto"/>
        </w:rPr>
      </w:pPr>
      <w:r>
        <w:rPr>
          <w:rFonts w:ascii="Courier New" w:cs="Courier New" w:eastAsia="Courier New" w:hAnsi="Courier New"/>
          <w:sz w:val="18"/>
          <w:szCs w:val="18"/>
          <w:color w:val="auto"/>
        </w:rPr>
        <w:t>MAR-31-2000</w:t>
      </w:r>
    </w:p>
    <w:p>
      <w:pPr>
        <w:ind w:left="4400"/>
        <w:spacing w:after="0" w:line="238" w:lineRule="auto"/>
        <w:rPr>
          <w:sz w:val="20"/>
          <w:szCs w:val="20"/>
          <w:color w:val="auto"/>
        </w:rPr>
      </w:pPr>
      <w:r>
        <w:rPr>
          <w:rFonts w:ascii="Courier New" w:cs="Courier New" w:eastAsia="Courier New" w:hAnsi="Courier New"/>
          <w:sz w:val="18"/>
          <w:szCs w:val="18"/>
          <w:color w:val="auto"/>
        </w:rPr>
        <w:t>62,310</w:t>
      </w:r>
    </w:p>
    <w:p>
      <w:pPr>
        <w:ind w:left="3760"/>
        <w:spacing w:after="0"/>
        <w:rPr>
          <w:sz w:val="20"/>
          <w:szCs w:val="20"/>
          <w:color w:val="auto"/>
        </w:rPr>
      </w:pPr>
      <w:r>
        <w:rPr>
          <w:rFonts w:ascii="Courier New" w:cs="Courier New" w:eastAsia="Courier New" w:hAnsi="Courier New"/>
          <w:sz w:val="18"/>
          <w:szCs w:val="18"/>
          <w:color w:val="auto"/>
        </w:rPr>
        <w:t>26,945</w:t>
      </w:r>
    </w:p>
    <w:p>
      <w:pPr>
        <w:ind w:left="3660"/>
        <w:spacing w:after="0" w:line="237" w:lineRule="auto"/>
        <w:rPr>
          <w:sz w:val="20"/>
          <w:szCs w:val="20"/>
          <w:color w:val="auto"/>
        </w:rPr>
      </w:pPr>
      <w:r>
        <w:rPr>
          <w:rFonts w:ascii="Courier New" w:cs="Courier New" w:eastAsia="Courier New" w:hAnsi="Courier New"/>
          <w:sz w:val="18"/>
          <w:szCs w:val="18"/>
          <w:color w:val="auto"/>
        </w:rPr>
        <w:t>48,302</w:t>
      </w:r>
    </w:p>
    <w:p>
      <w:pPr>
        <w:ind w:left="3860"/>
        <w:spacing w:after="0"/>
        <w:rPr>
          <w:sz w:val="20"/>
          <w:szCs w:val="20"/>
          <w:color w:val="auto"/>
        </w:rPr>
      </w:pPr>
      <w:r>
        <w:rPr>
          <w:rFonts w:ascii="Courier New" w:cs="Courier New" w:eastAsia="Courier New" w:hAnsi="Courier New"/>
          <w:sz w:val="18"/>
          <w:szCs w:val="18"/>
          <w:color w:val="auto"/>
        </w:rPr>
        <w:t>1,827</w:t>
      </w:r>
    </w:p>
    <w:p>
      <w:pPr>
        <w:ind w:left="3860"/>
        <w:spacing w:after="0" w:line="237" w:lineRule="auto"/>
        <w:rPr>
          <w:sz w:val="20"/>
          <w:szCs w:val="20"/>
          <w:color w:val="auto"/>
        </w:rPr>
      </w:pPr>
      <w:r>
        <w:rPr>
          <w:rFonts w:ascii="Courier New" w:cs="Courier New" w:eastAsia="Courier New" w:hAnsi="Courier New"/>
          <w:sz w:val="18"/>
          <w:szCs w:val="18"/>
          <w:color w:val="auto"/>
        </w:rPr>
        <w:t>60,429</w:t>
      </w:r>
    </w:p>
    <w:p>
      <w:pPr>
        <w:ind w:left="3240"/>
        <w:spacing w:after="0"/>
        <w:rPr>
          <w:sz w:val="20"/>
          <w:szCs w:val="20"/>
          <w:color w:val="auto"/>
        </w:rPr>
      </w:pPr>
      <w:r>
        <w:rPr>
          <w:rFonts w:ascii="Courier New" w:cs="Courier New" w:eastAsia="Courier New" w:hAnsi="Courier New"/>
          <w:sz w:val="18"/>
          <w:szCs w:val="18"/>
          <w:color w:val="auto"/>
        </w:rPr>
        <w:t>211,586</w:t>
      </w:r>
    </w:p>
    <w:p>
      <w:pPr>
        <w:ind w:left="4400"/>
        <w:spacing w:after="0" w:line="237" w:lineRule="auto"/>
        <w:rPr>
          <w:sz w:val="20"/>
          <w:szCs w:val="20"/>
          <w:color w:val="auto"/>
        </w:rPr>
      </w:pPr>
      <w:r>
        <w:rPr>
          <w:rFonts w:ascii="Courier New" w:cs="Courier New" w:eastAsia="Courier New" w:hAnsi="Courier New"/>
          <w:sz w:val="18"/>
          <w:szCs w:val="18"/>
          <w:color w:val="auto"/>
        </w:rPr>
        <w:t>35,343</w:t>
      </w:r>
    </w:p>
    <w:p>
      <w:pPr>
        <w:ind w:left="3540"/>
        <w:spacing w:after="0" w:line="238" w:lineRule="auto"/>
        <w:rPr>
          <w:sz w:val="20"/>
          <w:szCs w:val="20"/>
          <w:color w:val="auto"/>
        </w:rPr>
      </w:pPr>
      <w:r>
        <w:rPr>
          <w:rFonts w:ascii="Courier New" w:cs="Courier New" w:eastAsia="Courier New" w:hAnsi="Courier New"/>
          <w:sz w:val="18"/>
          <w:szCs w:val="18"/>
          <w:color w:val="auto"/>
        </w:rPr>
        <w:t>18,494</w:t>
      </w:r>
    </w:p>
    <w:p>
      <w:pPr>
        <w:ind w:left="3440"/>
        <w:spacing w:after="0"/>
        <w:rPr>
          <w:sz w:val="20"/>
          <w:szCs w:val="20"/>
          <w:color w:val="auto"/>
        </w:rPr>
      </w:pPr>
      <w:r>
        <w:rPr>
          <w:rFonts w:ascii="Courier New" w:cs="Courier New" w:eastAsia="Courier New" w:hAnsi="Courier New"/>
          <w:sz w:val="18"/>
          <w:szCs w:val="18"/>
          <w:color w:val="auto"/>
        </w:rPr>
        <w:t>229,311</w:t>
      </w:r>
    </w:p>
    <w:p>
      <w:pPr>
        <w:ind w:left="2820"/>
        <w:spacing w:after="0" w:line="237" w:lineRule="auto"/>
        <w:rPr>
          <w:sz w:val="20"/>
          <w:szCs w:val="20"/>
          <w:color w:val="auto"/>
        </w:rPr>
      </w:pPr>
      <w:r>
        <w:rPr>
          <w:rFonts w:ascii="Courier New" w:cs="Courier New" w:eastAsia="Courier New" w:hAnsi="Courier New"/>
          <w:sz w:val="18"/>
          <w:szCs w:val="18"/>
          <w:color w:val="auto"/>
        </w:rPr>
        <w:t>54,356</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20,177</w:t>
      </w:r>
    </w:p>
    <w:p>
      <w:pPr>
        <w:ind w:left="3860"/>
        <w:spacing w:after="0" w:line="238" w:lineRule="auto"/>
        <w:rPr>
          <w:sz w:val="20"/>
          <w:szCs w:val="20"/>
          <w:color w:val="auto"/>
        </w:rPr>
      </w:pPr>
      <w:r>
        <w:rPr>
          <w:rFonts w:ascii="Courier New" w:cs="Courier New" w:eastAsia="Courier New" w:hAnsi="Courier New"/>
          <w:sz w:val="18"/>
          <w:szCs w:val="18"/>
          <w:color w:val="auto"/>
        </w:rPr>
        <w:t>153,127</w:t>
      </w:r>
    </w:p>
    <w:p>
      <w:pPr>
        <w:ind w:left="1960"/>
        <w:spacing w:after="0"/>
        <w:rPr>
          <w:sz w:val="20"/>
          <w:szCs w:val="20"/>
          <w:color w:val="auto"/>
        </w:rPr>
      </w:pPr>
      <w:r>
        <w:rPr>
          <w:rFonts w:ascii="Courier New" w:cs="Courier New" w:eastAsia="Courier New" w:hAnsi="Courier New"/>
          <w:sz w:val="18"/>
          <w:szCs w:val="18"/>
          <w:color w:val="auto"/>
        </w:rPr>
        <w:t>229,311</w:t>
      </w:r>
    </w:p>
    <w:p>
      <w:pPr>
        <w:ind w:left="4280"/>
        <w:spacing w:after="0" w:line="237" w:lineRule="auto"/>
        <w:rPr>
          <w:sz w:val="20"/>
          <w:szCs w:val="20"/>
          <w:color w:val="auto"/>
        </w:rPr>
      </w:pPr>
      <w:r>
        <w:rPr>
          <w:rFonts w:ascii="Courier New" w:cs="Courier New" w:eastAsia="Courier New" w:hAnsi="Courier New"/>
          <w:sz w:val="18"/>
          <w:szCs w:val="18"/>
          <w:color w:val="auto"/>
        </w:rPr>
        <w:t>72,467</w:t>
      </w:r>
    </w:p>
    <w:p>
      <w:pPr>
        <w:ind w:left="3340"/>
        <w:spacing w:after="0"/>
        <w:rPr>
          <w:sz w:val="20"/>
          <w:szCs w:val="20"/>
          <w:color w:val="auto"/>
        </w:rPr>
      </w:pPr>
      <w:r>
        <w:rPr>
          <w:rFonts w:ascii="Courier New" w:cs="Courier New" w:eastAsia="Courier New" w:hAnsi="Courier New"/>
          <w:sz w:val="18"/>
          <w:szCs w:val="18"/>
          <w:color w:val="auto"/>
        </w:rPr>
        <w:t>72,467</w:t>
      </w:r>
    </w:p>
    <w:p>
      <w:pPr>
        <w:ind w:left="4500"/>
        <w:spacing w:after="0" w:line="237" w:lineRule="auto"/>
        <w:rPr>
          <w:sz w:val="20"/>
          <w:szCs w:val="20"/>
          <w:color w:val="auto"/>
        </w:rPr>
      </w:pPr>
      <w:r>
        <w:rPr>
          <w:rFonts w:ascii="Courier New" w:cs="Courier New" w:eastAsia="Courier New" w:hAnsi="Courier New"/>
          <w:sz w:val="18"/>
          <w:szCs w:val="18"/>
          <w:color w:val="auto"/>
        </w:rPr>
        <w:t>44,743</w:t>
      </w:r>
    </w:p>
    <w:p>
      <w:pPr>
        <w:ind w:left="3660"/>
        <w:spacing w:after="0"/>
        <w:rPr>
          <w:sz w:val="20"/>
          <w:szCs w:val="20"/>
          <w:color w:val="auto"/>
        </w:rPr>
      </w:pPr>
      <w:r>
        <w:rPr>
          <w:rFonts w:ascii="Courier New" w:cs="Courier New" w:eastAsia="Courier New" w:hAnsi="Courier New"/>
          <w:sz w:val="18"/>
          <w:szCs w:val="18"/>
          <w:color w:val="auto"/>
        </w:rPr>
        <w:t>44,743</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15,123</w:t>
      </w:r>
    </w:p>
    <w:p>
      <w:pPr>
        <w:ind w:left="3860"/>
        <w:spacing w:after="0"/>
        <w:rPr>
          <w:sz w:val="20"/>
          <w:szCs w:val="20"/>
          <w:color w:val="auto"/>
        </w:rPr>
      </w:pPr>
      <w:r>
        <w:rPr>
          <w:rFonts w:ascii="Courier New" w:cs="Courier New" w:eastAsia="Courier New" w:hAnsi="Courier New"/>
          <w:sz w:val="18"/>
          <w:szCs w:val="18"/>
          <w:color w:val="auto"/>
        </w:rPr>
        <w:t>5,200</w:t>
      </w:r>
    </w:p>
    <w:p>
      <w:pPr>
        <w:ind w:left="3120"/>
        <w:spacing w:after="0" w:line="237" w:lineRule="auto"/>
        <w:rPr>
          <w:sz w:val="20"/>
          <w:szCs w:val="20"/>
          <w:color w:val="auto"/>
        </w:rPr>
      </w:pPr>
      <w:r>
        <w:rPr>
          <w:rFonts w:ascii="Courier New" w:cs="Courier New" w:eastAsia="Courier New" w:hAnsi="Courier New"/>
          <w:sz w:val="18"/>
          <w:szCs w:val="18"/>
          <w:color w:val="auto"/>
        </w:rPr>
        <w:t>9,923</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9,923</w:t>
      </w:r>
    </w:p>
    <w:p>
      <w:pPr>
        <w:ind w:left="3860"/>
        <w:spacing w:after="0" w:line="238" w:lineRule="auto"/>
        <w:rPr>
          <w:sz w:val="20"/>
          <w:szCs w:val="20"/>
          <w:color w:val="auto"/>
        </w:rPr>
      </w:pPr>
      <w:r>
        <w:rPr>
          <w:rFonts w:ascii="Courier New" w:cs="Courier New" w:eastAsia="Courier New" w:hAnsi="Courier New"/>
          <w:sz w:val="18"/>
          <w:szCs w:val="18"/>
          <w:color w:val="auto"/>
        </w:rPr>
        <w:t>0.49</w:t>
      </w:r>
    </w:p>
    <w:p>
      <w:pPr>
        <w:ind w:left="3860"/>
        <w:spacing w:after="0"/>
        <w:rPr>
          <w:sz w:val="20"/>
          <w:szCs w:val="20"/>
          <w:color w:val="auto"/>
        </w:rPr>
      </w:pPr>
      <w:r>
        <w:rPr>
          <w:rFonts w:ascii="Courier New" w:cs="Courier New" w:eastAsia="Courier New" w:hAnsi="Courier New"/>
          <w:sz w:val="18"/>
          <w:szCs w:val="18"/>
          <w:color w:val="auto"/>
        </w:rPr>
        <w:t>0.47</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2019-12-12T22:48:55Z</dcterms:created>
  <dcterms:modified xsi:type="dcterms:W3CDTF">2019-12-12T22:48:55Z</dcterms:modified>
</cp:coreProperties>
</file>