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31" w:lineRule="exact"/>
        <w:rPr>
          <w:sz w:val="24"/>
          <w:szCs w:val="24"/>
          <w:color w:val="auto"/>
        </w:rPr>
      </w:pPr>
    </w:p>
    <w:p>
      <w:pPr>
        <w:ind w:left="860" w:right="3259"/>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 PURSUANT TO RULE 13d-2(b)</w:t>
      </w:r>
    </w:p>
    <w:p>
      <w:pPr>
        <w:spacing w:after="0" w:line="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(Amendment No. ____________)</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192576106</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December 31, 2003</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right="335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860" w:right="7999" w:hanging="852"/>
        <w:spacing w:after="0" w:line="344" w:lineRule="auto"/>
        <w:tabs>
          <w:tab w:leader="none" w:pos="64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200" w:lineRule="exact"/>
        <w:rPr>
          <w:sz w:val="24"/>
          <w:szCs w:val="24"/>
          <w:color w:val="auto"/>
        </w:rPr>
      </w:pPr>
    </w:p>
    <w:p>
      <w:pPr>
        <w:spacing w:after="0" w:line="23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2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Systematic Financial Management, L.P.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 OF ABOVE PERSONS (ENTITIES ONLY)</w:t>
      </w:r>
    </w:p>
    <w:p>
      <w:pPr>
        <w:ind w:left="120"/>
        <w:spacing w:after="0"/>
        <w:rPr>
          <w:sz w:val="20"/>
          <w:szCs w:val="20"/>
          <w:color w:val="auto"/>
        </w:rPr>
      </w:pPr>
      <w:r>
        <w:rPr>
          <w:rFonts w:ascii="Courier New" w:cs="Courier New" w:eastAsia="Courier New" w:hAnsi="Courier New"/>
          <w:sz w:val="18"/>
          <w:szCs w:val="18"/>
          <w:color w:val="auto"/>
        </w:rPr>
        <w:t>22-3367558</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ind w:left="12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Teaneck, New Jersey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BENEFICIALLY</w:t>
      </w:r>
    </w:p>
    <w:p>
      <w:pPr>
        <w:spacing w:after="0"/>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w:t>
      </w:r>
    </w:p>
    <w:p>
      <w:pPr>
        <w:spacing w:after="0"/>
        <w:rPr>
          <w:sz w:val="20"/>
          <w:szCs w:val="20"/>
          <w:color w:val="auto"/>
        </w:rPr>
      </w:pPr>
      <w:r>
        <w:rPr>
          <w:rFonts w:ascii="Courier New" w:cs="Courier New" w:eastAsia="Courier New" w:hAnsi="Courier New"/>
          <w:sz w:val="18"/>
          <w:szCs w:val="18"/>
          <w:color w:val="auto"/>
        </w:rPr>
        <w:t>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SOLE VOTING POWER</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1,408,881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3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line="31"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1,630,917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3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4640" w:right="3899" w:hanging="4634"/>
        <w:spacing w:after="0" w:line="402" w:lineRule="auto"/>
        <w:rPr>
          <w:sz w:val="20"/>
          <w:szCs w:val="20"/>
          <w:color w:val="auto"/>
        </w:rPr>
      </w:pPr>
      <w:r>
        <w:rPr>
          <w:rFonts w:ascii="Courier New" w:cs="Courier New" w:eastAsia="Courier New" w:hAnsi="Courier New"/>
          <w:sz w:val="16"/>
          <w:szCs w:val="16"/>
          <w:color w:val="auto"/>
        </w:rPr>
        <w:t>AGGREGATE AMOUNT BENEFICIALLY OWNED BY EACH REPORTING PERSON 1,630,917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right="3779"/>
        <w:spacing w:after="0" w:line="347" w:lineRule="auto"/>
        <w:rPr>
          <w:sz w:val="20"/>
          <w:szCs w:val="20"/>
          <w:color w:val="auto"/>
        </w:rPr>
      </w:pPr>
      <w:r>
        <w:rPr>
          <w:rFonts w:ascii="Courier New" w:cs="Courier New" w:eastAsia="Courier New" w:hAnsi="Courier New"/>
          <w:sz w:val="18"/>
          <w:szCs w:val="18"/>
          <w:color w:val="auto"/>
        </w:rPr>
        <w:t>CHECK BOX IF THE AGGREGATE AMOUNT IN ROW (9) EXCLUDES CERTAIN SHARES* X</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IA</w:t>
      </w:r>
    </w:p>
    <w:p>
      <w:pPr>
        <w:ind w:left="86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3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 Poway, CA 92064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Michele Egeberg for Systematic Financial Management, L.P.</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300 Frank W. Burr Blvd., Glenpointe East, 7th Floor, Teaneck, NJ</w:t>
      </w:r>
      <w:r>
        <w:rPr>
          <w:sz w:val="20"/>
          <w:szCs w:val="20"/>
          <w:color w:val="auto"/>
        </w:rPr>
        <w:tab/>
      </w:r>
      <w:r>
        <w:rPr>
          <w:rFonts w:ascii="Courier New" w:cs="Courier New" w:eastAsia="Courier New" w:hAnsi="Courier New"/>
          <w:sz w:val="16"/>
          <w:szCs w:val="16"/>
          <w:color w:val="auto"/>
        </w:rPr>
        <w:t>07666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ectPr>
          <w:pgSz w:w="11900" w:h="16838" w:orient="portrait"/>
          <w:cols w:equalWidth="0" w:num="1">
            <w:col w:w="10219"/>
          </w:cols>
          <w:pgMar w:left="240" w:top="312" w:right="1440" w:bottom="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192576106</w:t>
      </w:r>
    </w:p>
    <w:p>
      <w:pPr>
        <w:spacing w:after="0" w:line="201" w:lineRule="exact"/>
        <w:rPr>
          <w:sz w:val="20"/>
          <w:szCs w:val="20"/>
          <w:color w:val="auto"/>
        </w:rPr>
      </w:pPr>
    </w:p>
    <w:p>
      <w:pPr>
        <w:ind w:right="3679"/>
        <w:spacing w:after="0" w:line="402" w:lineRule="auto"/>
        <w:rPr>
          <w:sz w:val="20"/>
          <w:szCs w:val="20"/>
          <w:color w:val="auto"/>
        </w:rPr>
      </w:pPr>
      <w:r>
        <w:rPr>
          <w:rFonts w:ascii="Courier New" w:cs="Courier New" w:eastAsia="Courier New" w:hAnsi="Courier New"/>
          <w:sz w:val="16"/>
          <w:szCs w:val="16"/>
          <w:color w:val="auto"/>
        </w:rPr>
        <w:t>Item 3. If This Statement is Filed Pursuant to Rule 13d-1(b), or 13d-2(b) or (c), Check Whether the Person Filing is a:</w:t>
      </w:r>
    </w:p>
    <w:p>
      <w:pPr>
        <w:spacing w:after="0" w:line="1" w:lineRule="exact"/>
        <w:rPr>
          <w:sz w:val="20"/>
          <w:szCs w:val="20"/>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Exchange Act.</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Exchange Act.</w:t>
      </w:r>
    </w:p>
    <w:p>
      <w:pPr>
        <w:spacing w:after="0" w:line="30"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Act.</w:t>
      </w:r>
    </w:p>
    <w:p>
      <w:pPr>
        <w:spacing w:after="0" w:line="200" w:lineRule="exact"/>
        <w:rPr>
          <w:sz w:val="20"/>
          <w:szCs w:val="20"/>
          <w:color w:val="auto"/>
        </w:rPr>
      </w:pPr>
    </w:p>
    <w:p>
      <w:pPr>
        <w:spacing w:after="0" w:line="37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4 of 6</w:t>
      </w:r>
      <w:r>
        <w:rPr>
          <w:sz w:val="20"/>
          <w:szCs w:val="20"/>
          <w:color w:val="auto"/>
        </w:rPr>
        <w:tab/>
      </w:r>
      <w:r>
        <w:rPr>
          <w:rFonts w:ascii="Courier New" w:cs="Courier New" w:eastAsia="Courier New" w:hAnsi="Courier New"/>
          <w:sz w:val="16"/>
          <w:szCs w:val="16"/>
          <w:color w:val="auto"/>
        </w:rPr>
        <w:t>Pages</w:t>
      </w:r>
    </w:p>
    <w:p>
      <w:pPr>
        <w:spacing w:after="0" w:line="201"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1" w:lineRule="exact"/>
        <w:rPr>
          <w:rFonts w:ascii="Courier New" w:cs="Courier New" w:eastAsia="Courier New" w:hAnsi="Courier New"/>
          <w:sz w:val="18"/>
          <w:szCs w:val="18"/>
          <w:color w:val="auto"/>
        </w:rPr>
      </w:pPr>
    </w:p>
    <w:p>
      <w:pPr>
        <w:ind w:right="1679" w:firstLine="8"/>
        <w:spacing w:after="0" w:line="347"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Rule 13d-1(b)(1)(ii)(F);</w:t>
      </w:r>
    </w:p>
    <w:p>
      <w:pPr>
        <w:spacing w:after="0" w:line="18" w:lineRule="exact"/>
        <w:rPr>
          <w:rFonts w:ascii="Courier New" w:cs="Courier New" w:eastAsia="Courier New" w:hAnsi="Courier New"/>
          <w:sz w:val="18"/>
          <w:szCs w:val="18"/>
          <w:color w:val="auto"/>
        </w:rPr>
      </w:pPr>
    </w:p>
    <w:p>
      <w:pPr>
        <w:ind w:right="1679" w:firstLine="8"/>
        <w:spacing w:after="0" w:line="347"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8" w:lineRule="exact"/>
        <w:rPr>
          <w:rFonts w:ascii="Courier New" w:cs="Courier New" w:eastAsia="Courier New" w:hAnsi="Courier New"/>
          <w:sz w:val="18"/>
          <w:szCs w:val="18"/>
          <w:color w:val="auto"/>
        </w:rPr>
      </w:pPr>
    </w:p>
    <w:p>
      <w:pPr>
        <w:ind w:right="1679" w:firstLine="8"/>
        <w:spacing w:after="0" w:line="347"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 as defined in Section 3(b) of the Federal Deposit Insurance Act;</w:t>
      </w:r>
    </w:p>
    <w:p>
      <w:pPr>
        <w:spacing w:after="0" w:line="18" w:lineRule="exact"/>
        <w:rPr>
          <w:rFonts w:ascii="Courier New" w:cs="Courier New" w:eastAsia="Courier New" w:hAnsi="Courier New"/>
          <w:sz w:val="18"/>
          <w:szCs w:val="18"/>
          <w:color w:val="auto"/>
        </w:rPr>
      </w:pPr>
    </w:p>
    <w:p>
      <w:pPr>
        <w:ind w:right="2099" w:firstLine="8"/>
        <w:spacing w:after="0" w:line="257" w:lineRule="auto"/>
        <w:tabs>
          <w:tab w:leader="none" w:pos="105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3(c)(14) of the Investment Company Act;</w:t>
      </w:r>
    </w:p>
    <w:p>
      <w:pPr>
        <w:spacing w:after="0" w:line="169"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320" w:right="6639" w:hanging="312"/>
        <w:spacing w:after="0" w:line="585" w:lineRule="auto"/>
        <w:tabs>
          <w:tab w:leader="none" w:pos="8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1,630,917</w:t>
      </w:r>
    </w:p>
    <w:p>
      <w:pPr>
        <w:spacing w:after="0" w:line="18"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7.66%</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42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power to vote or to direct the vote</w:t>
            </w:r>
          </w:p>
        </w:tc>
        <w:tc>
          <w:tcPr>
            <w:tcW w:w="2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1,408,881</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vote or to</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direct the vote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24"/>
                <w:szCs w:val="24"/>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Sole</w:t>
            </w:r>
          </w:p>
        </w:tc>
        <w:tc>
          <w:tcPr>
            <w:tcW w:w="538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power to dispose or to direct the disposition of</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1,630,917</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14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Shared power</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dispose or</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to direct the disposition of</w:t>
            </w:r>
          </w:p>
        </w:tc>
        <w:tc>
          <w:tcPr>
            <w:tcW w:w="1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CUSIP NO.</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192576106</w:t>
            </w: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13G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  5</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6  Pages</w:t>
            </w: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Five Percent or Less of a Class.</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0" w:type="dxa"/>
            <w:vAlign w:val="bottom"/>
          </w:tcPr>
          <w:p>
            <w:pPr>
              <w:spacing w:after="0"/>
              <w:rPr>
                <w:sz w:val="20"/>
                <w:szCs w:val="20"/>
                <w:color w:val="auto"/>
              </w:rPr>
            </w:pPr>
            <w:r>
              <w:rPr>
                <w:rFonts w:ascii="Courier New" w:cs="Courier New" w:eastAsia="Courier New" w:hAnsi="Courier New"/>
                <w:sz w:val="18"/>
                <w:szCs w:val="18"/>
                <w:color w:val="auto"/>
              </w:rPr>
              <w:t>If this</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statement is</w:t>
            </w:r>
          </w:p>
        </w:tc>
        <w:tc>
          <w:tcPr>
            <w:tcW w:w="44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being filed to report the fact that as of</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date hereof</w:t>
            </w:r>
          </w:p>
        </w:tc>
        <w:tc>
          <w:tcPr>
            <w:tcW w:w="0" w:type="dxa"/>
            <w:vAlign w:val="bottom"/>
          </w:tcPr>
          <w:p>
            <w:pPr>
              <w:spacing w:after="0"/>
              <w:rPr>
                <w:sz w:val="1"/>
                <w:szCs w:val="1"/>
                <w:color w:val="auto"/>
              </w:rPr>
            </w:pP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3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has</w:t>
            </w:r>
          </w:p>
        </w:tc>
        <w:tc>
          <w:tcPr>
            <w:tcW w:w="700" w:type="dxa"/>
            <w:vAlign w:val="bottom"/>
          </w:tcPr>
          <w:p>
            <w:pPr>
              <w:spacing w:after="0"/>
              <w:rPr>
                <w:sz w:val="17"/>
                <w:szCs w:val="17"/>
                <w:color w:val="auto"/>
              </w:rPr>
            </w:pPr>
          </w:p>
        </w:tc>
        <w:tc>
          <w:tcPr>
            <w:tcW w:w="16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the class of</w:t>
            </w:r>
          </w:p>
        </w:tc>
        <w:tc>
          <w:tcPr>
            <w:tcW w:w="0" w:type="dxa"/>
            <w:vAlign w:val="bottom"/>
          </w:tcPr>
          <w:p>
            <w:pPr>
              <w:spacing w:after="0"/>
              <w:rPr>
                <w:sz w:val="1"/>
                <w:szCs w:val="1"/>
                <w:color w:val="auto"/>
              </w:rPr>
            </w:pPr>
          </w:p>
        </w:tc>
      </w:tr>
      <w:tr>
        <w:trPr>
          <w:trHeight w:val="296"/>
        </w:trPr>
        <w:tc>
          <w:tcPr>
            <w:tcW w:w="6600" w:type="dxa"/>
            <w:vAlign w:val="bottom"/>
            <w:gridSpan w:val="5"/>
          </w:tcPr>
          <w:p>
            <w:pPr>
              <w:spacing w:after="0"/>
              <w:rPr>
                <w:sz w:val="20"/>
                <w:szCs w:val="20"/>
                <w:color w:val="auto"/>
              </w:rPr>
            </w:pPr>
            <w:r>
              <w:rPr>
                <w:rFonts w:ascii="Courier New" w:cs="Courier New" w:eastAsia="Courier New" w:hAnsi="Courier New"/>
                <w:sz w:val="18"/>
                <w:szCs w:val="18"/>
                <w:color w:val="auto"/>
                <w:w w:val="98"/>
              </w:rPr>
              <w:t>ceased to be the beneficial owner of more than five percent of</w:t>
            </w: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3" w:name="page4"/>
    <w:bookmarkEnd w:id="3"/>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check the</w:t>
      </w:r>
    </w:p>
    <w:p>
      <w:pPr>
        <w:spacing w:after="0" w:line="3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following: [</w:t>
        <w:tab/>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w:t>
      </w:r>
    </w:p>
    <w:p>
      <w:pPr>
        <w:spacing w:after="0"/>
        <w:rPr>
          <w:sz w:val="20"/>
          <w:szCs w:val="20"/>
          <w:color w:val="auto"/>
        </w:rPr>
      </w:pPr>
      <w:r>
        <w:rPr>
          <w:rFonts w:ascii="Courier New" w:cs="Courier New" w:eastAsia="Courier New" w:hAnsi="Courier New"/>
          <w:sz w:val="18"/>
          <w:szCs w:val="18"/>
          <w:color w:val="auto"/>
        </w:rPr>
        <w:t>Reported on by the Parent Holding Company.</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filed pursuant to Rule 13d-1(b)]:</w:t>
      </w:r>
    </w:p>
    <w:p>
      <w:pPr>
        <w:spacing w:after="0" w:line="201" w:lineRule="exact"/>
        <w:rPr>
          <w:sz w:val="20"/>
          <w:szCs w:val="20"/>
          <w:color w:val="auto"/>
        </w:rPr>
      </w:pPr>
    </w:p>
    <w:p>
      <w:pPr>
        <w:ind w:right="3579"/>
        <w:spacing w:after="0" w:line="27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w:t>
      </w:r>
    </w:p>
    <w:p>
      <w:pPr>
        <w:spacing w:after="0" w:line="3" w:lineRule="exact"/>
        <w:rPr>
          <w:sz w:val="20"/>
          <w:szCs w:val="20"/>
          <w:color w:val="auto"/>
        </w:rPr>
      </w:pPr>
    </w:p>
    <w:p>
      <w:pPr>
        <w:ind w:right="2839"/>
        <w:spacing w:after="0" w:line="323" w:lineRule="auto"/>
        <w:rPr>
          <w:sz w:val="20"/>
          <w:szCs w:val="20"/>
          <w:color w:val="auto"/>
        </w:rPr>
      </w:pPr>
      <w:r>
        <w:rPr>
          <w:rFonts w:ascii="Courier New" w:cs="Courier New" w:eastAsia="Courier New" w:hAnsi="Courier New"/>
          <w:sz w:val="16"/>
          <w:szCs w:val="16"/>
          <w:color w:val="auto"/>
        </w:rPr>
        <w:t>of changing or influencing the control of the issuer of the securities and were not acquired and are not held in connection with or as a participant in any transaction having that purpose or effect.</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filed pursuant to Rule 13d-1(c)]:</w:t>
      </w:r>
    </w:p>
    <w:p>
      <w:pPr>
        <w:spacing w:after="0" w:line="2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620" w:val="left"/>
          <w:tab w:leader="none" w:pos="1460" w:val="left"/>
        </w:tabs>
        <w:rPr>
          <w:sz w:val="20"/>
          <w:szCs w:val="20"/>
          <w:color w:val="auto"/>
        </w:rPr>
      </w:pPr>
      <w:r>
        <w:rPr>
          <w:rFonts w:ascii="Courier New" w:cs="Courier New" w:eastAsia="Courier New" w:hAnsi="Courier New"/>
          <w:sz w:val="18"/>
          <w:szCs w:val="18"/>
          <w:color w:val="auto"/>
        </w:rPr>
        <w:t>Page</w:t>
        <w:tab/>
        <w:t>6 of 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0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February 13, 2004</w:t>
      </w:r>
    </w:p>
    <w:p>
      <w:pPr>
        <w:spacing w:after="0" w:line="3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372"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Michele Egeberg, Mgr. of Operations</w:t>
      </w:r>
    </w:p>
    <w:p>
      <w:pPr>
        <w:spacing w:after="0" w:line="53"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0"/>
          <w:szCs w:val="20"/>
          <w:color w:val="auto"/>
        </w:rPr>
      </w:pPr>
    </w:p>
    <w:p>
      <w:pPr>
        <w:ind w:right="3259"/>
        <w:spacing w:after="0" w:line="420"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w:t>
      </w:r>
    </w:p>
    <w:p>
      <w:pPr>
        <w:sectPr>
          <w:pgSz w:w="11900" w:h="16948" w:orient="portrait"/>
          <w:cols w:equalWidth="0" w:num="1">
            <w:col w:w="10219"/>
          </w:cols>
          <w:pgMar w:left="240" w:top="110" w:right="1440" w:bottom="0" w:gutter="0" w:footer="0" w:header="0"/>
        </w:sectPr>
      </w:pPr>
    </w:p>
    <w:bookmarkStart w:id="4" w:name="page5"/>
    <w:bookmarkEnd w:id="4"/>
    <w:p>
      <w:pPr>
        <w:jc w:val="both"/>
        <w:ind w:right="2739"/>
        <w:spacing w:after="0" w:line="292" w:lineRule="auto"/>
        <w:rPr>
          <w:sz w:val="20"/>
          <w:szCs w:val="20"/>
          <w:color w:val="auto"/>
        </w:rPr>
      </w:pPr>
      <w:r>
        <w:rPr>
          <w:rFonts w:ascii="Courier New" w:cs="Courier New" w:eastAsia="Courier New" w:hAnsi="Courier New"/>
          <w:sz w:val="18"/>
          <w:szCs w:val="18"/>
          <w:color w:val="auto"/>
        </w:rPr>
        <w:t>Securities Exchange Act of 1934 or otherwise subject to the liabilities of that section of the Act but shall be subject to all other provisions of the Act (however, see the Notes).</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2019-12-12T22:53:34Z</dcterms:created>
  <dcterms:modified xsi:type="dcterms:W3CDTF">2019-12-12T22:53:34Z</dcterms:modified>
</cp:coreProperties>
</file>