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0"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 Amendment No. )*</w:t>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(Name of Issuer)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195" w:lineRule="exact"/>
        <w:rPr>
          <w:sz w:val="24"/>
          <w:szCs w:val="24"/>
          <w:color w:val="auto"/>
        </w:rPr>
      </w:pPr>
    </w:p>
    <w:p>
      <w:pPr>
        <w:ind w:left="5220"/>
        <w:spacing w:after="0"/>
        <w:rPr>
          <w:sz w:val="20"/>
          <w:szCs w:val="20"/>
          <w:color w:val="auto"/>
        </w:rPr>
      </w:pPr>
      <w:r>
        <w:rPr>
          <w:rFonts w:ascii="Arial" w:cs="Arial" w:eastAsia="Arial" w:hAnsi="Arial"/>
          <w:sz w:val="16"/>
          <w:szCs w:val="16"/>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(CUSIP Number)</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(Date of Event which Requires Filing of this Statement)</w:t>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19" w:lineRule="exact"/>
        <w:rPr>
          <w:sz w:val="24"/>
          <w:szCs w:val="24"/>
          <w:color w:val="auto"/>
        </w:rPr>
      </w:pPr>
    </w:p>
    <w:p>
      <w:pPr>
        <w:jc w:val="both"/>
        <w:ind w:right="9820" w:firstLine="8"/>
        <w:spacing w:after="0" w:line="214" w:lineRule="exact"/>
        <w:tabs>
          <w:tab w:leader="none" w:pos="281" w:val="left"/>
        </w:tabs>
        <w:numPr>
          <w:ilvl w:val="0"/>
          <w:numId w:val="1"/>
        </w:numPr>
        <w:rPr>
          <w:rFonts w:ascii="Wingdings" w:cs="Wingdings" w:eastAsia="Wingdings" w:hAnsi="Wingdings"/>
          <w:sz w:val="18"/>
          <w:szCs w:val="18"/>
          <w:b w:val="1"/>
          <w:bCs w:val="1"/>
          <w:color w:val="auto"/>
        </w:rPr>
      </w:pPr>
      <w:r>
        <w:rPr>
          <w:rFonts w:ascii="Arial" w:cs="Arial" w:eastAsia="Arial" w:hAnsi="Arial"/>
          <w:sz w:val="16"/>
          <w:szCs w:val="16"/>
          <w:color w:val="auto"/>
        </w:rPr>
        <w:t xml:space="preserve">Rule 13d-1(b)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13d-1(c) </w:t>
      </w:r>
      <w:r>
        <w:rPr>
          <w:rFonts w:ascii="MS PGothic" w:cs="MS PGothic" w:eastAsia="MS PGothic" w:hAnsi="MS PGothic"/>
          <w:sz w:val="17"/>
          <w:szCs w:val="17"/>
          <w:color w:val="auto"/>
        </w:rPr>
        <w:t>☐</w:t>
      </w:r>
      <w:r>
        <w:rPr>
          <w:rFonts w:ascii="Arial" w:cs="Arial" w:eastAsia="Arial" w:hAnsi="Arial"/>
          <w:sz w:val="16"/>
          <w:szCs w:val="16"/>
          <w:color w:val="auto"/>
        </w:rPr>
        <w:t xml:space="preserve"> Rule 13d-1(d)</w:t>
      </w:r>
    </w:p>
    <w:p>
      <w:pPr>
        <w:spacing w:after="0" w:line="210" w:lineRule="exact"/>
        <w:rPr>
          <w:sz w:val="24"/>
          <w:szCs w:val="24"/>
          <w:color w:val="auto"/>
        </w:rPr>
      </w:pPr>
    </w:p>
    <w:p>
      <w:pPr>
        <w:ind w:right="140" w:firstLine="8"/>
        <w:spacing w:after="0" w:line="195"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8" w:lineRule="exact"/>
        <w:rPr>
          <w:sz w:val="24"/>
          <w:szCs w:val="24"/>
          <w:color w:val="auto"/>
        </w:rPr>
      </w:pPr>
    </w:p>
    <w:p>
      <w:pPr>
        <w:jc w:val="both"/>
        <w:spacing w:after="0" w:line="286"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00"/>
          </w:cols>
          <w:pgMar w:left="320" w:top="233" w:right="479" w:bottom="1440" w:gutter="0" w:footer="0" w:header="0"/>
        </w:sectPr>
      </w:pPr>
    </w:p>
    <w:bookmarkStart w:id="1" w:name="page2"/>
    <w:bookmarkEnd w:id="1"/>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192576106</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2 of 4 Pages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0" w:hanging="344"/>
        <w:spacing w:after="0"/>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w:t>
      </w:r>
    </w:p>
    <w:p>
      <w:pPr>
        <w:spacing w:after="0" w:line="220" w:lineRule="exact"/>
        <w:rPr>
          <w:rFonts w:ascii="Times New Roman" w:cs="Times New Roman" w:eastAsia="Times New Roman" w:hAnsi="Times New Roman"/>
          <w:sz w:val="16"/>
          <w:szCs w:val="16"/>
          <w:color w:val="auto"/>
        </w:rPr>
      </w:pPr>
    </w:p>
    <w:p>
      <w:pPr>
        <w:ind w:left="46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Victory Capital Management Inc.</w:t>
      </w:r>
    </w:p>
    <w:p>
      <w:pPr>
        <w:spacing w:after="0" w:line="207" w:lineRule="exact"/>
        <w:rPr>
          <w:rFonts w:ascii="Times New Roman" w:cs="Times New Roman" w:eastAsia="Times New Roman" w:hAnsi="Times New Roman"/>
          <w:sz w:val="16"/>
          <w:szCs w:val="16"/>
          <w:color w:val="auto"/>
        </w:rPr>
      </w:pPr>
    </w:p>
    <w:p>
      <w:pPr>
        <w:ind w:left="460" w:right="5740"/>
        <w:spacing w:after="0" w:line="41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I.R.S. IDENTIFICATION NOS. OF ABOVE PERSONS (ENTITIES ONLY) 13-2700161</w:t>
      </w:r>
    </w:p>
    <w:p>
      <w:pPr>
        <w:spacing w:after="0" w:line="1" w:lineRule="exact"/>
        <w:rPr>
          <w:rFonts w:ascii="Times New Roman" w:cs="Times New Roman" w:eastAsia="Times New Roman" w:hAnsi="Times New Roman"/>
          <w:sz w:val="16"/>
          <w:szCs w:val="16"/>
          <w:color w:val="auto"/>
        </w:rPr>
      </w:pPr>
    </w:p>
    <w:p>
      <w:pPr>
        <w:ind w:left="460" w:right="6300" w:hanging="344"/>
        <w:spacing w:after="0" w:line="269"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CHECK THE APPROPRIATE BOX IF A MEMBER OF A GROUP (see instructions)</w:t>
      </w:r>
    </w:p>
    <w:p>
      <w:pPr>
        <w:ind w:left="800" w:hanging="333"/>
        <w:spacing w:after="0" w:line="190" w:lineRule="exact"/>
        <w:tabs>
          <w:tab w:leader="none" w:pos="80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8"/>
          <w:szCs w:val="18"/>
          <w:color w:val="auto"/>
        </w:rPr>
        <w:t>☐</w:t>
      </w:r>
    </w:p>
    <w:p>
      <w:pPr>
        <w:spacing w:after="0" w:line="50" w:lineRule="exact"/>
        <w:rPr>
          <w:rFonts w:ascii="Times New Roman" w:cs="Times New Roman" w:eastAsia="Times New Roman" w:hAnsi="Times New Roman"/>
          <w:sz w:val="16"/>
          <w:szCs w:val="16"/>
          <w:color w:val="auto"/>
        </w:rPr>
      </w:pPr>
    </w:p>
    <w:p>
      <w:pPr>
        <w:ind w:left="820" w:hanging="353"/>
        <w:spacing w:after="0" w:line="190" w:lineRule="exact"/>
        <w:tabs>
          <w:tab w:leader="none" w:pos="820" w:val="left"/>
        </w:tabs>
        <w:numPr>
          <w:ilvl w:val="1"/>
          <w:numId w:val="3"/>
        </w:numPr>
        <w:rPr>
          <w:rFonts w:ascii="Times New Roman" w:cs="Times New Roman" w:eastAsia="Times New Roman" w:hAnsi="Times New Roman"/>
          <w:sz w:val="16"/>
          <w:szCs w:val="16"/>
          <w:color w:val="auto"/>
        </w:rPr>
      </w:pPr>
      <w:r>
        <w:rPr>
          <w:rFonts w:ascii="MS PGothic" w:cs="MS PGothic" w:eastAsia="MS PGothic" w:hAnsi="MS PGothic"/>
          <w:sz w:val="18"/>
          <w:szCs w:val="18"/>
          <w:color w:val="auto"/>
        </w:rPr>
        <w:t>☐</w:t>
      </w:r>
    </w:p>
    <w:p>
      <w:pPr>
        <w:spacing w:after="0" w:line="26" w:lineRule="exact"/>
        <w:rPr>
          <w:rFonts w:ascii="Times New Roman" w:cs="Times New Roman" w:eastAsia="Times New Roman" w:hAnsi="Times New Roman"/>
          <w:sz w:val="16"/>
          <w:szCs w:val="16"/>
          <w:color w:val="auto"/>
        </w:rPr>
      </w:pPr>
    </w:p>
    <w:p>
      <w:pPr>
        <w:ind w:left="460" w:hanging="344"/>
        <w:spacing w:after="0"/>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USE ONLY</w:t>
      </w:r>
    </w:p>
    <w:p>
      <w:pPr>
        <w:spacing w:after="0" w:line="216" w:lineRule="exact"/>
        <w:rPr>
          <w:rFonts w:ascii="Times New Roman" w:cs="Times New Roman" w:eastAsia="Times New Roman" w:hAnsi="Times New Roman"/>
          <w:sz w:val="16"/>
          <w:szCs w:val="16"/>
          <w:color w:val="auto"/>
        </w:rPr>
      </w:pPr>
    </w:p>
    <w:p>
      <w:pPr>
        <w:ind w:left="460" w:right="7460" w:hanging="344"/>
        <w:spacing w:after="0" w:line="562" w:lineRule="auto"/>
        <w:tabs>
          <w:tab w:leader="none" w:pos="4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New York</w:t>
      </w:r>
    </w:p>
    <w:p>
      <w:pPr>
        <w:spacing w:after="0" w:line="245" w:lineRule="exact"/>
        <w:rPr>
          <w:rFonts w:ascii="Times New Roman" w:cs="Times New Roman" w:eastAsia="Times New Roman" w:hAnsi="Times New Roman"/>
          <w:sz w:val="16"/>
          <w:szCs w:val="16"/>
          <w:color w:val="auto"/>
        </w:rPr>
      </w:pPr>
    </w:p>
    <w:p>
      <w:pPr>
        <w:ind w:left="2040" w:hanging="345"/>
        <w:spacing w:after="0"/>
        <w:tabs>
          <w:tab w:leader="none" w:pos="2040"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-1624965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-1084580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3,016,817</w:t>
            </w:r>
          </w:p>
        </w:tc>
        <w:tc>
          <w:tcPr>
            <w:tcW w:w="8480" w:type="dxa"/>
            <w:vAlign w:val="bottom"/>
            <w:tcBorders>
              <w:bottom w:val="single" w:sz="8" w:color="auto"/>
            </w:tcBorders>
          </w:tcPr>
          <w:p>
            <w:pPr>
              <w:spacing w:after="0"/>
              <w:rPr>
                <w:sz w:val="18"/>
                <w:szCs w:val="18"/>
                <w:color w:val="auto"/>
              </w:rPr>
            </w:pPr>
          </w:p>
        </w:tc>
      </w:tr>
      <w:tr>
        <w:trPr>
          <w:trHeight w:val="188"/>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4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2"/>
              </w:rPr>
              <w:t>6.</w:t>
            </w:r>
          </w:p>
        </w:tc>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r>
      <w:tr>
        <w:trPr>
          <w:trHeight w:val="203"/>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210"/>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8480" w:type="dxa"/>
            <w:vAlign w:val="bottom"/>
            <w:tcBorders>
              <w:bottom w:val="single" w:sz="8" w:color="auto"/>
            </w:tcBorders>
          </w:tcPr>
          <w:p>
            <w:pPr>
              <w:spacing w:after="0"/>
              <w:rPr>
                <w:sz w:val="18"/>
                <w:szCs w:val="18"/>
                <w:color w:val="auto"/>
              </w:rPr>
            </w:pPr>
          </w:p>
        </w:tc>
      </w:tr>
      <w:tr>
        <w:trPr>
          <w:trHeight w:val="175"/>
        </w:trPr>
        <w:tc>
          <w:tcPr>
            <w:tcW w:w="1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OWNED BY EACH</w:t>
            </w:r>
          </w:p>
        </w:tc>
        <w:tc>
          <w:tcPr>
            <w:tcW w:w="140" w:type="dxa"/>
            <w:vAlign w:val="bottom"/>
          </w:tcPr>
          <w:p>
            <w:pPr>
              <w:spacing w:after="0"/>
              <w:rPr>
                <w:sz w:val="15"/>
                <w:szCs w:val="15"/>
                <w:color w:val="auto"/>
              </w:rPr>
            </w:pPr>
          </w:p>
        </w:tc>
        <w:tc>
          <w:tcPr>
            <w:tcW w:w="220" w:type="dxa"/>
            <w:vAlign w:val="bottom"/>
          </w:tcPr>
          <w:p>
            <w:pPr>
              <w:jc w:val="right"/>
              <w:ind w:right="19"/>
              <w:spacing w:after="0" w:line="175" w:lineRule="exact"/>
              <w:rPr>
                <w:sz w:val="20"/>
                <w:szCs w:val="20"/>
                <w:color w:val="auto"/>
              </w:rPr>
            </w:pPr>
            <w:r>
              <w:rPr>
                <w:rFonts w:ascii="Times New Roman" w:cs="Times New Roman" w:eastAsia="Times New Roman" w:hAnsi="Times New Roman"/>
                <w:sz w:val="16"/>
                <w:szCs w:val="16"/>
                <w:color w:val="auto"/>
                <w:w w:val="82"/>
              </w:rPr>
              <w:t>7.</w:t>
            </w:r>
          </w:p>
        </w:tc>
        <w:tc>
          <w:tcPr>
            <w:tcW w:w="9320" w:type="dxa"/>
            <w:vAlign w:val="bottom"/>
            <w:gridSpan w:val="2"/>
          </w:tcPr>
          <w:p>
            <w:pPr>
              <w:ind w:left="120"/>
              <w:spacing w:after="0" w:line="175" w:lineRule="exact"/>
              <w:rPr>
                <w:sz w:val="20"/>
                <w:szCs w:val="20"/>
                <w:color w:val="auto"/>
              </w:rPr>
            </w:pPr>
            <w:r>
              <w:rPr>
                <w:rFonts w:ascii="Times New Roman" w:cs="Times New Roman" w:eastAsia="Times New Roman" w:hAnsi="Times New Roman"/>
                <w:sz w:val="16"/>
                <w:szCs w:val="16"/>
                <w:color w:val="auto"/>
              </w:rPr>
              <w:t>SOLE DISPOSITIVE POWER</w:t>
            </w:r>
          </w:p>
        </w:tc>
      </w:tr>
      <w:tr>
        <w:trPr>
          <w:trHeight w:val="203"/>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80" w:type="dxa"/>
            <w:vAlign w:val="bottom"/>
          </w:tcPr>
          <w:p>
            <w:pPr>
              <w:spacing w:after="0"/>
              <w:rPr>
                <w:sz w:val="17"/>
                <w:szCs w:val="17"/>
                <w:color w:val="auto"/>
              </w:rPr>
            </w:pPr>
          </w:p>
        </w:tc>
      </w:tr>
      <w:tr>
        <w:trPr>
          <w:trHeight w:val="224"/>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3,034,729</w:t>
            </w:r>
          </w:p>
        </w:tc>
        <w:tc>
          <w:tcPr>
            <w:tcW w:w="8480" w:type="dxa"/>
            <w:vAlign w:val="bottom"/>
            <w:tcBorders>
              <w:bottom w:val="single" w:sz="8" w:color="auto"/>
            </w:tcBorders>
          </w:tcPr>
          <w:p>
            <w:pPr>
              <w:spacing w:after="0"/>
              <w:rPr>
                <w:sz w:val="19"/>
                <w:szCs w:val="19"/>
                <w:color w:val="auto"/>
              </w:rPr>
            </w:pPr>
          </w:p>
        </w:tc>
      </w:tr>
      <w:tr>
        <w:trPr>
          <w:trHeight w:val="210"/>
        </w:trPr>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2"/>
              </w:rPr>
              <w:t>8.</w:t>
            </w:r>
          </w:p>
        </w:tc>
        <w:tc>
          <w:tcPr>
            <w:tcW w:w="93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r>
      <w:tr>
        <w:trPr>
          <w:trHeight w:val="394"/>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0</w:t>
            </w:r>
          </w:p>
        </w:tc>
        <w:tc>
          <w:tcPr>
            <w:tcW w:w="8480" w:type="dxa"/>
            <w:vAlign w:val="bottom"/>
            <w:tcBorders>
              <w:bottom w:val="single" w:sz="8" w:color="auto"/>
            </w:tcBorders>
          </w:tcPr>
          <w:p>
            <w:pPr>
              <w:spacing w:after="0"/>
              <w:rPr>
                <w:sz w:val="24"/>
                <w:szCs w:val="24"/>
                <w:color w:val="auto"/>
              </w:rPr>
            </w:pPr>
          </w:p>
        </w:tc>
      </w:tr>
      <w:tr>
        <w:trPr>
          <w:trHeight w:val="679"/>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9.</w:t>
            </w:r>
          </w:p>
        </w:tc>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r>
      <w:tr>
        <w:trPr>
          <w:trHeight w:val="448"/>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3,034,729</w:t>
            </w:r>
          </w:p>
        </w:tc>
      </w:tr>
      <w:tr>
        <w:trPr>
          <w:trHeight w:val="152"/>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419"/>
              <w:spacing w:after="0" w:line="152" w:lineRule="exact"/>
              <w:rPr>
                <w:sz w:val="20"/>
                <w:szCs w:val="20"/>
                <w:color w:val="auto"/>
              </w:rPr>
            </w:pPr>
            <w:r>
              <w:rPr>
                <w:rFonts w:ascii="Times New Roman" w:cs="Times New Roman" w:eastAsia="Times New Roman" w:hAnsi="Times New Roman"/>
                <w:sz w:val="16"/>
                <w:szCs w:val="16"/>
                <w:color w:val="auto"/>
              </w:rPr>
              <w:t>10.</w:t>
            </w:r>
          </w:p>
        </w:tc>
        <w:tc>
          <w:tcPr>
            <w:tcW w:w="8480" w:type="dxa"/>
            <w:vAlign w:val="bottom"/>
          </w:tcPr>
          <w:p>
            <w:pPr>
              <w:ind w:left="100"/>
              <w:spacing w:after="0" w:line="152" w:lineRule="exact"/>
              <w:rPr>
                <w:sz w:val="20"/>
                <w:szCs w:val="20"/>
                <w:color w:val="auto"/>
              </w:rPr>
            </w:pPr>
            <w:r>
              <w:rPr>
                <w:rFonts w:ascii="Times New Roman" w:cs="Times New Roman" w:eastAsia="Times New Roman" w:hAnsi="Times New Roman"/>
                <w:sz w:val="16"/>
                <w:szCs w:val="16"/>
                <w:color w:val="auto"/>
              </w:rPr>
              <w:t>CHECK IF THE AGGREGATE AMOUNT IN ROW (9) EXCLUDES CERTAIN SHARES</w:t>
            </w:r>
          </w:p>
        </w:tc>
      </w:tr>
      <w:tr>
        <w:trPr>
          <w:trHeight w:val="283"/>
        </w:trPr>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80" w:type="dxa"/>
            <w:vAlign w:val="bottom"/>
          </w:tcPr>
          <w:p>
            <w:pPr>
              <w:ind w:left="100"/>
              <w:spacing w:after="0" w:line="196" w:lineRule="exact"/>
              <w:rPr>
                <w:sz w:val="20"/>
                <w:szCs w:val="20"/>
                <w:color w:val="auto"/>
              </w:rPr>
            </w:pPr>
            <w:r>
              <w:rPr>
                <w:rFonts w:ascii="Times New Roman" w:cs="Times New Roman" w:eastAsia="Times New Roman" w:hAnsi="Times New Roman"/>
                <w:sz w:val="16"/>
                <w:szCs w:val="16"/>
                <w:color w:val="auto"/>
              </w:rPr>
              <w:t xml:space="preserve">(see instructions)  </w:t>
            </w:r>
            <w:r>
              <w:rPr>
                <w:rFonts w:ascii="MS PGothic" w:cs="MS PGothic" w:eastAsia="MS PGothic" w:hAnsi="MS PGothic"/>
                <w:sz w:val="17"/>
                <w:szCs w:val="17"/>
                <w:color w:val="auto"/>
              </w:rPr>
              <w:t>☐</w:t>
            </w:r>
          </w:p>
        </w:tc>
      </w:tr>
      <w:tr>
        <w:trPr>
          <w:trHeight w:val="196"/>
        </w:trPr>
        <w:tc>
          <w:tcPr>
            <w:tcW w:w="15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480" w:type="dxa"/>
            <w:vAlign w:val="bottom"/>
            <w:tcBorders>
              <w:bottom w:val="single" w:sz="8" w:color="auto"/>
            </w:tcBorders>
          </w:tcPr>
          <w:p>
            <w:pPr>
              <w:spacing w:after="0"/>
              <w:rPr>
                <w:sz w:val="17"/>
                <w:szCs w:val="17"/>
                <w:color w:val="auto"/>
              </w:rPr>
            </w:pPr>
          </w:p>
        </w:tc>
      </w:tr>
      <w:tr>
        <w:trPr>
          <w:trHeight w:val="204"/>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11.</w:t>
            </w:r>
          </w:p>
        </w:tc>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r>
      <w:tr>
        <w:trPr>
          <w:trHeight w:val="435"/>
        </w:trPr>
        <w:tc>
          <w:tcPr>
            <w:tcW w:w="1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6.37%</w:t>
            </w:r>
          </w:p>
        </w:tc>
      </w:tr>
      <w:tr>
        <w:trPr>
          <w:trHeight w:val="207"/>
        </w:trPr>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12.</w:t>
            </w:r>
          </w:p>
        </w:tc>
        <w:tc>
          <w:tcPr>
            <w:tcW w:w="8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TYPE OF REPORTING PERSON (see instructions)</w:t>
            </w:r>
          </w:p>
        </w:tc>
      </w:tr>
    </w:tbl>
    <w:p>
      <w:pPr>
        <w:spacing w:after="0" w:line="2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6"/>
          <w:szCs w:val="16"/>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2" w:name="page3"/>
    <w:bookmarkEnd w:id="2"/>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192576106</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3 of 4 Pages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67"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6"/>
          <w:szCs w:val="16"/>
          <w:color w:val="auto"/>
        </w:rPr>
        <w:t>(a)</w:t>
        <w:tab/>
        <w:t>Name of Issuer</w:t>
      </w:r>
    </w:p>
    <w:p>
      <w:pPr>
        <w:spacing w:after="0" w:line="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2"/>
          <w:szCs w:val="22"/>
          <w:color w:val="auto"/>
        </w:rPr>
        <w:t>Cohu Inc.</w:t>
      </w:r>
    </w:p>
    <w:p>
      <w:pPr>
        <w:spacing w:after="0" w:line="225" w:lineRule="exact"/>
        <w:rPr>
          <w:sz w:val="20"/>
          <w:szCs w:val="20"/>
          <w:color w:val="auto"/>
        </w:rPr>
      </w:pPr>
    </w:p>
    <w:p>
      <w:pPr>
        <w:ind w:left="680" w:right="7480" w:hanging="335"/>
        <w:spacing w:after="0" w:line="269" w:lineRule="auto"/>
        <w:tabs>
          <w:tab w:leader="none" w:pos="6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Issuer’s Principal Executive Offices 12367 Crosthwaite Circle</w:t>
      </w: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Poway, CA 92064</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67" w:lineRule="exact"/>
        <w:rPr>
          <w:sz w:val="20"/>
          <w:szCs w:val="20"/>
          <w:color w:val="auto"/>
        </w:rPr>
      </w:pPr>
    </w:p>
    <w:p>
      <w:pPr>
        <w:ind w:left="680" w:hanging="335"/>
        <w:spacing w:after="0"/>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 of Persons Filing</w:t>
      </w:r>
    </w:p>
    <w:p>
      <w:pPr>
        <w:spacing w:after="0" w:line="26" w:lineRule="exact"/>
        <w:rPr>
          <w:rFonts w:ascii="Times New Roman" w:cs="Times New Roman" w:eastAsia="Times New Roman" w:hAnsi="Times New Roman"/>
          <w:sz w:val="16"/>
          <w:szCs w:val="16"/>
          <w:color w:val="auto"/>
        </w:rPr>
      </w:pP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Victory Capital Management Inc.</w:t>
      </w:r>
    </w:p>
    <w:p>
      <w:pPr>
        <w:spacing w:after="0" w:line="253" w:lineRule="exact"/>
        <w:rPr>
          <w:rFonts w:ascii="Times New Roman" w:cs="Times New Roman" w:eastAsia="Times New Roman" w:hAnsi="Times New Roman"/>
          <w:sz w:val="16"/>
          <w:szCs w:val="16"/>
          <w:color w:val="auto"/>
        </w:rPr>
      </w:pPr>
    </w:p>
    <w:p>
      <w:pPr>
        <w:ind w:left="680" w:right="7140" w:hanging="335"/>
        <w:spacing w:after="0" w:line="230"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Address of the Principal Office or, if none, residence 4900 Tiedeman Rd.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ind w:left="6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Brooklyn, OH 44144</w:t>
      </w:r>
    </w:p>
    <w:p>
      <w:pPr>
        <w:spacing w:after="0" w:line="243" w:lineRule="exact"/>
        <w:rPr>
          <w:rFonts w:ascii="Times New Roman" w:cs="Times New Roman" w:eastAsia="Times New Roman" w:hAnsi="Times New Roman"/>
          <w:sz w:val="16"/>
          <w:szCs w:val="16"/>
          <w:color w:val="auto"/>
        </w:rPr>
      </w:pPr>
    </w:p>
    <w:p>
      <w:pPr>
        <w:ind w:left="680" w:right="982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New York</w:t>
      </w:r>
    </w:p>
    <w:p>
      <w:pPr>
        <w:spacing w:after="0" w:line="191" w:lineRule="exact"/>
        <w:rPr>
          <w:rFonts w:ascii="Times New Roman" w:cs="Times New Roman" w:eastAsia="Times New Roman" w:hAnsi="Times New Roman"/>
          <w:sz w:val="16"/>
          <w:szCs w:val="16"/>
          <w:color w:val="auto"/>
        </w:rPr>
      </w:pPr>
    </w:p>
    <w:p>
      <w:pPr>
        <w:ind w:left="680" w:right="884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Class of Securities Common Stock</w:t>
      </w:r>
    </w:p>
    <w:p>
      <w:pPr>
        <w:spacing w:after="0" w:line="191" w:lineRule="exact"/>
        <w:rPr>
          <w:rFonts w:ascii="Times New Roman" w:cs="Times New Roman" w:eastAsia="Times New Roman" w:hAnsi="Times New Roman"/>
          <w:sz w:val="16"/>
          <w:szCs w:val="16"/>
          <w:color w:val="auto"/>
        </w:rPr>
      </w:pPr>
    </w:p>
    <w:p>
      <w:pPr>
        <w:ind w:left="680" w:right="9520" w:hanging="335"/>
        <w:spacing w:after="0" w:line="298" w:lineRule="auto"/>
        <w:tabs>
          <w:tab w:leader="none" w:pos="68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192576106</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34" w:lineRule="exact"/>
        <w:rPr>
          <w:sz w:val="20"/>
          <w:szCs w:val="20"/>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Broker or dealer registered under section 15 of the Act (15 U.S.C. 78o).</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Bank as defined in section 3(a)(6) of the Act (15 U.S.C. 78c).</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Insurance company as defined in section 3(a)(19) of the Act (15 U.S.C. 78c).</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Investment company registered under section 8 of the Investment Company Act of 1940 (15 U.S.C. 80a-8).</w:t>
      </w:r>
    </w:p>
    <w:p>
      <w:pPr>
        <w:spacing w:after="0" w:line="323" w:lineRule="exact"/>
        <w:rPr>
          <w:rFonts w:ascii="Times New Roman" w:cs="Times New Roman" w:eastAsia="Times New Roman" w:hAnsi="Times New Roman"/>
          <w:sz w:val="16"/>
          <w:szCs w:val="16"/>
          <w:color w:val="auto"/>
        </w:rPr>
      </w:pPr>
    </w:p>
    <w:p>
      <w:pPr>
        <w:ind w:left="680" w:hanging="335"/>
        <w:spacing w:after="0"/>
        <w:tabs>
          <w:tab w:leader="none" w:pos="680" w:val="left"/>
        </w:tabs>
        <w:numPr>
          <w:ilvl w:val="0"/>
          <w:numId w:val="6"/>
        </w:numPr>
        <w:rPr>
          <w:rFonts w:ascii="Times New Roman" w:cs="Times New Roman" w:eastAsia="Times New Roman" w:hAnsi="Times New Roman"/>
          <w:sz w:val="16"/>
          <w:szCs w:val="16"/>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6"/>
          <w:szCs w:val="16"/>
          <w:color w:val="auto"/>
        </w:rPr>
        <w:t>An investment adviser in accordance with §240.13d-1(b)(1)(ii)(E);</w:t>
      </w:r>
    </w:p>
    <w:p>
      <w:pPr>
        <w:spacing w:after="0" w:line="253"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An employee benefit plan or endowment fund in accordance with §240.13d-1(b)(1)(ii)(F);</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parent holding company or control person in accordance with §240.13d-1(b)(1)(ii)(G);</w:t>
      </w:r>
    </w:p>
    <w:p>
      <w:pPr>
        <w:spacing w:after="0" w:line="290"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savings associations as defined in Section 3(b) of the Federal Deposit Insurance Act (12 U.S.C. 1813);</w:t>
      </w:r>
    </w:p>
    <w:p>
      <w:pPr>
        <w:spacing w:after="0" w:line="290" w:lineRule="exact"/>
        <w:rPr>
          <w:rFonts w:ascii="Times New Roman" w:cs="Times New Roman" w:eastAsia="Times New Roman" w:hAnsi="Times New Roman"/>
          <w:sz w:val="16"/>
          <w:szCs w:val="16"/>
          <w:color w:val="auto"/>
        </w:rPr>
      </w:pPr>
    </w:p>
    <w:p>
      <w:pPr>
        <w:ind w:left="1020" w:right="20" w:hanging="675"/>
        <w:spacing w:after="0" w:line="223" w:lineRule="exact"/>
        <w:tabs>
          <w:tab w:leader="none" w:pos="683"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A church plan that is excluded from the definition of an investment company under section 3(c)(14) of the Investment Company Act of 1940 (15 U.S.C. 80a-3);</w:t>
      </w:r>
    </w:p>
    <w:p>
      <w:pPr>
        <w:spacing w:after="0" w:line="200" w:lineRule="exact"/>
        <w:rPr>
          <w:rFonts w:ascii="Times New Roman" w:cs="Times New Roman" w:eastAsia="Times New Roman" w:hAnsi="Times New Roman"/>
          <w:sz w:val="16"/>
          <w:szCs w:val="16"/>
          <w:color w:val="auto"/>
        </w:rPr>
      </w:pPr>
    </w:p>
    <w:p>
      <w:pPr>
        <w:spacing w:after="0" w:line="225" w:lineRule="exact"/>
        <w:rPr>
          <w:rFonts w:ascii="Times New Roman" w:cs="Times New Roman" w:eastAsia="Times New Roman" w:hAnsi="Times New Roman"/>
          <w:sz w:val="16"/>
          <w:szCs w:val="16"/>
          <w:color w:val="auto"/>
        </w:rPr>
      </w:pPr>
    </w:p>
    <w:p>
      <w:pPr>
        <w:ind w:left="680" w:hanging="335"/>
        <w:spacing w:after="0" w:line="196" w:lineRule="exact"/>
        <w:tabs>
          <w:tab w:leader="none" w:pos="680" w:val="left"/>
        </w:tabs>
        <w:numPr>
          <w:ilvl w:val="0"/>
          <w:numId w:val="6"/>
        </w:numPr>
        <w:rPr>
          <w:rFonts w:ascii="Times New Roman" w:cs="Times New Roman" w:eastAsia="Times New Roman" w:hAnsi="Times New Roman"/>
          <w:sz w:val="16"/>
          <w:szCs w:val="16"/>
          <w:color w:val="auto"/>
        </w:rPr>
      </w:pP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Group, in accordance with §240.13d-1(b)(1)(ii)(J).</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ectPr>
          <w:pgSz w:w="11900" w:h="16838" w:orient="portrait"/>
          <w:cols w:equalWidth="0" w:num="1">
            <w:col w:w="11240"/>
          </w:cols>
          <w:pgMar w:left="320" w:top="1368"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10" w:lineRule="exact"/>
        <w:rPr>
          <w:sz w:val="20"/>
          <w:szCs w:val="20"/>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beneficially owned: 3,034,729</w:t>
      </w:r>
    </w:p>
    <w:p>
      <w:pPr>
        <w:spacing w:after="0" w:line="302" w:lineRule="exact"/>
        <w:rPr>
          <w:rFonts w:ascii="Times New Roman" w:cs="Times New Roman" w:eastAsia="Times New Roman" w:hAnsi="Times New Roman"/>
          <w:sz w:val="16"/>
          <w:szCs w:val="16"/>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 of class: 6.37%</w:t>
      </w:r>
    </w:p>
    <w:p>
      <w:pPr>
        <w:spacing w:after="0" w:line="302" w:lineRule="exact"/>
        <w:rPr>
          <w:rFonts w:ascii="Times New Roman" w:cs="Times New Roman" w:eastAsia="Times New Roman" w:hAnsi="Times New Roman"/>
          <w:sz w:val="16"/>
          <w:szCs w:val="16"/>
          <w:color w:val="auto"/>
        </w:rPr>
      </w:pPr>
    </w:p>
    <w:p>
      <w:pPr>
        <w:ind w:left="800" w:hanging="455"/>
        <w:spacing w:after="0"/>
        <w:tabs>
          <w:tab w:leader="none" w:pos="8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as to which the person has:</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3,016,817</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0</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dispose or to direct the disposition of: 3,034,729</w:t>
      </w:r>
    </w:p>
    <w:p>
      <w:pPr>
        <w:spacing w:after="0" w:line="302" w:lineRule="exact"/>
        <w:rPr>
          <w:rFonts w:ascii="Times New Roman" w:cs="Times New Roman" w:eastAsia="Times New Roman" w:hAnsi="Times New Roman"/>
          <w:sz w:val="16"/>
          <w:szCs w:val="16"/>
          <w:color w:val="auto"/>
        </w:rPr>
      </w:pPr>
    </w:p>
    <w:p>
      <w:pPr>
        <w:ind w:left="1140" w:hanging="336"/>
        <w:spacing w:after="0"/>
        <w:tabs>
          <w:tab w:leader="none" w:pos="114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dispose or to direct the disposition of: 0</w:t>
      </w:r>
    </w:p>
    <w:p>
      <w:pPr>
        <w:spacing w:after="0" w:line="180"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21" w:lineRule="exact"/>
        <w:rPr>
          <w:sz w:val="20"/>
          <w:szCs w:val="20"/>
          <w:color w:val="auto"/>
        </w:rPr>
      </w:pPr>
    </w:p>
    <w:p>
      <w:pPr>
        <w:ind w:right="500"/>
        <w:spacing w:after="0" w:line="219"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7"/>
          <w:szCs w:val="17"/>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67"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auto"/>
        </w:rPr>
        <w:t>The clients of Victory Capital Management Inc., including investment companies registered under the Investment Company Act of 1940 and separately managed accounts, have the right to receive or the power to direct the receipt of dividends from, or the proceeds from the sale of, the class of securities reported herein. No client has the right to receive or the power to direct the receipt of dividends from, or the proceeds from the sale of, more than 5% of such class.</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200" w:lineRule="exact"/>
        <w:rPr>
          <w:sz w:val="20"/>
          <w:szCs w:val="20"/>
          <w:color w:val="auto"/>
        </w:rPr>
      </w:pPr>
    </w:p>
    <w:p>
      <w:pPr>
        <w:spacing w:after="0" w:line="210" w:lineRule="exact"/>
        <w:rPr>
          <w:sz w:val="20"/>
          <w:szCs w:val="20"/>
          <w:color w:val="auto"/>
        </w:rPr>
      </w:pPr>
    </w:p>
    <w:p>
      <w:pPr>
        <w:ind w:left="880" w:hanging="427"/>
        <w:spacing w:after="0"/>
        <w:tabs>
          <w:tab w:leader="none" w:pos="8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certification shall be included if the statement is filed pursuant to §240.13d-1(b):</w:t>
      </w:r>
    </w:p>
    <w:p>
      <w:pPr>
        <w:spacing w:after="0" w:line="302" w:lineRule="exact"/>
        <w:rPr>
          <w:rFonts w:ascii="Times New Roman" w:cs="Times New Roman" w:eastAsia="Times New Roman" w:hAnsi="Times New Roman"/>
          <w:sz w:val="16"/>
          <w:szCs w:val="16"/>
          <w:color w:val="auto"/>
        </w:rPr>
      </w:pPr>
    </w:p>
    <w:p>
      <w:pPr>
        <w:jc w:val="both"/>
        <w:ind w:left="880" w:right="18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80"/>
          </w:cols>
          <w:pgMar w:left="320" w:top="638" w:right="399" w:bottom="1440" w:gutter="0" w:footer="0" w:header="0"/>
        </w:sectPr>
      </w:pPr>
    </w:p>
    <w:bookmarkStart w:id="4" w:name="page5"/>
    <w:bookmarkEnd w:id="4"/>
    <w:p>
      <w:pPr>
        <w:spacing w:after="0"/>
        <w:tabs>
          <w:tab w:leader="none" w:pos="5580" w:val="left"/>
          <w:tab w:leader="none" w:pos="10060" w:val="left"/>
        </w:tabs>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CUSIP No. 192576106</w:t>
      </w:r>
      <w:r>
        <w:rPr>
          <w:sz w:val="20"/>
          <w:szCs w:val="20"/>
          <w:color w:val="auto"/>
        </w:rPr>
        <w:tab/>
      </w:r>
      <w:r>
        <w:rPr>
          <w:rFonts w:ascii="Times New Roman" w:cs="Times New Roman" w:eastAsia="Times New Roman" w:hAnsi="Times New Roman"/>
          <w:sz w:val="16"/>
          <w:szCs w:val="16"/>
          <w:color w:val="auto"/>
        </w:rPr>
        <w:t>13G</w:t>
      </w:r>
      <w:r>
        <w:rPr>
          <w:sz w:val="20"/>
          <w:szCs w:val="20"/>
          <w:color w:val="auto"/>
        </w:rPr>
        <w:tab/>
      </w:r>
      <w:r>
        <w:rPr>
          <w:rFonts w:ascii="Times New Roman" w:cs="Times New Roman" w:eastAsia="Times New Roman" w:hAnsi="Times New Roman"/>
          <w:sz w:val="16"/>
          <w:szCs w:val="16"/>
          <w:color w:val="auto"/>
        </w:rPr>
        <w:t>Page 4 of 4 Pages</w:t>
      </w:r>
    </w:p>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2/1/2023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 Barry Garrett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Barry Garrett/ Chief Compliance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2023-02-01T13:06:20Z</dcterms:created>
  <dcterms:modified xsi:type="dcterms:W3CDTF">2023-02-01T13:06:20Z</dcterms:modified>
</cp:coreProperties>
</file>