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8" w:lineRule="exact"/>
        <w:rPr>
          <w:rFonts w:ascii="Courier New" w:cs="Courier New" w:eastAsia="Courier New" w:hAnsi="Courier New"/>
          <w:sz w:val="18"/>
          <w:szCs w:val="18"/>
          <w:color w:val="auto"/>
        </w:rPr>
      </w:pPr>
    </w:p>
    <w:p>
      <w:pPr>
        <w:ind w:left="86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Paradigm Capital Management, Inc. 14-1770168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w w:val="98"/>
              </w:rPr>
              <w:t>NUMBER OF SHARES BENEFICIALLY OWNED</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BY EACH REPORTING PERSON WITH</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1,380,220</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00" w:type="dxa"/>
            <w:vAlign w:val="bottom"/>
          </w:tcPr>
          <w:p>
            <w:pPr>
              <w:spacing w:after="0"/>
              <w:rPr>
                <w:sz w:val="17"/>
                <w:szCs w:val="17"/>
                <w:color w:val="auto"/>
              </w:rPr>
            </w:pPr>
          </w:p>
        </w:tc>
      </w:tr>
    </w:tbl>
    <w:p>
      <w:pPr>
        <w:ind w:left="1700" w:hanging="849"/>
        <w:spacing w:after="0" w:line="238"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1,380,220</w:t>
      </w:r>
    </w:p>
    <w:p>
      <w:pPr>
        <w:ind w:left="1700" w:hanging="849"/>
        <w:spacing w:after="0" w:line="238"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1,380,220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61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4199" w:hanging="852"/>
        <w:spacing w:after="0" w:line="470"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3">
            <w:col w:w="980" w:space="720"/>
            <w:col w:w="4340" w:space="720"/>
            <w:col w:w="345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Paradigm Capital Management, Inc.</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192576106</w:t>
      </w:r>
    </w:p>
    <w:p>
      <w:pPr>
        <w:sectPr>
          <w:pgSz w:w="11900" w:h="16838" w:orient="portrait"/>
          <w:cols w:equalWidth="0" w:num="2">
            <w:col w:w="980" w:space="720"/>
            <w:col w:w="8519"/>
          </w:cols>
          <w:pgMar w:left="240" w:top="136"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ind w:left="1700"/>
        <w:spacing w:after="0" w:line="238" w:lineRule="auto"/>
        <w:rPr>
          <w:sz w:val="20"/>
          <w:szCs w:val="20"/>
          <w:color w:val="auto"/>
        </w:rPr>
      </w:pPr>
      <w:r>
        <w:rPr>
          <w:rFonts w:ascii="Courier New" w:cs="Courier New" w:eastAsia="Courier New" w:hAnsi="Courier New"/>
          <w:sz w:val="18"/>
          <w:szCs w:val="18"/>
          <w:color w:val="auto"/>
        </w:rPr>
        <w:t>(b) or 9c), check whether the person filing is a:</w:t>
      </w:r>
    </w:p>
    <w:p>
      <w:pPr>
        <w:spacing w:after="0" w:line="202" w:lineRule="exact"/>
        <w:rPr>
          <w:sz w:val="20"/>
          <w:szCs w:val="20"/>
          <w:color w:val="auto"/>
        </w:rPr>
      </w:pPr>
    </w:p>
    <w:p>
      <w:pPr>
        <w:ind w:left="2120" w:hanging="426"/>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Ownership.</w:t>
            </w: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1,380,220</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Percent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5.71%</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1,380,220</w:t>
      </w:r>
    </w:p>
    <w:p>
      <w:pPr>
        <w:spacing w:after="0" w:line="11" w:lineRule="exact"/>
        <w:rPr>
          <w:rFonts w:ascii="Courier New" w:cs="Courier New" w:eastAsia="Courier New" w:hAnsi="Courier New"/>
          <w:sz w:val="18"/>
          <w:szCs w:val="18"/>
          <w:color w:val="auto"/>
        </w:rPr>
      </w:pPr>
    </w:p>
    <w:p>
      <w:pPr>
        <w:ind w:left="3380" w:right="26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1" w:lineRule="exact"/>
        <w:rPr>
          <w:rFonts w:ascii="Courier New" w:cs="Courier New" w:eastAsia="Courier New" w:hAnsi="Courier New"/>
          <w:sz w:val="18"/>
          <w:szCs w:val="18"/>
          <w:color w:val="auto"/>
        </w:rPr>
      </w:pPr>
    </w:p>
    <w:p>
      <w:pPr>
        <w:ind w:left="3380" w:right="115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1,380,220</w:t>
      </w:r>
    </w:p>
    <w:p>
      <w:pPr>
        <w:spacing w:after="0" w:line="11" w:lineRule="exact"/>
        <w:rPr>
          <w:rFonts w:ascii="Courier New" w:cs="Courier New" w:eastAsia="Courier New" w:hAnsi="Courier New"/>
          <w:sz w:val="18"/>
          <w:szCs w:val="18"/>
          <w:color w:val="auto"/>
        </w:rPr>
      </w:pPr>
    </w:p>
    <w:p>
      <w:pPr>
        <w:ind w:left="3380" w:right="93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1"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5.</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5% or</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Less of a Class.</w:t>
            </w:r>
          </w:p>
        </w:tc>
      </w:tr>
      <w:tr>
        <w:trPr>
          <w:trHeight w:val="405"/>
        </w:trPr>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being</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filed to</w:t>
            </w:r>
          </w:p>
        </w:tc>
        <w:tc>
          <w:tcPr>
            <w:tcW w:w="4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report the fact as of the date hereof</w:t>
            </w:r>
          </w:p>
        </w:tc>
      </w:tr>
      <w:tr>
        <w:trPr>
          <w:trHeight w:val="203"/>
        </w:trPr>
        <w:tc>
          <w:tcPr>
            <w:tcW w:w="480" w:type="dxa"/>
            <w:vAlign w:val="bottom"/>
          </w:tcPr>
          <w:p>
            <w:pPr>
              <w:spacing w:after="0"/>
              <w:rPr>
                <w:sz w:val="17"/>
                <w:szCs w:val="17"/>
                <w:color w:val="auto"/>
              </w:rPr>
            </w:pP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reporting person</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beneficial owner of more than five</w:t>
            </w:r>
          </w:p>
        </w:tc>
      </w:tr>
      <w:tr>
        <w:trPr>
          <w:trHeight w:val="203"/>
        </w:trPr>
        <w:tc>
          <w:tcPr>
            <w:tcW w:w="4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securities,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  [ ].</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8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more than 5% on Behalf of Another Person.</w:t>
            </w:r>
          </w:p>
        </w:tc>
      </w:tr>
    </w:tbl>
    <w:p>
      <w:pPr>
        <w:spacing w:after="0" w:line="207" w:lineRule="exact"/>
        <w:rPr>
          <w:sz w:val="20"/>
          <w:szCs w:val="20"/>
          <w:color w:val="auto"/>
        </w:rPr>
      </w:pPr>
    </w:p>
    <w:p>
      <w:pPr>
        <w:ind w:left="860" w:right="1679"/>
        <w:spacing w:after="0" w:line="235" w:lineRule="auto"/>
        <w:rPr>
          <w:sz w:val="20"/>
          <w:szCs w:val="20"/>
          <w:color w:val="auto"/>
        </w:rPr>
      </w:pPr>
      <w:r>
        <w:rPr>
          <w:rFonts w:ascii="Courier New" w:cs="Courier New" w:eastAsia="Courier New" w:hAnsi="Courier New"/>
          <w:sz w:val="18"/>
          <w:szCs w:val="18"/>
          <w:color w:val="auto"/>
        </w:rPr>
        <w:t>All securities reported in this Schedule 13G Report are owned by advisory clients of the Reporting Person.</w:t>
      </w:r>
    </w:p>
    <w:p>
      <w:pPr>
        <w:spacing w:after="0" w:line="200" w:lineRule="exact"/>
        <w:rPr>
          <w:sz w:val="20"/>
          <w:szCs w:val="20"/>
          <w:color w:val="auto"/>
        </w:rPr>
      </w:pPr>
    </w:p>
    <w:p>
      <w:pPr>
        <w:spacing w:after="0" w:line="211" w:lineRule="exact"/>
        <w:rPr>
          <w:sz w:val="20"/>
          <w:szCs w:val="20"/>
          <w:color w:val="auto"/>
        </w:rPr>
      </w:pPr>
    </w:p>
    <w:p>
      <w:pPr>
        <w:ind w:left="860" w:right="17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10, 2012</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V. Gulick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Gulick, Chief Compliance Officer</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7"/>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2019-12-09T07:18:26Z</dcterms:created>
  <dcterms:modified xsi:type="dcterms:W3CDTF">2019-12-09T07:18:26Z</dcterms:modified>
</cp:coreProperties>
</file>