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COHU,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$1.00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192576106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192576106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Franklin Mutual Advisers,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COHU,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12367 Crosthwaite Circle, Poway, CA 92064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Franklin Mutual Advisers,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101 John F. Kennedy Parkway Short Hills, NJ 07078-2789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$1.00 par value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jc w:val="left"/>
              <w:rPr/>
            </w:pPr>
            <w:r>
              <w:rPr/>
              <w:t xml:space="preserve">CUSIP No.: </w:t>
            </w:r>
          </w:p>
          <w:p>
            <w:pPr>
              <w:pStyle w:val="TableContents"/>
              <w:bidi w:val="0"/>
              <w:spacing w:before="0" w:after="0"/>
              <w:jc w:val="left"/>
              <w:rPr/>
            </w:pPr>
            <w:r>
              <w:rPr/>
              <w:t>192576106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Franklin Mutual Advisers,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Franklin Mutual Advisers, LLC: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Franklin Mutual Advisers, LLC, including investment companies registered under the Investment Company Act of 1940 and other managed accounts, have the right to receive or power to direct the receipt of dividends from, and the proceeds from the sale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Franklin Mutual Advisers,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/s/THOMAS C. MANDIA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Thomas C. Mandia. Assistant Secretary of Franklin Mutual Advisers, LLC</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05/05/2025</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A: Item 4 Ownership The securities reported herein are beneficially owned by one or more open end investment companies or other managed accounts that are investment management clients of Franklin Mutual Advisers, LLC ("FMA"), an indirect wholly owned subsidiary of Franklin Resources, Inc. ("FRI"). When an investment management contract (including a sub advisory agreement) delegates to FMA investment discretion or voting power over the securities held in the investment advisory accounts that are subject to that agreement, FRI treats FMA as having sole investment discretion or voting authority, as the case may be, unless the agreement specifies otherwise. Accordingly, FMA reports on Schedule 13G that it has sole investment discretion and voting authority over the securities covered by any such investment management agreement, unless otherwise noted in this Item 4. As a result for purposes of Rule 13d-3 under the Act, FMA may be deemed to be the beneficial owner of the securities reported in this Schedule 13G. Beneficial ownership by investment management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FMA are exercised independently from FRI (FMA's parent holding company) and from all other investment management subsidiaries of FRI (FRI, its affiliates and investment management subsidiaries other than FMA are, collectively, "FRI affiliates"). Furthermore, internal policies and procedures of FMA and FRI affiliates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 Charles B. Johnson and Rupert H. Johnson, Jr. (the "Principal Shareholders") may each own in excess of 10% of the outstanding common stock of FRI and are the principal stockholders of FRI (see FRI's Proxy Statement-Stock Ownership of Certain Beneficial Owners). However, because FMA exercises voting and investment powers on behalf of its investment management clients independently of FRI affiliates, beneficial ownership of the securities reported by FMA is not attributed to the Principal Shareholders. FMA disclaims any pecuniary interest in any of the securities reported in this Schedule 13G. In addition, the filing of this Schedule 13G on behalf of FMA should not be construed as an admission that it is, and it disclaims that it is, the beneficial owner, as defined in Rule 13d-3, of any of such securities. Furthermore, FMA believes that it is not a "group" with FRI affiliates, the Principal Shareholders, or their respective affiliates within the meaning of Rule 13d-5 under the Act and that none of them is otherwise required to attribute to any other the beneficial ownership of the securities held by such person or by any persons or entities for whom or for which FMA or the FRI affiliates provide investment management services.</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1420</Words>
  <Characters>7439</Characters>
  <CharactersWithSpaces>8849</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