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1140" w:val="left"/>
          <w:tab w:leader="none" w:pos="4620" w:val="left"/>
          <w:tab w:leader="none" w:pos="7880" w:val="left"/>
        </w:tabs>
        <w:rPr>
          <w:sz w:val="20"/>
          <w:szCs w:val="20"/>
          <w:color w:val="auto"/>
        </w:rPr>
      </w:pPr>
      <w:r>
        <w:rPr>
          <w:rFonts w:ascii="Courier New" w:cs="Courier New" w:eastAsia="Courier New" w:hAnsi="Courier New"/>
          <w:sz w:val="18"/>
          <w:szCs w:val="18"/>
          <w:color w:val="auto"/>
        </w:rPr>
        <w:t>CUSIP NO.</w:t>
        <w:tab/>
        <w:t>192576106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 of 7</w:t>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ind w:left="3760"/>
        <w:spacing w:after="0"/>
        <w:rPr>
          <w:sz w:val="20"/>
          <w:szCs w:val="20"/>
          <w:color w:val="auto"/>
        </w:rPr>
      </w:pPr>
      <w:r>
        <w:rPr>
          <w:rFonts w:ascii="Courier New" w:cs="Courier New" w:eastAsia="Courier New" w:hAnsi="Courier New"/>
          <w:sz w:val="18"/>
          <w:szCs w:val="18"/>
          <w:color w:val="auto"/>
        </w:rPr>
        <w:t>UNITED STATES</w:t>
      </w:r>
    </w:p>
    <w:p>
      <w:pPr>
        <w:spacing w:after="0" w:line="85" w:lineRule="exact"/>
        <w:rPr>
          <w:sz w:val="24"/>
          <w:szCs w:val="24"/>
          <w:color w:val="auto"/>
        </w:rPr>
      </w:pPr>
    </w:p>
    <w:p>
      <w:pPr>
        <w:ind w:left="270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6" w:lineRule="exact"/>
        <w:rPr>
          <w:sz w:val="24"/>
          <w:szCs w:val="24"/>
          <w:color w:val="auto"/>
        </w:rPr>
      </w:pPr>
    </w:p>
    <w:p>
      <w:pPr>
        <w:jc w:val="center"/>
        <w:ind w:right="81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SCHEDULE 13G</w:t>
      </w:r>
    </w:p>
    <w:p>
      <w:pPr>
        <w:spacing w:after="0" w:line="282" w:lineRule="exact"/>
        <w:rPr>
          <w:sz w:val="24"/>
          <w:szCs w:val="24"/>
          <w:color w:val="auto"/>
        </w:rPr>
      </w:pPr>
    </w:p>
    <w:p>
      <w:pPr>
        <w:jc w:val="center"/>
        <w:ind w:right="71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58" w:lineRule="exact"/>
        <w:rPr>
          <w:sz w:val="24"/>
          <w:szCs w:val="24"/>
          <w:color w:val="auto"/>
        </w:rPr>
      </w:pPr>
    </w:p>
    <w:p>
      <w:pPr>
        <w:jc w:val="center"/>
        <w:ind w:right="839"/>
        <w:spacing w:after="0"/>
        <w:rPr>
          <w:sz w:val="20"/>
          <w:szCs w:val="20"/>
          <w:color w:val="auto"/>
        </w:rPr>
      </w:pPr>
      <w:r>
        <w:rPr>
          <w:rFonts w:ascii="Courier New" w:cs="Courier New" w:eastAsia="Courier New" w:hAnsi="Courier New"/>
          <w:sz w:val="18"/>
          <w:szCs w:val="18"/>
          <w:color w:val="auto"/>
        </w:rPr>
        <w:t>(Amendment No. )*</w:t>
      </w:r>
    </w:p>
    <w:p>
      <w:pPr>
        <w:spacing w:after="0" w:line="277" w:lineRule="exact"/>
        <w:rPr>
          <w:sz w:val="24"/>
          <w:szCs w:val="24"/>
          <w:color w:val="auto"/>
        </w:rPr>
      </w:pPr>
    </w:p>
    <w:p>
      <w:pPr>
        <w:jc w:val="center"/>
        <w:ind w:right="879"/>
        <w:spacing w:after="0"/>
        <w:rPr>
          <w:sz w:val="20"/>
          <w:szCs w:val="20"/>
          <w:color w:val="auto"/>
        </w:rPr>
      </w:pPr>
      <w:r>
        <w:rPr>
          <w:rFonts w:ascii="Courier New" w:cs="Courier New" w:eastAsia="Courier New" w:hAnsi="Courier New"/>
          <w:sz w:val="18"/>
          <w:szCs w:val="18"/>
          <w:color w:val="auto"/>
        </w:rPr>
        <w:t>COHU, INC.</w:t>
      </w:r>
    </w:p>
    <w:p>
      <w:pPr>
        <w:spacing w:after="0" w:line="71" w:lineRule="exact"/>
        <w:rPr>
          <w:sz w:val="24"/>
          <w:szCs w:val="24"/>
          <w:color w:val="auto"/>
        </w:rPr>
      </w:pPr>
    </w:p>
    <w:p>
      <w:pPr>
        <w:jc w:val="center"/>
        <w:ind w:right="839"/>
        <w:spacing w:after="0"/>
        <w:rPr>
          <w:sz w:val="20"/>
          <w:szCs w:val="20"/>
          <w:color w:val="auto"/>
        </w:rPr>
      </w:pPr>
      <w:r>
        <w:rPr>
          <w:rFonts w:ascii="Courier New" w:cs="Courier New" w:eastAsia="Courier New" w:hAnsi="Courier New"/>
          <w:sz w:val="18"/>
          <w:szCs w:val="18"/>
          <w:color w:val="auto"/>
        </w:rPr>
        <w:t>(Name of Issuer)</w:t>
      </w:r>
    </w:p>
    <w:p>
      <w:pPr>
        <w:spacing w:after="0" w:line="223"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Common Stock, $1.00 par value</w:t>
      </w:r>
    </w:p>
    <w:p>
      <w:pPr>
        <w:spacing w:after="0" w:line="100" w:lineRule="exact"/>
        <w:rPr>
          <w:sz w:val="24"/>
          <w:szCs w:val="24"/>
          <w:color w:val="auto"/>
        </w:rPr>
      </w:pPr>
    </w:p>
    <w:p>
      <w:pPr>
        <w:ind w:left="2900"/>
        <w:spacing w:after="0"/>
        <w:rPr>
          <w:sz w:val="20"/>
          <w:szCs w:val="20"/>
          <w:color w:val="auto"/>
        </w:rPr>
      </w:pPr>
      <w:r>
        <w:rPr>
          <w:rFonts w:ascii="Courier New" w:cs="Courier New" w:eastAsia="Courier New" w:hAnsi="Courier New"/>
          <w:sz w:val="18"/>
          <w:szCs w:val="18"/>
          <w:color w:val="auto"/>
        </w:rPr>
        <w:t>(Title of Class of Securities)</w:t>
      </w:r>
    </w:p>
    <w:p>
      <w:pPr>
        <w:spacing w:after="0" w:line="194" w:lineRule="exact"/>
        <w:rPr>
          <w:sz w:val="24"/>
          <w:szCs w:val="24"/>
          <w:color w:val="auto"/>
        </w:rPr>
      </w:pPr>
    </w:p>
    <w:p>
      <w:pPr>
        <w:jc w:val="center"/>
        <w:ind w:right="879"/>
        <w:spacing w:after="0"/>
        <w:rPr>
          <w:sz w:val="20"/>
          <w:szCs w:val="20"/>
          <w:color w:val="auto"/>
        </w:rPr>
      </w:pPr>
      <w:r>
        <w:rPr>
          <w:rFonts w:ascii="Courier New" w:cs="Courier New" w:eastAsia="Courier New" w:hAnsi="Courier New"/>
          <w:sz w:val="18"/>
          <w:szCs w:val="18"/>
          <w:color w:val="auto"/>
        </w:rPr>
        <w:t>192576106</w:t>
      </w:r>
    </w:p>
    <w:p>
      <w:pPr>
        <w:spacing w:after="0" w:line="58" w:lineRule="exact"/>
        <w:rPr>
          <w:sz w:val="24"/>
          <w:szCs w:val="24"/>
          <w:color w:val="auto"/>
        </w:rPr>
      </w:pPr>
    </w:p>
    <w:p>
      <w:pPr>
        <w:jc w:val="center"/>
        <w:ind w:right="859"/>
        <w:spacing w:after="0"/>
        <w:rPr>
          <w:sz w:val="20"/>
          <w:szCs w:val="20"/>
          <w:color w:val="auto"/>
        </w:rPr>
      </w:pPr>
      <w:r>
        <w:rPr>
          <w:rFonts w:ascii="Courier New" w:cs="Courier New" w:eastAsia="Courier New" w:hAnsi="Courier New"/>
          <w:sz w:val="18"/>
          <w:szCs w:val="18"/>
          <w:color w:val="auto"/>
        </w:rPr>
        <w:t>(CUSIP Number)</w:t>
      </w:r>
    </w:p>
    <w:p>
      <w:pPr>
        <w:spacing w:after="0" w:line="264" w:lineRule="exact"/>
        <w:rPr>
          <w:sz w:val="24"/>
          <w:szCs w:val="24"/>
          <w:color w:val="auto"/>
        </w:rPr>
      </w:pPr>
    </w:p>
    <w:p>
      <w:pPr>
        <w:jc w:val="center"/>
        <w:ind w:right="839"/>
        <w:spacing w:after="0"/>
        <w:rPr>
          <w:sz w:val="20"/>
          <w:szCs w:val="20"/>
          <w:color w:val="auto"/>
        </w:rPr>
      </w:pPr>
      <w:r>
        <w:rPr>
          <w:rFonts w:ascii="Courier New" w:cs="Courier New" w:eastAsia="Courier New" w:hAnsi="Courier New"/>
          <w:sz w:val="18"/>
          <w:szCs w:val="18"/>
          <w:color w:val="auto"/>
        </w:rPr>
        <w:t>December 31, 2023</w:t>
      </w:r>
    </w:p>
    <w:p>
      <w:pPr>
        <w:spacing w:after="0" w:line="44" w:lineRule="exact"/>
        <w:rPr>
          <w:sz w:val="24"/>
          <w:szCs w:val="24"/>
          <w:color w:val="auto"/>
        </w:rPr>
      </w:pPr>
    </w:p>
    <w:p>
      <w:pPr>
        <w:jc w:val="center"/>
        <w:ind w:right="639"/>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50" w:lineRule="exact"/>
        <w:rPr>
          <w:sz w:val="24"/>
          <w:szCs w:val="24"/>
          <w:color w:val="auto"/>
        </w:rPr>
      </w:pPr>
    </w:p>
    <w:p>
      <w:pPr>
        <w:ind w:left="100" w:right="999"/>
        <w:spacing w:after="0" w:line="358"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 w:lineRule="exact"/>
        <w:rPr>
          <w:sz w:val="24"/>
          <w:szCs w:val="24"/>
          <w:color w:val="auto"/>
        </w:rPr>
      </w:pPr>
    </w:p>
    <w:p>
      <w:pPr>
        <w:jc w:val="both"/>
        <w:ind w:left="100" w:right="7879" w:firstLine="8"/>
        <w:spacing w:after="0" w:line="267" w:lineRule="exact"/>
        <w:tabs>
          <w:tab w:leader="none" w:pos="521"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Rule 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1(b) [ ] Rule 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1(c) [ ] Rule 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1(d)</w:t>
      </w:r>
    </w:p>
    <w:p>
      <w:pPr>
        <w:spacing w:after="0" w:line="291" w:lineRule="exact"/>
        <w:rPr>
          <w:sz w:val="24"/>
          <w:szCs w:val="24"/>
          <w:color w:val="auto"/>
        </w:rPr>
      </w:pPr>
    </w:p>
    <w:p>
      <w:pPr>
        <w:ind w:left="100" w:right="579"/>
        <w:spacing w:after="0" w:line="309"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4" w:lineRule="exact"/>
        <w:rPr>
          <w:sz w:val="24"/>
          <w:szCs w:val="24"/>
          <w:color w:val="auto"/>
        </w:rPr>
      </w:pPr>
    </w:p>
    <w:p>
      <w:pPr>
        <w:jc w:val="both"/>
        <w:ind w:left="100" w:right="459"/>
        <w:spacing w:after="0" w:line="309"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-250190</wp:posOffset>
            </wp:positionH>
            <wp:positionV relativeFrom="paragraph">
              <wp:posOffset>338455</wp:posOffset>
            </wp:positionV>
            <wp:extent cx="71532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739"/>
          </w:cols>
          <w:pgMar w:left="720" w:top="660" w:right="1440" w:bottom="1440" w:gutter="0" w:footer="0" w:header="0"/>
        </w:sectPr>
      </w:pPr>
    </w:p>
    <w:bookmarkStart w:id="1" w:name="page2"/>
    <w:bookmarkEnd w:id="1"/>
    <w:p>
      <w:pPr>
        <w:spacing w:after="0"/>
        <w:tabs>
          <w:tab w:leader="none" w:pos="1140" w:val="left"/>
          <w:tab w:leader="none" w:pos="4620" w:val="left"/>
          <w:tab w:leader="none" w:pos="7880" w:val="left"/>
        </w:tabs>
        <w:rPr>
          <w:sz w:val="20"/>
          <w:szCs w:val="20"/>
          <w:color w:val="auto"/>
        </w:rPr>
      </w:pPr>
      <w:r>
        <w:rPr>
          <w:rFonts w:ascii="Courier New" w:cs="Courier New" w:eastAsia="Courier New" w:hAnsi="Courier New"/>
          <w:sz w:val="18"/>
          <w:szCs w:val="18"/>
          <w:color w:val="auto"/>
        </w:rPr>
        <w:t>CUSIP NO.</w:t>
        <w:tab/>
        <w:t>192576106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2 of 7</w:t>
      </w:r>
    </w:p>
    <w:p>
      <w:pPr>
        <w:spacing w:after="0" w:line="161" w:lineRule="exact"/>
        <w:rPr>
          <w:sz w:val="20"/>
          <w:szCs w:val="20"/>
          <w:color w:val="auto"/>
        </w:rPr>
      </w:pPr>
    </w:p>
    <w:p>
      <w:pPr>
        <w:ind w:left="640" w:hanging="5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200" w:lineRule="exact"/>
        <w:rPr>
          <w:sz w:val="20"/>
          <w:szCs w:val="20"/>
          <w:color w:val="auto"/>
        </w:rPr>
      </w:pPr>
    </w:p>
    <w:p>
      <w:pPr>
        <w:spacing w:after="0" w:line="366" w:lineRule="exact"/>
        <w:rPr>
          <w:sz w:val="20"/>
          <w:szCs w:val="20"/>
          <w:color w:val="auto"/>
        </w:rPr>
      </w:pPr>
    </w:p>
    <w:p>
      <w:pPr>
        <w:ind w:left="640" w:hanging="532"/>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74" w:lineRule="exact"/>
        <w:rPr>
          <w:sz w:val="20"/>
          <w:szCs w:val="20"/>
          <w:color w:val="auto"/>
        </w:rPr>
      </w:pPr>
    </w:p>
    <w:p>
      <w:pPr>
        <w:ind w:left="660"/>
        <w:spacing w:after="0"/>
        <w:rPr>
          <w:sz w:val="20"/>
          <w:szCs w:val="20"/>
          <w:color w:val="auto"/>
        </w:rPr>
      </w:pPr>
      <w:r>
        <w:rPr>
          <w:rFonts w:ascii="Courier New" w:cs="Courier New" w:eastAsia="Courier New" w:hAnsi="Courier New"/>
          <w:sz w:val="18"/>
          <w:szCs w:val="18"/>
          <w:color w:val="auto"/>
        </w:rPr>
        <w:t>(a)</w:t>
      </w:r>
    </w:p>
    <w:p>
      <w:pPr>
        <w:spacing w:after="0" w:line="58" w:lineRule="exact"/>
        <w:rPr>
          <w:sz w:val="20"/>
          <w:szCs w:val="20"/>
          <w:color w:val="auto"/>
        </w:rPr>
      </w:pPr>
    </w:p>
    <w:p>
      <w:pPr>
        <w:ind w:left="1080" w:hanging="422"/>
        <w:spacing w:after="0"/>
        <w:tabs>
          <w:tab w:leader="none" w:pos="10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01" w:lineRule="exact"/>
        <w:rPr>
          <w:rFonts w:ascii="Courier New" w:cs="Courier New" w:eastAsia="Courier New" w:hAnsi="Courier New"/>
          <w:sz w:val="18"/>
          <w:szCs w:val="18"/>
          <w:color w:val="auto"/>
        </w:rPr>
      </w:pPr>
    </w:p>
    <w:p>
      <w:pPr>
        <w:ind w:left="640" w:hanging="5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55" w:lineRule="exact"/>
        <w:rPr>
          <w:rFonts w:ascii="Courier New" w:cs="Courier New" w:eastAsia="Courier New" w:hAnsi="Courier New"/>
          <w:sz w:val="18"/>
          <w:szCs w:val="18"/>
          <w:color w:val="auto"/>
        </w:rPr>
      </w:pPr>
    </w:p>
    <w:p>
      <w:pPr>
        <w:ind w:left="660" w:right="5319" w:hanging="552"/>
        <w:spacing w:after="0" w:line="452" w:lineRule="auto"/>
        <w:tabs>
          <w:tab w:leader="none" w:pos="6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82" w:lineRule="exact"/>
        <w:rPr>
          <w:sz w:val="20"/>
          <w:szCs w:val="20"/>
          <w:color w:val="auto"/>
        </w:rPr>
      </w:pPr>
    </w:p>
    <w:p>
      <w:pPr>
        <w:ind w:left="1200" w:right="6759" w:hanging="542"/>
        <w:spacing w:after="0" w:line="429" w:lineRule="auto"/>
        <w:tabs>
          <w:tab w:leader="none" w:pos="1177"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SOLE VOTING POWER (See Item 4)</w:t>
      </w:r>
    </w:p>
    <w:p>
      <w:pPr>
        <w:ind w:left="1200" w:right="6559" w:hanging="542"/>
        <w:spacing w:after="0" w:line="413" w:lineRule="auto"/>
        <w:tabs>
          <w:tab w:leader="none" w:pos="1177"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ind w:left="1200" w:right="6239" w:hanging="542"/>
        <w:spacing w:after="0" w:line="413" w:lineRule="auto"/>
        <w:tabs>
          <w:tab w:leader="none" w:pos="1177"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ind w:left="1200" w:right="6019" w:hanging="542"/>
        <w:spacing w:after="0" w:line="436" w:lineRule="auto"/>
        <w:tabs>
          <w:tab w:leader="none" w:pos="1177"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 w:lineRule="exact"/>
        <w:rPr>
          <w:rFonts w:ascii="Courier New" w:cs="Courier New" w:eastAsia="Courier New" w:hAnsi="Courier New"/>
          <w:sz w:val="18"/>
          <w:szCs w:val="18"/>
          <w:color w:val="auto"/>
        </w:rPr>
      </w:pPr>
    </w:p>
    <w:p>
      <w:pPr>
        <w:ind w:left="660" w:right="2779" w:hanging="552"/>
        <w:spacing w:after="0" w:line="413" w:lineRule="auto"/>
        <w:tabs>
          <w:tab w:leader="none" w:pos="63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2,782,581</w:t>
      </w:r>
    </w:p>
    <w:p>
      <w:pPr>
        <w:ind w:left="640" w:hanging="5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pacing w:after="0" w:line="377" w:lineRule="exact"/>
        <w:rPr>
          <w:sz w:val="20"/>
          <w:szCs w:val="20"/>
          <w:color w:val="auto"/>
        </w:rPr>
      </w:pPr>
    </w:p>
    <w:p>
      <w:pPr>
        <w:ind w:left="660" w:right="3939" w:hanging="552"/>
        <w:spacing w:after="0" w:line="444" w:lineRule="auto"/>
        <w:tabs>
          <w:tab w:leader="none" w:pos="63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5.9%</w:t>
      </w:r>
    </w:p>
    <w:p>
      <w:pPr>
        <w:spacing w:after="0" w:line="1" w:lineRule="exact"/>
        <w:rPr>
          <w:rFonts w:ascii="Courier New" w:cs="Courier New" w:eastAsia="Courier New" w:hAnsi="Courier New"/>
          <w:sz w:val="18"/>
          <w:szCs w:val="18"/>
          <w:color w:val="auto"/>
        </w:rPr>
      </w:pPr>
    </w:p>
    <w:p>
      <w:pPr>
        <w:ind w:left="640" w:hanging="5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134" w:lineRule="exact"/>
        <w:rPr>
          <w:sz w:val="20"/>
          <w:szCs w:val="20"/>
          <w:color w:val="auto"/>
        </w:rPr>
      </w:pPr>
    </w:p>
    <w:p>
      <w:pPr>
        <w:ind w:left="660"/>
        <w:spacing w:after="0"/>
        <w:rPr>
          <w:sz w:val="20"/>
          <w:szCs w:val="20"/>
          <w:color w:val="auto"/>
        </w:rPr>
      </w:pPr>
      <w:r>
        <w:rPr>
          <w:rFonts w:ascii="Courier New" w:cs="Courier New" w:eastAsia="Courier New" w:hAnsi="Courier New"/>
          <w:sz w:val="18"/>
          <w:szCs w:val="18"/>
          <w:color w:val="auto"/>
        </w:rPr>
        <w:t>IA, OO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258445</wp:posOffset>
            </wp:positionV>
            <wp:extent cx="71532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739"/>
          </w:cols>
          <w:pgMar w:left="720" w:top="795"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304"/>
        </w:trPr>
        <w:tc>
          <w:tcPr>
            <w:tcW w:w="3380" w:type="dxa"/>
            <w:vAlign w:val="bottom"/>
          </w:tcPr>
          <w:p>
            <w:pPr>
              <w:spacing w:after="0"/>
              <w:rPr>
                <w:sz w:val="20"/>
                <w:szCs w:val="20"/>
                <w:color w:val="auto"/>
              </w:rPr>
            </w:pPr>
            <w:r>
              <w:rPr>
                <w:rFonts w:ascii="Courier New" w:cs="Courier New" w:eastAsia="Courier New" w:hAnsi="Courier New"/>
                <w:sz w:val="18"/>
                <w:szCs w:val="18"/>
                <w:color w:val="auto"/>
              </w:rPr>
              <w:t>CUSIP NO.  192576106</w:t>
            </w:r>
          </w:p>
        </w:tc>
        <w:tc>
          <w:tcPr>
            <w:tcW w:w="3060" w:type="dxa"/>
            <w:vAlign w:val="bottom"/>
          </w:tcPr>
          <w:p>
            <w:pPr>
              <w:ind w:left="1260"/>
              <w:spacing w:after="0"/>
              <w:rPr>
                <w:sz w:val="20"/>
                <w:szCs w:val="20"/>
                <w:color w:val="auto"/>
              </w:rPr>
            </w:pPr>
            <w:r>
              <w:rPr>
                <w:rFonts w:ascii="Courier New" w:cs="Courier New" w:eastAsia="Courier New" w:hAnsi="Courier New"/>
                <w:sz w:val="18"/>
                <w:szCs w:val="18"/>
                <w:color w:val="auto"/>
              </w:rPr>
              <w:t>13G</w:t>
            </w:r>
          </w:p>
        </w:tc>
        <w:tc>
          <w:tcPr>
            <w:tcW w:w="2620" w:type="dxa"/>
            <w:vAlign w:val="bottom"/>
          </w:tcPr>
          <w:p>
            <w:pPr>
              <w:ind w:left="1460"/>
              <w:spacing w:after="0"/>
              <w:rPr>
                <w:sz w:val="20"/>
                <w:szCs w:val="20"/>
                <w:color w:val="auto"/>
              </w:rPr>
            </w:pPr>
            <w:r>
              <w:rPr>
                <w:rFonts w:ascii="Courier New" w:cs="Courier New" w:eastAsia="Courier New" w:hAnsi="Courier New"/>
                <w:sz w:val="18"/>
                <w:szCs w:val="18"/>
                <w:color w:val="auto"/>
                <w:w w:val="95"/>
              </w:rPr>
              <w:t>Page 3 of 7</w:t>
            </w:r>
          </w:p>
        </w:tc>
      </w:tr>
      <w:tr>
        <w:trPr>
          <w:trHeight w:val="364"/>
        </w:trPr>
        <w:tc>
          <w:tcPr>
            <w:tcW w:w="3380" w:type="dxa"/>
            <w:vAlign w:val="bottom"/>
          </w:tcPr>
          <w:p>
            <w:pPr>
              <w:ind w:left="100"/>
              <w:spacing w:after="0"/>
              <w:rPr>
                <w:sz w:val="20"/>
                <w:szCs w:val="20"/>
                <w:color w:val="auto"/>
              </w:rPr>
            </w:pPr>
            <w:r>
              <w:rPr>
                <w:rFonts w:ascii="Courier New" w:cs="Courier New" w:eastAsia="Courier New" w:hAnsi="Courier New"/>
                <w:sz w:val="18"/>
                <w:szCs w:val="18"/>
                <w:color w:val="auto"/>
              </w:rPr>
              <w:t>Item 1.</w:t>
            </w:r>
          </w:p>
        </w:tc>
        <w:tc>
          <w:tcPr>
            <w:tcW w:w="3060" w:type="dxa"/>
            <w:vAlign w:val="bottom"/>
          </w:tcPr>
          <w:p>
            <w:pPr>
              <w:spacing w:after="0"/>
              <w:rPr>
                <w:sz w:val="24"/>
                <w:szCs w:val="24"/>
                <w:color w:val="auto"/>
              </w:rPr>
            </w:pPr>
          </w:p>
        </w:tc>
        <w:tc>
          <w:tcPr>
            <w:tcW w:w="2620" w:type="dxa"/>
            <w:vAlign w:val="bottom"/>
          </w:tcPr>
          <w:p>
            <w:pPr>
              <w:spacing w:after="0"/>
              <w:rPr>
                <w:sz w:val="24"/>
                <w:szCs w:val="24"/>
                <w:color w:val="auto"/>
              </w:rPr>
            </w:pPr>
          </w:p>
        </w:tc>
      </w:tr>
    </w:tbl>
    <w:p>
      <w:pPr>
        <w:spacing w:after="0" w:line="61" w:lineRule="exact"/>
        <w:rPr>
          <w:sz w:val="20"/>
          <w:szCs w:val="20"/>
          <w:color w:val="auto"/>
        </w:rPr>
      </w:pPr>
    </w:p>
    <w:p>
      <w:pPr>
        <w:ind w:left="740" w:hanging="632"/>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28" w:lineRule="exact"/>
        <w:rPr>
          <w:sz w:val="20"/>
          <w:szCs w:val="20"/>
          <w:color w:val="auto"/>
        </w:rPr>
      </w:pPr>
    </w:p>
    <w:p>
      <w:pPr>
        <w:ind w:left="700"/>
        <w:spacing w:after="0"/>
        <w:rPr>
          <w:sz w:val="20"/>
          <w:szCs w:val="20"/>
          <w:color w:val="auto"/>
        </w:rPr>
      </w:pPr>
      <w:r>
        <w:rPr>
          <w:rFonts w:ascii="Courier New" w:cs="Courier New" w:eastAsia="Courier New" w:hAnsi="Courier New"/>
          <w:sz w:val="18"/>
          <w:szCs w:val="18"/>
          <w:color w:val="auto"/>
        </w:rPr>
        <w:t>COHU, INC.</w:t>
      </w:r>
    </w:p>
    <w:p>
      <w:pPr>
        <w:spacing w:after="0" w:line="147" w:lineRule="exact"/>
        <w:rPr>
          <w:sz w:val="20"/>
          <w:szCs w:val="20"/>
          <w:color w:val="auto"/>
        </w:rPr>
      </w:pPr>
    </w:p>
    <w:p>
      <w:pPr>
        <w:ind w:left="740" w:hanging="632"/>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28" w:lineRule="exact"/>
        <w:rPr>
          <w:sz w:val="20"/>
          <w:szCs w:val="20"/>
          <w:color w:val="auto"/>
        </w:rPr>
      </w:pPr>
    </w:p>
    <w:p>
      <w:pPr>
        <w:ind w:left="760"/>
        <w:spacing w:after="0"/>
        <w:rPr>
          <w:sz w:val="20"/>
          <w:szCs w:val="20"/>
          <w:color w:val="auto"/>
        </w:rPr>
      </w:pPr>
      <w:r>
        <w:rPr>
          <w:rFonts w:ascii="Courier New" w:cs="Courier New" w:eastAsia="Courier New" w:hAnsi="Courier New"/>
          <w:sz w:val="18"/>
          <w:szCs w:val="18"/>
          <w:color w:val="auto"/>
        </w:rPr>
        <w:t>12367 Crosthwaite Circle</w:t>
      </w:r>
    </w:p>
    <w:p>
      <w:pPr>
        <w:spacing w:after="0" w:line="44" w:lineRule="exact"/>
        <w:rPr>
          <w:sz w:val="20"/>
          <w:szCs w:val="20"/>
          <w:color w:val="auto"/>
        </w:rPr>
      </w:pPr>
    </w:p>
    <w:p>
      <w:pPr>
        <w:ind w:left="760"/>
        <w:spacing w:after="0"/>
        <w:rPr>
          <w:sz w:val="20"/>
          <w:szCs w:val="20"/>
          <w:color w:val="auto"/>
        </w:rPr>
      </w:pPr>
      <w:r>
        <w:rPr>
          <w:rFonts w:ascii="Courier New" w:cs="Courier New" w:eastAsia="Courier New" w:hAnsi="Courier New"/>
          <w:sz w:val="18"/>
          <w:szCs w:val="18"/>
          <w:color w:val="auto"/>
        </w:rPr>
        <w:t>Poway, CA 92064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Item 2.</w:t>
      </w:r>
    </w:p>
    <w:p>
      <w:pPr>
        <w:spacing w:after="0" w:line="134" w:lineRule="exact"/>
        <w:rPr>
          <w:sz w:val="20"/>
          <w:szCs w:val="20"/>
          <w:color w:val="auto"/>
        </w:rPr>
      </w:pPr>
    </w:p>
    <w:p>
      <w:pPr>
        <w:ind w:left="700" w:right="5979" w:hanging="592"/>
        <w:spacing w:after="0" w:line="420" w:lineRule="auto"/>
        <w:tabs>
          <w:tab w:leader="none" w:pos="732"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 of Person Filing Franklin Mutual Advisers, LLC</w:t>
      </w:r>
    </w:p>
    <w:p>
      <w:pPr>
        <w:ind w:left="740" w:hanging="632"/>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120" w:lineRule="exact"/>
        <w:rPr>
          <w:sz w:val="20"/>
          <w:szCs w:val="20"/>
          <w:color w:val="auto"/>
        </w:rPr>
      </w:pPr>
    </w:p>
    <w:p>
      <w:pPr>
        <w:ind w:left="700"/>
        <w:spacing w:after="0"/>
        <w:rPr>
          <w:sz w:val="20"/>
          <w:szCs w:val="20"/>
          <w:color w:val="auto"/>
        </w:rPr>
      </w:pPr>
      <w:r>
        <w:rPr>
          <w:rFonts w:ascii="Courier New" w:cs="Courier New" w:eastAsia="Courier New" w:hAnsi="Courier New"/>
          <w:sz w:val="18"/>
          <w:szCs w:val="18"/>
          <w:color w:val="auto"/>
        </w:rPr>
        <w:t>101 John F. Kennedy Parkway</w:t>
      </w:r>
    </w:p>
    <w:p>
      <w:pPr>
        <w:spacing w:after="0" w:line="27" w:lineRule="exact"/>
        <w:rPr>
          <w:sz w:val="20"/>
          <w:szCs w:val="20"/>
          <w:color w:val="auto"/>
        </w:rPr>
      </w:pPr>
    </w:p>
    <w:p>
      <w:pPr>
        <w:ind w:left="700"/>
        <w:spacing w:after="0" w:line="209" w:lineRule="exact"/>
        <w:rPr>
          <w:sz w:val="20"/>
          <w:szCs w:val="20"/>
          <w:color w:val="auto"/>
        </w:rPr>
      </w:pPr>
      <w:r>
        <w:rPr>
          <w:rFonts w:ascii="Courier New" w:cs="Courier New" w:eastAsia="Courier New" w:hAnsi="Courier New"/>
          <w:sz w:val="18"/>
          <w:szCs w:val="18"/>
          <w:color w:val="auto"/>
        </w:rPr>
        <w:t>Short Hills, NJ 07078</w:t>
      </w:r>
      <w:r>
        <w:rPr>
          <w:rFonts w:ascii="MS PGothic" w:cs="MS PGothic" w:eastAsia="MS PGothic" w:hAnsi="MS PGothic"/>
          <w:sz w:val="18"/>
          <w:szCs w:val="18"/>
          <w:color w:val="auto"/>
        </w:rPr>
        <w:t>‑</w:t>
      </w:r>
      <w:r>
        <w:rPr>
          <w:rFonts w:ascii="Courier New" w:cs="Courier New" w:eastAsia="Courier New" w:hAnsi="Courier New"/>
          <w:sz w:val="18"/>
          <w:szCs w:val="18"/>
          <w:color w:val="auto"/>
        </w:rPr>
        <w:t>2789</w:t>
      </w:r>
    </w:p>
    <w:p>
      <w:pPr>
        <w:spacing w:after="0" w:line="249" w:lineRule="exact"/>
        <w:rPr>
          <w:sz w:val="20"/>
          <w:szCs w:val="20"/>
          <w:color w:val="auto"/>
        </w:rPr>
      </w:pPr>
    </w:p>
    <w:p>
      <w:pPr>
        <w:ind w:left="700" w:right="7839" w:hanging="592"/>
        <w:spacing w:after="0" w:line="555" w:lineRule="auto"/>
        <w:tabs>
          <w:tab w:leader="none" w:pos="732"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Citizenship Delaware</w:t>
      </w:r>
    </w:p>
    <w:p>
      <w:pPr>
        <w:ind w:left="700" w:right="5979" w:hanging="592"/>
        <w:spacing w:after="0" w:line="420" w:lineRule="auto"/>
        <w:tabs>
          <w:tab w:leader="none" w:pos="732"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Title of Class of Securities Common Stock, $1.00 par value</w:t>
      </w:r>
    </w:p>
    <w:p>
      <w:pPr>
        <w:ind w:left="740" w:hanging="632"/>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28" w:lineRule="exact"/>
        <w:rPr>
          <w:sz w:val="20"/>
          <w:szCs w:val="20"/>
          <w:color w:val="auto"/>
        </w:rPr>
      </w:pPr>
    </w:p>
    <w:p>
      <w:pPr>
        <w:ind w:left="700"/>
        <w:spacing w:after="0"/>
        <w:rPr>
          <w:sz w:val="20"/>
          <w:szCs w:val="20"/>
          <w:color w:val="auto"/>
        </w:rPr>
      </w:pPr>
      <w:r>
        <w:rPr>
          <w:rFonts w:ascii="Courier New" w:cs="Courier New" w:eastAsia="Courier New" w:hAnsi="Courier New"/>
          <w:sz w:val="18"/>
          <w:szCs w:val="18"/>
          <w:color w:val="auto"/>
        </w:rPr>
        <w:t>192576106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207010</wp:posOffset>
            </wp:positionV>
            <wp:extent cx="71532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739"/>
          </w:cols>
          <w:pgMar w:left="720" w:top="795" w:right="1440" w:bottom="1440" w:gutter="0" w:footer="0" w:header="0"/>
        </w:sectPr>
      </w:pPr>
    </w:p>
    <w:bookmarkStart w:id="3" w:name="page4"/>
    <w:bookmarkEnd w:id="3"/>
    <w:p>
      <w:pPr>
        <w:spacing w:after="0"/>
        <w:tabs>
          <w:tab w:leader="none" w:pos="1140" w:val="left"/>
          <w:tab w:leader="none" w:pos="4620" w:val="left"/>
          <w:tab w:leader="none" w:pos="7880" w:val="left"/>
        </w:tabs>
        <w:rPr>
          <w:sz w:val="20"/>
          <w:szCs w:val="20"/>
          <w:color w:val="auto"/>
        </w:rPr>
      </w:pPr>
      <w:r>
        <w:rPr>
          <w:rFonts w:ascii="Courier New" w:cs="Courier New" w:eastAsia="Courier New" w:hAnsi="Courier New"/>
          <w:sz w:val="18"/>
          <w:szCs w:val="18"/>
          <w:color w:val="auto"/>
        </w:rPr>
        <w:t>CUSIP NO.</w:t>
        <w:tab/>
        <w:t>192576106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4 of 7</w:t>
      </w:r>
    </w:p>
    <w:p>
      <w:pPr>
        <w:spacing w:after="0" w:line="175" w:lineRule="exact"/>
        <w:rPr>
          <w:sz w:val="20"/>
          <w:szCs w:val="20"/>
          <w:color w:val="auto"/>
        </w:rPr>
      </w:pPr>
    </w:p>
    <w:p>
      <w:pPr>
        <w:ind w:left="900" w:right="759" w:hanging="799"/>
        <w:spacing w:after="0" w:line="285" w:lineRule="exact"/>
        <w:rPr>
          <w:sz w:val="20"/>
          <w:szCs w:val="20"/>
          <w:color w:val="auto"/>
        </w:rPr>
      </w:pPr>
      <w:r>
        <w:rPr>
          <w:rFonts w:ascii="Courier New" w:cs="Courier New" w:eastAsia="Courier New" w:hAnsi="Courier New"/>
          <w:sz w:val="18"/>
          <w:szCs w:val="18"/>
          <w:color w:val="auto"/>
        </w:rPr>
        <w:t>Item 3. If this statement is filed pursuant to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 or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2(b) or (c), check whether the person filing is a:</w:t>
      </w:r>
    </w:p>
    <w:p>
      <w:pPr>
        <w:spacing w:after="0" w:line="1" w:lineRule="exact"/>
        <w:rPr>
          <w:sz w:val="20"/>
          <w:szCs w:val="20"/>
          <w:color w:val="auto"/>
        </w:rPr>
      </w:pPr>
    </w:p>
    <w:p>
      <w:pPr>
        <w:ind w:left="1320" w:hanging="412"/>
        <w:spacing w:after="0"/>
        <w:tabs>
          <w:tab w:leader="none" w:pos="13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Broker or dealer registered under section 15 of the Act (15 U.S.C. 8o).</w:t>
      </w:r>
    </w:p>
    <w:p>
      <w:pPr>
        <w:spacing w:after="0" w:line="153" w:lineRule="exact"/>
        <w:rPr>
          <w:rFonts w:ascii="Courier New" w:cs="Courier New" w:eastAsia="Courier New" w:hAnsi="Courier New"/>
          <w:sz w:val="17"/>
          <w:szCs w:val="17"/>
          <w:color w:val="auto"/>
        </w:rPr>
      </w:pPr>
    </w:p>
    <w:p>
      <w:pPr>
        <w:ind w:left="1320" w:hanging="412"/>
        <w:spacing w:after="0"/>
        <w:tabs>
          <w:tab w:leader="none" w:pos="13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133" w:lineRule="exact"/>
        <w:rPr>
          <w:rFonts w:ascii="Courier New" w:cs="Courier New" w:eastAsia="Courier New" w:hAnsi="Courier New"/>
          <w:sz w:val="18"/>
          <w:szCs w:val="18"/>
          <w:color w:val="auto"/>
        </w:rPr>
      </w:pPr>
    </w:p>
    <w:p>
      <w:pPr>
        <w:ind w:left="1800" w:right="499" w:hanging="892"/>
        <w:spacing w:after="0" w:line="333" w:lineRule="auto"/>
        <w:tabs>
          <w:tab w:leader="none" w:pos="13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1" w:lineRule="exact"/>
        <w:rPr>
          <w:rFonts w:ascii="Courier New" w:cs="Courier New" w:eastAsia="Courier New" w:hAnsi="Courier New"/>
          <w:sz w:val="18"/>
          <w:szCs w:val="18"/>
          <w:color w:val="auto"/>
        </w:rPr>
      </w:pPr>
    </w:p>
    <w:p>
      <w:pPr>
        <w:ind w:left="1800" w:right="399" w:hanging="892"/>
        <w:spacing w:after="0" w:line="267" w:lineRule="exact"/>
        <w:tabs>
          <w:tab w:leader="none" w:pos="1321"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 ] Investment company registered under section 8 of the Investment Company Act of 1940 (15 U.S.C 80a </w:t>
      </w:r>
      <w:r>
        <w:rPr>
          <w:rFonts w:ascii="MS PGothic" w:cs="MS PGothic" w:eastAsia="MS PGothic" w:hAnsi="MS PGothic"/>
          <w:sz w:val="18"/>
          <w:szCs w:val="18"/>
          <w:color w:val="auto"/>
        </w:rPr>
        <w:t>‑</w:t>
      </w:r>
      <w:r>
        <w:rPr>
          <w:rFonts w:ascii="Courier New" w:cs="Courier New" w:eastAsia="Courier New" w:hAnsi="Courier New"/>
          <w:sz w:val="18"/>
          <w:szCs w:val="18"/>
          <w:color w:val="auto"/>
        </w:rPr>
        <w:t>8).</w:t>
      </w:r>
    </w:p>
    <w:p>
      <w:pPr>
        <w:ind w:left="1320" w:hanging="412"/>
        <w:spacing w:after="0" w:line="209" w:lineRule="exact"/>
        <w:tabs>
          <w:tab w:leader="none" w:pos="13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1(b)(1)(ii)(E);</w:t>
      </w:r>
    </w:p>
    <w:p>
      <w:pPr>
        <w:spacing w:after="0" w:line="162" w:lineRule="exact"/>
        <w:rPr>
          <w:rFonts w:ascii="Courier New" w:cs="Courier New" w:eastAsia="Courier New" w:hAnsi="Courier New"/>
          <w:sz w:val="18"/>
          <w:szCs w:val="18"/>
          <w:color w:val="auto"/>
        </w:rPr>
      </w:pPr>
    </w:p>
    <w:p>
      <w:pPr>
        <w:ind w:left="1320" w:hanging="412"/>
        <w:spacing w:after="0"/>
        <w:tabs>
          <w:tab w:leader="none" w:pos="13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w:t>
      </w:r>
    </w:p>
    <w:p>
      <w:pPr>
        <w:spacing w:after="0" w:line="40" w:lineRule="exact"/>
        <w:rPr>
          <w:sz w:val="20"/>
          <w:szCs w:val="20"/>
          <w:color w:val="auto"/>
        </w:rPr>
      </w:pPr>
    </w:p>
    <w:p>
      <w:pPr>
        <w:ind w:left="1800"/>
        <w:spacing w:after="0" w:line="209" w:lineRule="exact"/>
        <w:rPr>
          <w:sz w:val="20"/>
          <w:szCs w:val="20"/>
          <w:color w:val="auto"/>
        </w:rPr>
      </w:pPr>
      <w:r>
        <w:rPr>
          <w:rFonts w:ascii="Courier New" w:cs="Courier New" w:eastAsia="Courier New" w:hAnsi="Courier New"/>
          <w:sz w:val="18"/>
          <w:szCs w:val="18"/>
          <w:color w:val="auto"/>
        </w:rPr>
        <w:t>§240.13d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1(b)(1)(ii)(F);</w:t>
      </w:r>
    </w:p>
    <w:p>
      <w:pPr>
        <w:spacing w:after="0" w:line="114" w:lineRule="exact"/>
        <w:rPr>
          <w:sz w:val="20"/>
          <w:szCs w:val="20"/>
          <w:color w:val="auto"/>
        </w:rPr>
      </w:pPr>
    </w:p>
    <w:p>
      <w:pPr>
        <w:ind w:left="1800" w:right="1459" w:hanging="892"/>
        <w:spacing w:after="0" w:line="267" w:lineRule="exact"/>
        <w:tabs>
          <w:tab w:leader="none" w:pos="132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1(b)(1)(ii)(G);</w:t>
      </w:r>
    </w:p>
    <w:p>
      <w:pPr>
        <w:spacing w:after="0" w:line="33" w:lineRule="exact"/>
        <w:rPr>
          <w:rFonts w:ascii="Courier New" w:cs="Courier New" w:eastAsia="Courier New" w:hAnsi="Courier New"/>
          <w:sz w:val="18"/>
          <w:szCs w:val="18"/>
          <w:color w:val="auto"/>
        </w:rPr>
      </w:pPr>
    </w:p>
    <w:p>
      <w:pPr>
        <w:ind w:left="1800" w:right="1139" w:hanging="892"/>
        <w:spacing w:after="0" w:line="333" w:lineRule="auto"/>
        <w:tabs>
          <w:tab w:leader="none" w:pos="132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1" w:lineRule="exact"/>
        <w:rPr>
          <w:rFonts w:ascii="Courier New" w:cs="Courier New" w:eastAsia="Courier New" w:hAnsi="Courier New"/>
          <w:sz w:val="18"/>
          <w:szCs w:val="18"/>
          <w:color w:val="auto"/>
        </w:rPr>
      </w:pPr>
    </w:p>
    <w:p>
      <w:pPr>
        <w:ind w:left="1800" w:right="759" w:hanging="892"/>
        <w:spacing w:after="0" w:line="254" w:lineRule="exact"/>
        <w:tabs>
          <w:tab w:leader="none" w:pos="132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w:t>
      </w:r>
      <w:r>
        <w:rPr>
          <w:rFonts w:ascii="MS PGothic" w:cs="MS PGothic" w:eastAsia="MS PGothic" w:hAnsi="MS PGothic"/>
          <w:sz w:val="18"/>
          <w:szCs w:val="18"/>
          <w:color w:val="auto"/>
        </w:rPr>
        <w:t>‑</w:t>
      </w:r>
      <w:r>
        <w:rPr>
          <w:rFonts w:ascii="Courier New" w:cs="Courier New" w:eastAsia="Courier New" w:hAnsi="Courier New"/>
          <w:sz w:val="18"/>
          <w:szCs w:val="18"/>
          <w:color w:val="auto"/>
        </w:rPr>
        <w:t>3);</w:t>
      </w:r>
    </w:p>
    <w:p>
      <w:pPr>
        <w:spacing w:after="0" w:line="2" w:lineRule="exact"/>
        <w:rPr>
          <w:rFonts w:ascii="Courier New" w:cs="Courier New" w:eastAsia="Courier New" w:hAnsi="Courier New"/>
          <w:sz w:val="18"/>
          <w:szCs w:val="18"/>
          <w:color w:val="auto"/>
        </w:rPr>
      </w:pPr>
    </w:p>
    <w:p>
      <w:pPr>
        <w:ind w:left="1320" w:hanging="412"/>
        <w:spacing w:after="0" w:line="209" w:lineRule="exact"/>
        <w:tabs>
          <w:tab w:leader="none" w:pos="13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w:t>
      </w:r>
      <w:r>
        <w:rPr>
          <w:rFonts w:ascii="MS PGothic" w:cs="MS PGothic" w:eastAsia="MS PGothic" w:hAnsi="MS PGothic"/>
          <w:sz w:val="18"/>
          <w:szCs w:val="18"/>
          <w:color w:val="auto"/>
        </w:rPr>
        <w:t>‑</w:t>
      </w:r>
      <w:r>
        <w:rPr>
          <w:rFonts w:ascii="Courier New" w:cs="Courier New" w:eastAsia="Courier New" w:hAnsi="Courier New"/>
          <w:sz w:val="18"/>
          <w:szCs w:val="18"/>
          <w:color w:val="auto"/>
        </w:rPr>
        <w:t>U.S. institution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1(b)(ii)(J);</w:t>
      </w:r>
    </w:p>
    <w:p>
      <w:pPr>
        <w:spacing w:after="0" w:line="231" w:lineRule="exact"/>
        <w:rPr>
          <w:rFonts w:ascii="Courier New" w:cs="Courier New" w:eastAsia="Courier New" w:hAnsi="Courier New"/>
          <w:sz w:val="18"/>
          <w:szCs w:val="18"/>
          <w:color w:val="auto"/>
        </w:rPr>
      </w:pPr>
    </w:p>
    <w:p>
      <w:pPr>
        <w:ind w:left="1320" w:hanging="412"/>
        <w:spacing w:after="0" w:line="209" w:lineRule="exact"/>
        <w:tabs>
          <w:tab w:leader="none" w:pos="13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1(b)(1)(ii)(K).</w:t>
      </w:r>
    </w:p>
    <w:p>
      <w:pPr>
        <w:spacing w:after="0" w:line="142" w:lineRule="exact"/>
        <w:rPr>
          <w:sz w:val="20"/>
          <w:szCs w:val="20"/>
          <w:color w:val="auto"/>
        </w:rPr>
      </w:pPr>
    </w:p>
    <w:p>
      <w:pPr>
        <w:ind w:left="900" w:right="579"/>
        <w:spacing w:after="0" w:line="287" w:lineRule="exact"/>
        <w:rPr>
          <w:sz w:val="20"/>
          <w:szCs w:val="20"/>
          <w:color w:val="auto"/>
        </w:rPr>
      </w:pPr>
      <w:r>
        <w:rPr>
          <w:rFonts w:ascii="Courier New" w:cs="Courier New" w:eastAsia="Courier New" w:hAnsi="Courier New"/>
          <w:sz w:val="18"/>
          <w:szCs w:val="18"/>
          <w:color w:val="auto"/>
        </w:rPr>
        <w:t>If filing as a non</w:t>
      </w:r>
      <w:r>
        <w:rPr>
          <w:rFonts w:ascii="MS PGothic" w:cs="MS PGothic" w:eastAsia="MS PGothic" w:hAnsi="MS PGothic"/>
          <w:sz w:val="18"/>
          <w:szCs w:val="18"/>
          <w:color w:val="auto"/>
        </w:rPr>
        <w:t>‑</w:t>
      </w:r>
      <w:r>
        <w:rPr>
          <w:rFonts w:ascii="Courier New" w:cs="Courier New" w:eastAsia="Courier New" w:hAnsi="Courier New"/>
          <w:sz w:val="18"/>
          <w:szCs w:val="18"/>
          <w:color w:val="auto"/>
        </w:rPr>
        <w:t xml:space="preserve"> U.S. institution in accordance with §240.13d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194945</wp:posOffset>
            </wp:positionV>
            <wp:extent cx="715327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739"/>
          </w:cols>
          <w:pgMar w:left="720" w:top="795" w:right="1440" w:bottom="1440" w:gutter="0" w:footer="0" w:header="0"/>
        </w:sectPr>
      </w:pPr>
    </w:p>
    <w:bookmarkStart w:id="4" w:name="page5"/>
    <w:bookmarkEnd w:id="4"/>
    <w:p>
      <w:pPr>
        <w:spacing w:after="0"/>
        <w:tabs>
          <w:tab w:leader="none" w:pos="1140" w:val="left"/>
          <w:tab w:leader="none" w:pos="4620" w:val="left"/>
          <w:tab w:leader="none" w:pos="7880" w:val="left"/>
        </w:tabs>
        <w:rPr>
          <w:sz w:val="20"/>
          <w:szCs w:val="20"/>
          <w:color w:val="auto"/>
        </w:rPr>
      </w:pPr>
      <w:r>
        <w:rPr>
          <w:rFonts w:ascii="Courier New" w:cs="Courier New" w:eastAsia="Courier New" w:hAnsi="Courier New"/>
          <w:sz w:val="18"/>
          <w:szCs w:val="18"/>
          <w:color w:val="auto"/>
        </w:rPr>
        <w:t>CUSIP NO.</w:t>
        <w:tab/>
        <w:t>192576106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5 of 7</w:t>
      </w:r>
    </w:p>
    <w:p>
      <w:pPr>
        <w:spacing w:after="0" w:line="16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Item 4. Ownership</w:t>
      </w:r>
    </w:p>
    <w:p>
      <w:pPr>
        <w:spacing w:after="0" w:line="121" w:lineRule="exact"/>
        <w:rPr>
          <w:sz w:val="20"/>
          <w:szCs w:val="20"/>
          <w:color w:val="auto"/>
        </w:rPr>
      </w:pPr>
    </w:p>
    <w:p>
      <w:pPr>
        <w:ind w:left="100" w:right="359"/>
        <w:spacing w:after="0" w:line="239" w:lineRule="exact"/>
        <w:rPr>
          <w:sz w:val="20"/>
          <w:szCs w:val="20"/>
          <w:color w:val="auto"/>
        </w:rPr>
      </w:pPr>
      <w:r>
        <w:rPr>
          <w:rFonts w:ascii="Courier New" w:cs="Courier New" w:eastAsia="Courier New" w:hAnsi="Courier New"/>
          <w:sz w:val="17"/>
          <w:szCs w:val="17"/>
          <w:color w:val="auto"/>
        </w:rPr>
        <w:t>The securities reported herein are beneficially owned by one or more open</w:t>
      </w:r>
      <w:r>
        <w:rPr>
          <w:rFonts w:ascii="MS PGothic" w:cs="MS PGothic" w:eastAsia="MS PGothic" w:hAnsi="MS PGothic"/>
          <w:sz w:val="17"/>
          <w:szCs w:val="17"/>
          <w:color w:val="auto"/>
        </w:rPr>
        <w:t>‑</w:t>
      </w:r>
      <w:r>
        <w:rPr>
          <w:rFonts w:ascii="Courier New" w:cs="Courier New" w:eastAsia="Courier New" w:hAnsi="Courier New"/>
          <w:sz w:val="17"/>
          <w:szCs w:val="17"/>
          <w:color w:val="auto"/>
        </w:rPr>
        <w:t>end investment companies or other managed accounts that are investment management clients of Franklin Mutual Advisers, LLC ("FMA"), an indirect wholly owned subsidiary of Franklin Resources, Inc. ("FRI"). When an investment management contract (including a sub</w:t>
      </w:r>
      <w:r>
        <w:rPr>
          <w:rFonts w:ascii="MS PGothic" w:cs="MS PGothic" w:eastAsia="MS PGothic" w:hAnsi="MS PGothic"/>
          <w:sz w:val="17"/>
          <w:szCs w:val="17"/>
          <w:color w:val="auto"/>
        </w:rPr>
        <w:t>‑</w:t>
      </w:r>
      <w:r>
        <w:rPr>
          <w:rFonts w:ascii="Courier New" w:cs="Courier New" w:eastAsia="Courier New" w:hAnsi="Courier New"/>
          <w:sz w:val="17"/>
          <w:szCs w:val="17"/>
          <w:color w:val="auto"/>
        </w:rPr>
        <w:t>advisory agreement) delegates to FMA investment discretion or voting power over the securities held in the investment advisory accounts that are subject to that agreement, FRI treats FMA as having sole investment discretion or voting authority, as the case may be, unless the agreement specifies otherwise. Accordingly, FMA reports on Schedule 13G that it has sole investment discretion and voting authority over the securities covered by any such investment management agreement, unless otherwise noted in this Item 4. As a result for purposes of Rule 13d</w:t>
      </w:r>
      <w:r>
        <w:rPr>
          <w:rFonts w:ascii="MS PGothic" w:cs="MS PGothic" w:eastAsia="MS PGothic" w:hAnsi="MS PGothic"/>
          <w:sz w:val="17"/>
          <w:szCs w:val="17"/>
          <w:color w:val="auto"/>
        </w:rPr>
        <w:t>‑</w:t>
      </w:r>
      <w:r>
        <w:rPr>
          <w:rFonts w:ascii="Courier New" w:cs="Courier New" w:eastAsia="Courier New" w:hAnsi="Courier New"/>
          <w:sz w:val="17"/>
          <w:szCs w:val="17"/>
          <w:color w:val="auto"/>
        </w:rPr>
        <w:t>3 under the Act, FMA may be deemed to be the beneficial owner of the securities reported in this Schedule 13G.</w:t>
      </w:r>
    </w:p>
    <w:p>
      <w:pPr>
        <w:spacing w:after="0" w:line="142" w:lineRule="exact"/>
        <w:rPr>
          <w:sz w:val="20"/>
          <w:szCs w:val="20"/>
          <w:color w:val="auto"/>
        </w:rPr>
      </w:pPr>
    </w:p>
    <w:p>
      <w:pPr>
        <w:ind w:left="100" w:right="359"/>
        <w:spacing w:after="0" w:line="234" w:lineRule="exact"/>
        <w:rPr>
          <w:sz w:val="20"/>
          <w:szCs w:val="20"/>
          <w:color w:val="auto"/>
        </w:rPr>
      </w:pPr>
      <w:r>
        <w:rPr>
          <w:rFonts w:ascii="Courier New" w:cs="Courier New" w:eastAsia="Courier New" w:hAnsi="Courier New"/>
          <w:sz w:val="18"/>
          <w:szCs w:val="18"/>
          <w:color w:val="auto"/>
        </w:rPr>
        <w:t>Beneficial ownership by investment management subsidiaries and other affiliates of FRI is being reported in conformity with the guidelines articulated by the SEC staff in Release No. 34</w:t>
      </w:r>
      <w:r>
        <w:rPr>
          <w:rFonts w:ascii="MS PGothic" w:cs="MS PGothic" w:eastAsia="MS PGothic" w:hAnsi="MS PGothic"/>
          <w:sz w:val="18"/>
          <w:szCs w:val="18"/>
          <w:color w:val="auto"/>
        </w:rPr>
        <w:t>‑</w:t>
      </w:r>
      <w:r>
        <w:rPr>
          <w:rFonts w:ascii="Courier New" w:cs="Courier New" w:eastAsia="Courier New" w:hAnsi="Courier New"/>
          <w:sz w:val="18"/>
          <w:szCs w:val="18"/>
          <w:color w:val="auto"/>
        </w:rPr>
        <w:t>39538 (January 12, 1998) relating to organizations, such as FRI, where related entities exercise voting and investment powers over the securities being reported independently from each other. The voting and investment powers held by FMA are exercised independently from FRI (FMA’s parent holding company) and from all other investment management subsidiaries of FRI (FRI, its affiliates and investment management subsidiaries other than FMA are, collectively, “FRI affiliates”). Furthermore, internal policies and procedures of FMA and FRI affiliates establish informational barriers that prevent the flow between FMA and the FRI affiliates of information that relates to the voting and investment powers over the securities owned by their respective investment management clients. Consequently, FMA and the FRI affiliates report the securities over which they hold investment and voting power separately from each other for purposes of Section 13 of the Act.</w:t>
      </w:r>
    </w:p>
    <w:p>
      <w:pPr>
        <w:spacing w:after="0" w:line="151" w:lineRule="exact"/>
        <w:rPr>
          <w:sz w:val="20"/>
          <w:szCs w:val="20"/>
          <w:color w:val="auto"/>
        </w:rPr>
      </w:pPr>
    </w:p>
    <w:p>
      <w:pPr>
        <w:ind w:left="100" w:right="359"/>
        <w:spacing w:after="0" w:line="238" w:lineRule="exact"/>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stockholders of FRI. However, because FMA exercises voting and investment powers on behalf of its investment management clients independently of FRI affiliates, beneficial ownership of the securities reported by FMA is not attributed to the Principal Shareholders. FMA disclaims any pecuniary interest in any of the securities reported in this Schedule 13G. In addition, the filing of this Schedule 13G on behalf of FMA should not be construed as an admission that it is, and it disclaims that it is, the beneficial owner, as defined in Rule 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3, of any of such securities.</w:t>
      </w:r>
    </w:p>
    <w:p>
      <w:pPr>
        <w:spacing w:after="0" w:line="142" w:lineRule="exact"/>
        <w:rPr>
          <w:sz w:val="20"/>
          <w:szCs w:val="20"/>
          <w:color w:val="auto"/>
        </w:rPr>
      </w:pPr>
    </w:p>
    <w:p>
      <w:pPr>
        <w:ind w:left="100" w:right="359"/>
        <w:spacing w:after="0" w:line="242" w:lineRule="exact"/>
        <w:rPr>
          <w:sz w:val="20"/>
          <w:szCs w:val="20"/>
          <w:color w:val="auto"/>
        </w:rPr>
      </w:pPr>
      <w:r>
        <w:rPr>
          <w:rFonts w:ascii="Courier New" w:cs="Courier New" w:eastAsia="Courier New" w:hAnsi="Courier New"/>
          <w:sz w:val="18"/>
          <w:szCs w:val="18"/>
          <w:color w:val="auto"/>
        </w:rPr>
        <w:t>Furthermore, FMA believes that it is not a "group" with FRI affiliates, the Principal Shareholders, or their respective affiliates within the meaning of Rule 13d</w:t>
      </w:r>
      <w:r>
        <w:rPr>
          <w:rFonts w:ascii="MS PGothic" w:cs="MS PGothic" w:eastAsia="MS PGothic" w:hAnsi="MS PGothic"/>
          <w:sz w:val="18"/>
          <w:szCs w:val="18"/>
          <w:color w:val="auto"/>
        </w:rPr>
        <w:t>‑</w:t>
      </w:r>
      <w:r>
        <w:rPr>
          <w:rFonts w:ascii="Courier New" w:cs="Courier New" w:eastAsia="Courier New" w:hAnsi="Courier New"/>
          <w:sz w:val="18"/>
          <w:szCs w:val="18"/>
          <w:color w:val="auto"/>
        </w:rPr>
        <w:t>5 under the Act and that none of them is otherwise required to attribute to any other the beneficial ownership of the securities held by such person or by any persons or entities for whom or for which FMA or the FRI affiliates provide investment management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385445</wp:posOffset>
            </wp:positionV>
            <wp:extent cx="71532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739"/>
          </w:cols>
          <w:pgMar w:left="720" w:top="795" w:right="1440" w:bottom="1440" w:gutter="0" w:footer="0" w:header="0"/>
        </w:sectPr>
      </w:pPr>
    </w:p>
    <w:bookmarkStart w:id="5" w:name="page6"/>
    <w:bookmarkEnd w:id="5"/>
    <w:p>
      <w:pPr>
        <w:spacing w:after="0"/>
        <w:tabs>
          <w:tab w:leader="none" w:pos="1140" w:val="left"/>
          <w:tab w:leader="none" w:pos="4620" w:val="left"/>
          <w:tab w:leader="none" w:pos="7880" w:val="left"/>
        </w:tabs>
        <w:rPr>
          <w:sz w:val="20"/>
          <w:szCs w:val="20"/>
          <w:color w:val="auto"/>
        </w:rPr>
      </w:pPr>
      <w:r>
        <w:rPr>
          <w:rFonts w:ascii="Courier New" w:cs="Courier New" w:eastAsia="Courier New" w:hAnsi="Courier New"/>
          <w:sz w:val="18"/>
          <w:szCs w:val="18"/>
          <w:color w:val="auto"/>
        </w:rPr>
        <w:t>CUSIP NO.</w:t>
        <w:tab/>
        <w:t>192576106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6 of 7</w:t>
      </w:r>
    </w:p>
    <w:p>
      <w:pPr>
        <w:spacing w:after="0" w:line="269" w:lineRule="exact"/>
        <w:rPr>
          <w:sz w:val="20"/>
          <w:szCs w:val="20"/>
          <w:color w:val="auto"/>
        </w:rPr>
      </w:pPr>
    </w:p>
    <w:p>
      <w:pPr>
        <w:ind w:left="1040" w:hanging="732"/>
        <w:spacing w:after="0"/>
        <w:tabs>
          <w:tab w:leader="none" w:pos="10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147" w:lineRule="exact"/>
        <w:rPr>
          <w:sz w:val="20"/>
          <w:szCs w:val="20"/>
          <w:color w:val="auto"/>
        </w:rPr>
      </w:pPr>
    </w:p>
    <w:p>
      <w:pPr>
        <w:ind w:left="1020"/>
        <w:spacing w:after="0"/>
        <w:rPr>
          <w:sz w:val="20"/>
          <w:szCs w:val="20"/>
          <w:color w:val="auto"/>
        </w:rPr>
      </w:pPr>
      <w:r>
        <w:rPr>
          <w:rFonts w:ascii="Courier New" w:cs="Courier New" w:eastAsia="Courier New" w:hAnsi="Courier New"/>
          <w:sz w:val="18"/>
          <w:szCs w:val="18"/>
          <w:color w:val="auto"/>
        </w:rPr>
        <w:t>2,782,581</w:t>
      </w:r>
    </w:p>
    <w:p>
      <w:pPr>
        <w:spacing w:after="0" w:line="44" w:lineRule="exact"/>
        <w:rPr>
          <w:sz w:val="20"/>
          <w:szCs w:val="20"/>
          <w:color w:val="auto"/>
        </w:rPr>
      </w:pPr>
    </w:p>
    <w:p>
      <w:pPr>
        <w:ind w:left="1040" w:hanging="732"/>
        <w:spacing w:after="0"/>
        <w:tabs>
          <w:tab w:leader="none" w:pos="10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115" w:lineRule="exact"/>
        <w:rPr>
          <w:rFonts w:ascii="Courier New" w:cs="Courier New" w:eastAsia="Courier New" w:hAnsi="Courier New"/>
          <w:sz w:val="18"/>
          <w:szCs w:val="18"/>
          <w:color w:val="auto"/>
        </w:rPr>
      </w:pPr>
    </w:p>
    <w:p>
      <w:pPr>
        <w:ind w:left="10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5.9%</w:t>
      </w:r>
    </w:p>
    <w:p>
      <w:pPr>
        <w:spacing w:after="0" w:line="255" w:lineRule="exact"/>
        <w:rPr>
          <w:rFonts w:ascii="Courier New" w:cs="Courier New" w:eastAsia="Courier New" w:hAnsi="Courier New"/>
          <w:sz w:val="18"/>
          <w:szCs w:val="18"/>
          <w:color w:val="auto"/>
        </w:rPr>
      </w:pPr>
    </w:p>
    <w:p>
      <w:pPr>
        <w:ind w:left="1040" w:hanging="732"/>
        <w:spacing w:after="0"/>
        <w:tabs>
          <w:tab w:leader="none" w:pos="10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42" w:lineRule="exact"/>
        <w:rPr>
          <w:sz w:val="20"/>
          <w:szCs w:val="20"/>
          <w:color w:val="auto"/>
        </w:rPr>
      </w:pPr>
    </w:p>
    <w:p>
      <w:pPr>
        <w:ind w:left="1400" w:hanging="637"/>
        <w:spacing w:after="0"/>
        <w:tabs>
          <w:tab w:leader="none" w:pos="140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120" w:lineRule="exact"/>
        <w:rPr>
          <w:sz w:val="20"/>
          <w:szCs w:val="20"/>
          <w:color w:val="auto"/>
        </w:rPr>
      </w:pPr>
    </w:p>
    <w:tbl>
      <w:tblPr>
        <w:tblLayout w:type="fixed"/>
        <w:tblInd w:w="1400" w:type="dxa"/>
        <w:tblCellMar>
          <w:top w:w="0" w:type="dxa"/>
          <w:left w:w="0" w:type="dxa"/>
          <w:bottom w:w="0" w:type="dxa"/>
          <w:right w:w="0" w:type="dxa"/>
        </w:tblCellMar>
      </w:tblPr>
      <w:tr>
        <w:trPr>
          <w:trHeight w:val="304"/>
        </w:trPr>
        <w:tc>
          <w:tcPr>
            <w:tcW w:w="4800" w:type="dxa"/>
            <w:vAlign w:val="bottom"/>
          </w:tcPr>
          <w:p>
            <w:pPr>
              <w:spacing w:after="0"/>
              <w:rPr>
                <w:sz w:val="20"/>
                <w:szCs w:val="20"/>
                <w:color w:val="auto"/>
              </w:rPr>
            </w:pPr>
            <w:r>
              <w:rPr>
                <w:rFonts w:ascii="Courier New" w:cs="Courier New" w:eastAsia="Courier New" w:hAnsi="Courier New"/>
                <w:sz w:val="18"/>
                <w:szCs w:val="18"/>
                <w:color w:val="auto"/>
              </w:rPr>
              <w:t>Franklin Mutual Advisers, LLC:</w:t>
            </w:r>
          </w:p>
        </w:tc>
        <w:tc>
          <w:tcPr>
            <w:tcW w:w="2580" w:type="dxa"/>
            <w:vAlign w:val="bottom"/>
          </w:tcPr>
          <w:p>
            <w:pPr>
              <w:jc w:val="right"/>
              <w:spacing w:after="0"/>
              <w:rPr>
                <w:sz w:val="20"/>
                <w:szCs w:val="20"/>
                <w:color w:val="auto"/>
              </w:rPr>
            </w:pPr>
            <w:r>
              <w:rPr>
                <w:rFonts w:ascii="Courier New" w:cs="Courier New" w:eastAsia="Courier New" w:hAnsi="Courier New"/>
                <w:sz w:val="18"/>
                <w:szCs w:val="18"/>
                <w:color w:val="auto"/>
              </w:rPr>
              <w:t>2,630,340</w:t>
            </w:r>
          </w:p>
        </w:tc>
      </w:tr>
    </w:tbl>
    <w:p>
      <w:pPr>
        <w:spacing w:after="0" w:line="47" w:lineRule="exact"/>
        <w:rPr>
          <w:sz w:val="20"/>
          <w:szCs w:val="20"/>
          <w:color w:val="auto"/>
        </w:rPr>
      </w:pPr>
    </w:p>
    <w:p>
      <w:pPr>
        <w:ind w:left="1400" w:right="3919" w:hanging="737"/>
        <w:spacing w:after="0" w:line="397" w:lineRule="auto"/>
        <w:tabs>
          <w:tab w:leader="none" w:pos="139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ind w:left="1400" w:hanging="837"/>
        <w:spacing w:after="0"/>
        <w:tabs>
          <w:tab w:leader="none" w:pos="14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120" w:lineRule="exact"/>
        <w:rPr>
          <w:sz w:val="20"/>
          <w:szCs w:val="20"/>
          <w:color w:val="auto"/>
        </w:rPr>
      </w:pPr>
    </w:p>
    <w:tbl>
      <w:tblPr>
        <w:tblLayout w:type="fixed"/>
        <w:tblInd w:w="1400" w:type="dxa"/>
        <w:tblCellMar>
          <w:top w:w="0" w:type="dxa"/>
          <w:left w:w="0" w:type="dxa"/>
          <w:bottom w:w="0" w:type="dxa"/>
          <w:right w:w="0" w:type="dxa"/>
        </w:tblCellMar>
      </w:tblPr>
      <w:tr>
        <w:trPr>
          <w:trHeight w:val="304"/>
        </w:trPr>
        <w:tc>
          <w:tcPr>
            <w:tcW w:w="4800" w:type="dxa"/>
            <w:vAlign w:val="bottom"/>
          </w:tcPr>
          <w:p>
            <w:pPr>
              <w:spacing w:after="0"/>
              <w:rPr>
                <w:sz w:val="20"/>
                <w:szCs w:val="20"/>
                <w:color w:val="auto"/>
              </w:rPr>
            </w:pPr>
            <w:r>
              <w:rPr>
                <w:rFonts w:ascii="Courier New" w:cs="Courier New" w:eastAsia="Courier New" w:hAnsi="Courier New"/>
                <w:sz w:val="18"/>
                <w:szCs w:val="18"/>
                <w:color w:val="auto"/>
              </w:rPr>
              <w:t>Franklin Mutual Advisers, LLC:</w:t>
            </w:r>
          </w:p>
        </w:tc>
        <w:tc>
          <w:tcPr>
            <w:tcW w:w="2580" w:type="dxa"/>
            <w:vAlign w:val="bottom"/>
          </w:tcPr>
          <w:p>
            <w:pPr>
              <w:jc w:val="right"/>
              <w:spacing w:after="0"/>
              <w:rPr>
                <w:sz w:val="20"/>
                <w:szCs w:val="20"/>
                <w:color w:val="auto"/>
              </w:rPr>
            </w:pPr>
            <w:r>
              <w:rPr>
                <w:rFonts w:ascii="Courier New" w:cs="Courier New" w:eastAsia="Courier New" w:hAnsi="Courier New"/>
                <w:sz w:val="18"/>
                <w:szCs w:val="18"/>
                <w:color w:val="auto"/>
              </w:rPr>
              <w:t>2,782,581</w:t>
            </w:r>
          </w:p>
        </w:tc>
      </w:tr>
    </w:tbl>
    <w:p>
      <w:pPr>
        <w:spacing w:after="0" w:line="47" w:lineRule="exact"/>
        <w:rPr>
          <w:sz w:val="20"/>
          <w:szCs w:val="20"/>
          <w:color w:val="auto"/>
        </w:rPr>
      </w:pPr>
    </w:p>
    <w:p>
      <w:pPr>
        <w:ind w:left="1400" w:right="2539" w:hanging="737"/>
        <w:spacing w:after="0" w:line="397" w:lineRule="auto"/>
        <w:tabs>
          <w:tab w:leader="none" w:pos="139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ind w:left="100"/>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7"/>
          <w:szCs w:val="17"/>
          <w:color w:val="auto"/>
        </w:rPr>
        <w:t>Ownership of Five Percent or Less of a Class</w:t>
      </w:r>
    </w:p>
    <w:p>
      <w:pPr>
        <w:spacing w:after="0" w:line="134" w:lineRule="exact"/>
        <w:rPr>
          <w:sz w:val="20"/>
          <w:szCs w:val="20"/>
          <w:color w:val="auto"/>
        </w:rPr>
      </w:pPr>
    </w:p>
    <w:p>
      <w:pPr>
        <w:ind w:left="1000" w:right="519"/>
        <w:spacing w:after="0" w:line="328"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68" w:lineRule="exact"/>
        <w:rPr>
          <w:sz w:val="20"/>
          <w:szCs w:val="20"/>
          <w:color w:val="auto"/>
        </w:rPr>
      </w:pPr>
    </w:p>
    <w:p>
      <w:pPr>
        <w:ind w:left="100"/>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7"/>
          <w:szCs w:val="17"/>
          <w:color w:val="auto"/>
        </w:rPr>
        <w:t>Ownership of More than Five Percent on Behalf of Another Person</w:t>
      </w:r>
    </w:p>
    <w:p>
      <w:pPr>
        <w:spacing w:after="0" w:line="242" w:lineRule="exact"/>
        <w:rPr>
          <w:sz w:val="20"/>
          <w:szCs w:val="20"/>
          <w:color w:val="auto"/>
        </w:rPr>
      </w:pPr>
    </w:p>
    <w:p>
      <w:pPr>
        <w:ind w:left="1000" w:right="399"/>
        <w:spacing w:after="0" w:line="332" w:lineRule="auto"/>
        <w:rPr>
          <w:sz w:val="20"/>
          <w:szCs w:val="20"/>
          <w:color w:val="auto"/>
        </w:rPr>
      </w:pPr>
      <w:r>
        <w:rPr>
          <w:rFonts w:ascii="Courier New" w:cs="Courier New" w:eastAsia="Courier New" w:hAnsi="Courier New"/>
          <w:sz w:val="17"/>
          <w:szCs w:val="17"/>
          <w:color w:val="auto"/>
        </w:rPr>
        <w:t>The clients of Franklin Mutual Advisers, LLC, including investment companies registered under the Investment Company Act of 1940 and other managed accounts, have the right to receive or power to direct the receipt of dividends from, and the proceeds from the sale of, the securities reported herein.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900" w:right="1419" w:hanging="799"/>
        <w:spacing w:after="0" w:line="38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17"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Not Applicable</w:t>
      </w:r>
    </w:p>
    <w:p>
      <w:pPr>
        <w:spacing w:after="0" w:line="242"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42"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Not Applicable</w:t>
      </w:r>
    </w:p>
    <w:p>
      <w:pPr>
        <w:spacing w:after="0" w:line="350"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42"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292735</wp:posOffset>
            </wp:positionV>
            <wp:extent cx="71532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739"/>
          </w:cols>
          <w:pgMar w:left="720" w:top="795" w:right="1440" w:bottom="1440" w:gutter="0" w:footer="0" w:header="0"/>
        </w:sectPr>
      </w:pPr>
    </w:p>
    <w:bookmarkStart w:id="6" w:name="page7"/>
    <w:bookmarkEnd w:id="6"/>
    <w:p>
      <w:pPr>
        <w:spacing w:after="0"/>
        <w:tabs>
          <w:tab w:leader="none" w:pos="1140" w:val="left"/>
          <w:tab w:leader="none" w:pos="4620" w:val="left"/>
          <w:tab w:leader="none" w:pos="7880" w:val="left"/>
        </w:tabs>
        <w:rPr>
          <w:sz w:val="20"/>
          <w:szCs w:val="20"/>
          <w:color w:val="auto"/>
        </w:rPr>
      </w:pPr>
      <w:r>
        <w:rPr>
          <w:rFonts w:ascii="Courier New" w:cs="Courier New" w:eastAsia="Courier New" w:hAnsi="Courier New"/>
          <w:sz w:val="18"/>
          <w:szCs w:val="18"/>
          <w:color w:val="auto"/>
        </w:rPr>
        <w:t>CUSIP NO.</w:t>
        <w:tab/>
        <w:t>192576106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7 of 7</w:t>
      </w:r>
    </w:p>
    <w:p>
      <w:pPr>
        <w:spacing w:after="0" w:line="29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Item 10. Certification</w:t>
      </w:r>
    </w:p>
    <w:p>
      <w:pPr>
        <w:spacing w:after="0" w:line="296" w:lineRule="exact"/>
        <w:rPr>
          <w:sz w:val="20"/>
          <w:szCs w:val="20"/>
          <w:color w:val="auto"/>
        </w:rPr>
      </w:pPr>
    </w:p>
    <w:p>
      <w:pPr>
        <w:ind w:left="100" w:right="359"/>
        <w:spacing w:after="0" w:line="240" w:lineRule="exact"/>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w:t>
      </w:r>
      <w:r>
        <w:rPr>
          <w:rFonts w:ascii="MS PGothic" w:cs="MS PGothic" w:eastAsia="MS PGothic" w:hAnsi="MS PGothic"/>
          <w:sz w:val="18"/>
          <w:szCs w:val="18"/>
          <w:color w:val="auto"/>
        </w:rPr>
        <w:t>‑</w:t>
      </w: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69" w:lineRule="exact"/>
        <w:rPr>
          <w:sz w:val="20"/>
          <w:szCs w:val="20"/>
          <w:color w:val="auto"/>
        </w:rPr>
      </w:pPr>
    </w:p>
    <w:p>
      <w:pPr>
        <w:ind w:left="100" w:right="459"/>
        <w:spacing w:after="0" w:line="38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44" w:lineRule="exact"/>
        <w:rPr>
          <w:sz w:val="20"/>
          <w:szCs w:val="20"/>
          <w:color w:val="auto"/>
        </w:rPr>
      </w:pPr>
    </w:p>
    <w:p>
      <w:pPr>
        <w:ind w:left="100"/>
        <w:spacing w:after="0"/>
        <w:tabs>
          <w:tab w:leader="none" w:pos="136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January 23, 2024</w:t>
      </w:r>
    </w:p>
    <w:p>
      <w:pPr>
        <w:spacing w:after="0" w:line="255"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Franklin Mutual Advisers, LLC</w:t>
      </w:r>
    </w:p>
    <w:p>
      <w:pPr>
        <w:spacing w:after="0" w:line="200" w:lineRule="exact"/>
        <w:rPr>
          <w:sz w:val="20"/>
          <w:szCs w:val="20"/>
          <w:color w:val="auto"/>
        </w:rPr>
      </w:pPr>
    </w:p>
    <w:p>
      <w:pPr>
        <w:spacing w:after="0" w:line="258" w:lineRule="exact"/>
        <w:rPr>
          <w:sz w:val="20"/>
          <w:szCs w:val="20"/>
          <w:color w:val="auto"/>
        </w:rPr>
      </w:pPr>
    </w:p>
    <w:p>
      <w:pPr>
        <w:ind w:left="200"/>
        <w:spacing w:after="0"/>
        <w:tabs>
          <w:tab w:leader="none" w:pos="10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/s/VIRGINIA E. ROSAS</w:t>
      </w:r>
    </w:p>
    <w:p>
      <w:pPr>
        <w:spacing w:after="0" w:line="40" w:lineRule="exact"/>
        <w:rPr>
          <w:sz w:val="20"/>
          <w:szCs w:val="20"/>
          <w:color w:val="auto"/>
        </w:rPr>
      </w:pPr>
    </w:p>
    <w:p>
      <w:pPr>
        <w:ind w:left="900"/>
        <w:spacing w:after="0" w:line="181" w:lineRule="exact"/>
        <w:rPr>
          <w:sz w:val="20"/>
          <w:szCs w:val="20"/>
          <w:color w:val="auto"/>
        </w:rPr>
      </w:pPr>
      <w:r>
        <w:rPr>
          <w:rFonts w:ascii="MS PGothic" w:cs="MS PGothic" w:eastAsia="MS PGothic" w:hAnsi="MS PGothic"/>
          <w:sz w:val="18"/>
          <w:szCs w:val="18"/>
          <w:color w:val="auto"/>
        </w:rPr>
        <w:t>‑‑‑‑‑‑‑‑‑‑‑‑‑‑‑‑‑‑‑‑‑‑‑‑‑‑‑‑‑‑‑‑‑‑‑‑‑‑‑‑‑‑‑‑‑‑</w:t>
      </w:r>
    </w:p>
    <w:p>
      <w:pPr>
        <w:spacing w:after="0" w:line="53"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Virginia E. Rosas</w:t>
      </w:r>
    </w:p>
    <w:p>
      <w:pPr>
        <w:spacing w:after="0" w:line="12" w:lineRule="exact"/>
        <w:rPr>
          <w:sz w:val="20"/>
          <w:szCs w:val="20"/>
          <w:color w:val="auto"/>
        </w:rPr>
      </w:pPr>
    </w:p>
    <w:p>
      <w:pPr>
        <w:ind w:left="900"/>
        <w:spacing w:after="0"/>
        <w:rPr>
          <w:sz w:val="20"/>
          <w:szCs w:val="20"/>
          <w:color w:val="auto"/>
        </w:rPr>
      </w:pPr>
      <w:r>
        <w:rPr>
          <w:rFonts w:ascii="Courier New" w:cs="Courier New" w:eastAsia="Courier New" w:hAnsi="Courier New"/>
          <w:sz w:val="18"/>
          <w:szCs w:val="18"/>
          <w:color w:val="auto"/>
        </w:rPr>
        <w:t>Secretary of Franklin Mutual Advisers, LLC</w:t>
      </w:r>
    </w:p>
    <w:sectPr>
      <w:pgSz w:w="11900" w:h="16838" w:orient="portrait"/>
      <w:cols w:equalWidth="0" w:num="1">
        <w:col w:w="9739"/>
      </w:cols>
      <w:pgMar w:left="720" w:top="84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abstractNum>
  <w:abstractNum w:abstractNumId="3">
    <w:nsid w:val="1190CDE7"/>
    <w:multiLevelType w:val="hybridMultilevel"/>
    <w:lvl w:ilvl="0">
      <w:lvlJc w:val="left"/>
      <w:lvlText w:val="%1"/>
      <w:numFmt w:val="decimal"/>
      <w:start w:val="1"/>
    </w:lvl>
    <w:lvl w:ilvl="1">
      <w:lvlJc w:val="left"/>
      <w:lvlText w:val="(%2)"/>
      <w:numFmt w:val="lowerLetter"/>
      <w:start w:val="2"/>
    </w:lvl>
  </w:abstractNum>
  <w:abstractNum w:abstractNumId="4">
    <w:nsid w:val="66EF438D"/>
    <w:multiLevelType w:val="hybridMultilevel"/>
    <w:lvl w:ilvl="0">
      <w:lvlJc w:val="left"/>
      <w:lvlText w:val="%1."/>
      <w:numFmt w:val="decimal"/>
      <w:start w:val="3"/>
    </w:lvl>
    <w:lvl w:ilvl="1">
      <w:lvlJc w:val="left"/>
      <w:lvlText w:val="%2"/>
      <w:numFmt w:val="lowerLetter"/>
      <w:start w:val="1"/>
    </w:lvl>
  </w:abstractNum>
  <w:abstractNum w:abstractNumId="5">
    <w:nsid w:val="140E0F76"/>
    <w:multiLevelType w:val="hybridMultilevel"/>
    <w:lvl w:ilvl="0">
      <w:lvlJc w:val="left"/>
      <w:lvlText w:val="%1"/>
      <w:numFmt w:val="decimal"/>
      <w:start w:val="1"/>
    </w:lvl>
    <w:lvl w:ilvl="1">
      <w:lvlJc w:val="left"/>
      <w:lvlText w:val="%2."/>
      <w:numFmt w:val="decimal"/>
      <w:start w:val="5"/>
    </w:lvl>
  </w:abstractNum>
  <w:abstractNum w:abstractNumId="6">
    <w:nsid w:val="3352255A"/>
    <w:multiLevelType w:val="hybridMultilevel"/>
    <w:lvl w:ilvl="0">
      <w:lvlJc w:val="left"/>
      <w:lvlText w:val="%1."/>
      <w:numFmt w:val="decimal"/>
      <w:start w:val="9"/>
    </w:lvl>
    <w:lvl w:ilvl="1">
      <w:lvlJc w:val="left"/>
      <w:lvlText w:val="%2"/>
      <w:numFmt w:val="decimal"/>
      <w:start w:val="1"/>
    </w:lvl>
  </w:abstractNum>
  <w:abstractNum w:abstractNumId="7">
    <w:nsid w:val="109CF92E"/>
    <w:multiLevelType w:val="hybridMultilevel"/>
    <w:lvl w:ilvl="0">
      <w:lvlJc w:val="left"/>
      <w:lvlText w:val="%1."/>
      <w:numFmt w:val="decimal"/>
      <w:start w:val="11"/>
    </w:lvl>
  </w:abstractNum>
  <w:abstractNum w:abstractNumId="8">
    <w:nsid w:val="DED7263"/>
    <w:multiLevelType w:val="hybridMultilevel"/>
    <w:lvl w:ilvl="0">
      <w:lvlJc w:val="left"/>
      <w:lvlText w:val="(%1)"/>
      <w:numFmt w:val="lowerLetter"/>
      <w:start w:val="1"/>
    </w:lvl>
  </w:abstractNum>
  <w:abstractNum w:abstractNumId="9">
    <w:nsid w:val="7FDCC233"/>
    <w:multiLevelType w:val="hybridMultilevel"/>
    <w:lvl w:ilvl="0">
      <w:lvlJc w:val="left"/>
      <w:lvlText w:val="(%1)"/>
      <w:numFmt w:val="lowerLetter"/>
      <w:start w:val="2"/>
    </w:lvl>
  </w:abstractNum>
  <w:abstractNum w:abstractNumId="10">
    <w:nsid w:val="1BEFD79F"/>
    <w:multiLevelType w:val="hybridMultilevel"/>
    <w:lvl w:ilvl="0">
      <w:lvlJc w:val="left"/>
      <w:lvlText w:val="(%1)"/>
      <w:numFmt w:val="lowerLetter"/>
      <w:start w:val="1"/>
    </w:lvl>
  </w:abstractNum>
  <w:abstractNum w:abstractNumId="11">
    <w:nsid w:val="41A7C4C9"/>
    <w:multiLevelType w:val="hybridMultilevel"/>
    <w:lvl w:ilvl="0">
      <w:lvlJc w:val="left"/>
      <w:lvlText w:val="(%1)"/>
      <w:numFmt w:val="lowerLetter"/>
      <w:start w:val="3"/>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7"/>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lowerLetter"/>
      <w:start w:val="2"/>
    </w:lvl>
  </w:abstractNum>
  <w:abstractNum w:abstractNumId="16">
    <w:nsid w:val="431BD7B7"/>
    <w:multiLevelType w:val="hybridMultilevel"/>
    <w:lvl w:ilvl="0">
      <w:lvlJc w:val="left"/>
      <w:lvlText w:val="(%1)"/>
      <w:numFmt w:val="lowerRoman"/>
      <w:start w:val="1"/>
    </w:lvl>
  </w:abstractNum>
  <w:abstractNum w:abstractNumId="17">
    <w:nsid w:val="3F2DBA31"/>
    <w:multiLevelType w:val="hybridMultilevel"/>
    <w:lvl w:ilvl="0">
      <w:lvlJc w:val="left"/>
      <w:lvlText w:val="(%1)"/>
      <w:numFmt w:val="lowerRoman"/>
      <w:start w:val="2"/>
    </w:lvl>
  </w:abstractNum>
  <w:abstractNum w:abstractNumId="18">
    <w:nsid w:val="7C83E45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2024-01-30T11:42:50Z</dcterms:created>
  <dcterms:modified xsi:type="dcterms:W3CDTF">2024-01-30T11:42:50Z</dcterms:modified>
</cp:coreProperties>
</file>