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7</w:t>
      </w:r>
    </w:p>
    <w:p>
      <w:pPr>
        <w:sectPr>
          <w:pgSz w:w="11900" w:h="16838" w:orient="portrait"/>
          <w:cols w:equalWidth="0" w:num="1">
            <w:col w:w="9819"/>
          </w:cols>
          <w:pgMar w:left="640" w:top="116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00"/>
        <w:spacing w:after="0"/>
        <w:rPr>
          <w:sz w:val="20"/>
          <w:szCs w:val="20"/>
          <w:color w:val="auto"/>
        </w:rPr>
      </w:pPr>
      <w:r>
        <w:rPr>
          <w:rFonts w:ascii="Courier New" w:cs="Courier New" w:eastAsia="Courier New" w:hAnsi="Courier New"/>
          <w:sz w:val="18"/>
          <w:szCs w:val="18"/>
          <w:color w:val="auto"/>
        </w:rPr>
        <w:t>SECURITIES AND EXCHANGE COMMISSION</w:t>
      </w:r>
    </w:p>
    <w:p>
      <w:pPr>
        <w:ind w:left="330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5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ind w:left="2360"/>
        <w:spacing w:after="0"/>
        <w:rPr>
          <w:sz w:val="20"/>
          <w:szCs w:val="20"/>
          <w:color w:val="auto"/>
        </w:rPr>
      </w:pPr>
      <w:r>
        <w:rPr>
          <w:rFonts w:ascii="Courier New" w:cs="Courier New" w:eastAsia="Courier New" w:hAnsi="Courier New"/>
          <w:sz w:val="18"/>
          <w:szCs w:val="18"/>
          <w:color w:val="auto"/>
        </w:rPr>
        <w:t>Under the Securities Exchange Act of 1934</w:t>
      </w:r>
    </w:p>
    <w:p>
      <w:pPr>
        <w:ind w:left="3560"/>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35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COHU, INC.</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(Name of Issuer)</w:t>
      </w:r>
    </w:p>
    <w:p>
      <w:pPr>
        <w:spacing w:after="0" w:line="25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Common Stock, $1.00 par value</w:t>
      </w:r>
    </w:p>
    <w:p>
      <w:pPr>
        <w:spacing w:after="0" w:line="66"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192576106</w:t>
      </w:r>
    </w:p>
    <w:p>
      <w:pPr>
        <w:spacing w:after="0" w:line="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2017</w:t>
      </w:r>
    </w:p>
    <w:p>
      <w:pPr>
        <w:ind w:left="16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71" w:lineRule="exact"/>
        <w:rPr>
          <w:sz w:val="24"/>
          <w:szCs w:val="24"/>
          <w:color w:val="auto"/>
        </w:rPr>
      </w:pPr>
    </w:p>
    <w:p>
      <w:pPr>
        <w:ind w:left="100" w:right="859"/>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57" w:lineRule="exact"/>
        <w:rPr>
          <w:sz w:val="24"/>
          <w:szCs w:val="24"/>
          <w:color w:val="auto"/>
        </w:rPr>
      </w:pPr>
    </w:p>
    <w:p>
      <w:pPr>
        <w:jc w:val="both"/>
        <w:ind w:left="100" w:right="7879" w:firstLine="8"/>
        <w:spacing w:after="0" w:line="216"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366" w:lineRule="exact"/>
        <w:rPr>
          <w:sz w:val="24"/>
          <w:szCs w:val="24"/>
          <w:color w:val="auto"/>
        </w:rPr>
      </w:pPr>
    </w:p>
    <w:p>
      <w:pPr>
        <w:ind w:left="100" w:right="107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12" w:lineRule="exact"/>
        <w:rPr>
          <w:sz w:val="24"/>
          <w:szCs w:val="24"/>
          <w:color w:val="auto"/>
        </w:rPr>
      </w:pPr>
    </w:p>
    <w:p>
      <w:pPr>
        <w:ind w:left="100" w:right="73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wp:posOffset>
            </wp:positionH>
            <wp:positionV relativeFrom="paragraph">
              <wp:posOffset>574040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19"/>
          </w:cols>
          <w:pgMar w:left="640" w:top="1163" w:right="1440" w:bottom="1440" w:gutter="0" w:footer="0" w:header="0"/>
          <w:type w:val="continuous"/>
        </w:sectPr>
      </w:pPr>
    </w:p>
    <w:bookmarkStart w:id="1" w:name="page2"/>
    <w:bookmarkEnd w:id="1"/>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7</w:t>
      </w:r>
    </w:p>
    <w:p>
      <w:pPr>
        <w:spacing w:after="0" w:line="149" w:lineRule="exact"/>
        <w:rPr>
          <w:sz w:val="20"/>
          <w:szCs w:val="20"/>
          <w:color w:val="auto"/>
        </w:rPr>
      </w:pPr>
    </w:p>
    <w:p>
      <w:pPr>
        <w:ind w:left="660" w:right="5819" w:hanging="552"/>
        <w:spacing w:after="0" w:line="471" w:lineRule="auto"/>
        <w:tabs>
          <w:tab w:leader="none" w:pos="65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Advisory Services, LLC</w:t>
      </w: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2" w:lineRule="exact"/>
        <w:rPr>
          <w:rFonts w:ascii="Courier New" w:cs="Courier New" w:eastAsia="Courier New" w:hAnsi="Courier New"/>
          <w:sz w:val="18"/>
          <w:szCs w:val="18"/>
          <w:color w:val="auto"/>
        </w:rPr>
      </w:pPr>
    </w:p>
    <w:p>
      <w:pPr>
        <w:spacing w:after="0"/>
        <w:tabs>
          <w:tab w:leader="none" w:pos="0" w:val="left"/>
        </w:tabs>
        <w:numPr>
          <w:ilvl w:val="1"/>
          <w:numId w:val="2"/>
        </w:numPr>
        <w:rPr>
          <w:rFonts w:ascii="Courier New" w:cs="Courier New" w:eastAsia="Courier New" w:hAnsi="Courier New"/>
          <w:sz w:val="18"/>
          <w:szCs w:val="18"/>
          <w:color w:val="auto"/>
        </w:rPr>
      </w:pPr>
    </w:p>
    <w:p>
      <w:pPr>
        <w:spacing w:after="0" w:line="10" w:lineRule="exact"/>
        <w:rPr>
          <w:rFonts w:ascii="Courier New" w:cs="Courier New" w:eastAsia="Courier New" w:hAnsi="Courier New"/>
          <w:sz w:val="18"/>
          <w:szCs w:val="18"/>
          <w:color w:val="auto"/>
        </w:rPr>
      </w:pPr>
    </w:p>
    <w:p>
      <w:pPr>
        <w:ind w:left="1100" w:hanging="442"/>
        <w:spacing w:after="0"/>
        <w:tabs>
          <w:tab w:leader="none" w:pos="11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660" w:right="5279" w:hanging="552"/>
        <w:spacing w:after="0" w:line="395" w:lineRule="auto"/>
        <w:tabs>
          <w:tab w:leader="none" w:pos="65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7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1200" w:right="6779" w:hanging="542"/>
        <w:spacing w:after="0" w:line="381" w:lineRule="auto"/>
        <w:tabs>
          <w:tab w:leader="none" w:pos="119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1200" w:right="6559" w:hanging="542"/>
        <w:spacing w:after="0" w:line="410" w:lineRule="auto"/>
        <w:tabs>
          <w:tab w:leader="none" w:pos="119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200" w:right="6239" w:hanging="542"/>
        <w:spacing w:after="0" w:line="395" w:lineRule="auto"/>
        <w:tabs>
          <w:tab w:leader="none" w:pos="119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200" w:right="6019" w:hanging="542"/>
        <w:spacing w:after="0" w:line="410" w:lineRule="auto"/>
        <w:tabs>
          <w:tab w:leader="none" w:pos="119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9" w:lineRule="exact"/>
        <w:rPr>
          <w:rFonts w:ascii="Courier New" w:cs="Courier New" w:eastAsia="Courier New" w:hAnsi="Courier New"/>
          <w:sz w:val="18"/>
          <w:szCs w:val="18"/>
          <w:color w:val="auto"/>
        </w:rPr>
      </w:pPr>
    </w:p>
    <w:p>
      <w:pPr>
        <w:ind w:left="720" w:right="2699" w:hanging="612"/>
        <w:spacing w:after="0" w:line="405" w:lineRule="auto"/>
        <w:tabs>
          <w:tab w:leader="none" w:pos="6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1,578,875</w:t>
      </w:r>
    </w:p>
    <w:p>
      <w:pPr>
        <w:ind w:left="660" w:right="3879" w:hanging="552"/>
        <w:spacing w:after="0" w:line="238" w:lineRule="auto"/>
        <w:tabs>
          <w:tab w:leader="none" w:pos="65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74"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87" w:lineRule="exact"/>
        <w:rPr>
          <w:rFonts w:ascii="Courier New" w:cs="Courier New" w:eastAsia="Courier New" w:hAnsi="Courier New"/>
          <w:sz w:val="18"/>
          <w:szCs w:val="18"/>
          <w:color w:val="auto"/>
        </w:rPr>
      </w:pPr>
    </w:p>
    <w:p>
      <w:pPr>
        <w:ind w:left="880" w:hanging="222"/>
        <w:spacing w:after="0"/>
        <w:tabs>
          <w:tab w:leader="none" w:pos="8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w:t>
      </w:r>
    </w:p>
    <w:p>
      <w:pPr>
        <w:spacing w:after="0" w:line="135" w:lineRule="exact"/>
        <w:rPr>
          <w:rFonts w:ascii="Courier New" w:cs="Courier New" w:eastAsia="Courier New" w:hAnsi="Courier New"/>
          <w:sz w:val="18"/>
          <w:szCs w:val="18"/>
          <w:color w:val="auto"/>
        </w:rPr>
      </w:pPr>
    </w:p>
    <w:p>
      <w:pPr>
        <w:ind w:left="660" w:right="6579" w:hanging="552"/>
        <w:spacing w:after="0" w:line="415" w:lineRule="auto"/>
        <w:tabs>
          <w:tab w:leader="none" w:pos="65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262255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19"/>
          </w:cols>
          <w:pgMar w:left="640" w:top="13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460" w:type="dxa"/>
            <w:vAlign w:val="bottom"/>
          </w:tcPr>
          <w:p>
            <w:pPr>
              <w:spacing w:after="0"/>
              <w:rPr>
                <w:sz w:val="20"/>
                <w:szCs w:val="20"/>
                <w:color w:val="auto"/>
              </w:rPr>
            </w:pPr>
            <w:r>
              <w:rPr>
                <w:rFonts w:ascii="Courier New" w:cs="Courier New" w:eastAsia="Courier New" w:hAnsi="Courier New"/>
                <w:sz w:val="18"/>
                <w:szCs w:val="18"/>
                <w:color w:val="auto"/>
              </w:rPr>
              <w:t>CUSIP NO.  192576106</w:t>
            </w:r>
          </w:p>
        </w:tc>
        <w:tc>
          <w:tcPr>
            <w:tcW w:w="3140" w:type="dxa"/>
            <w:vAlign w:val="bottom"/>
          </w:tcPr>
          <w:p>
            <w:pPr>
              <w:ind w:left="1300"/>
              <w:spacing w:after="0"/>
              <w:rPr>
                <w:sz w:val="20"/>
                <w:szCs w:val="20"/>
                <w:color w:val="auto"/>
              </w:rPr>
            </w:pPr>
            <w:r>
              <w:rPr>
                <w:rFonts w:ascii="Courier New" w:cs="Courier New" w:eastAsia="Courier New" w:hAnsi="Courier New"/>
                <w:sz w:val="18"/>
                <w:szCs w:val="18"/>
                <w:color w:val="auto"/>
              </w:rPr>
              <w:t>13G</w:t>
            </w:r>
          </w:p>
        </w:tc>
        <w:tc>
          <w:tcPr>
            <w:tcW w:w="2700" w:type="dxa"/>
            <w:vAlign w:val="bottom"/>
          </w:tcPr>
          <w:p>
            <w:pPr>
              <w:ind w:left="1500"/>
              <w:spacing w:after="0"/>
              <w:rPr>
                <w:sz w:val="20"/>
                <w:szCs w:val="20"/>
                <w:color w:val="auto"/>
              </w:rPr>
            </w:pPr>
            <w:r>
              <w:rPr>
                <w:rFonts w:ascii="Courier New" w:cs="Courier New" w:eastAsia="Courier New" w:hAnsi="Courier New"/>
                <w:sz w:val="18"/>
                <w:szCs w:val="18"/>
                <w:color w:val="auto"/>
                <w:w w:val="99"/>
              </w:rPr>
              <w:t>Page 3 of 7</w:t>
            </w:r>
          </w:p>
        </w:tc>
      </w:tr>
      <w:tr>
        <w:trPr>
          <w:trHeight w:val="351"/>
        </w:trPr>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rPr>
              <w:t>Item 1.</w:t>
            </w:r>
          </w:p>
        </w:tc>
        <w:tc>
          <w:tcPr>
            <w:tcW w:w="314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147" w:lineRule="exact"/>
        <w:rPr>
          <w:sz w:val="20"/>
          <w:szCs w:val="20"/>
          <w:color w:val="auto"/>
        </w:rPr>
      </w:pPr>
    </w:p>
    <w:p>
      <w:pPr>
        <w:ind w:left="760" w:hanging="652"/>
        <w:spacing w:after="0"/>
        <w:tabs>
          <w:tab w:leader="none" w:pos="7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352" w:lineRule="exact"/>
        <w:rPr>
          <w:sz w:val="20"/>
          <w:szCs w:val="20"/>
          <w:color w:val="auto"/>
        </w:rPr>
      </w:pPr>
    </w:p>
    <w:p>
      <w:pPr>
        <w:ind w:left="760" w:hanging="652"/>
        <w:spacing w:after="0"/>
        <w:tabs>
          <w:tab w:leader="none" w:pos="7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12367 Crosthwaite Circle</w:t>
      </w:r>
    </w:p>
    <w:p>
      <w:pPr>
        <w:ind w:left="8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2.</w:t>
      </w:r>
    </w:p>
    <w:p>
      <w:pPr>
        <w:spacing w:after="0" w:line="120" w:lineRule="exact"/>
        <w:rPr>
          <w:sz w:val="20"/>
          <w:szCs w:val="20"/>
          <w:color w:val="auto"/>
        </w:rPr>
      </w:pPr>
    </w:p>
    <w:p>
      <w:pPr>
        <w:ind w:left="760" w:hanging="652"/>
        <w:spacing w:after="0"/>
        <w:tabs>
          <w:tab w:leader="none" w:pos="7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44" w:lineRule="exact"/>
        <w:rPr>
          <w:sz w:val="20"/>
          <w:szCs w:val="20"/>
          <w:color w:val="auto"/>
        </w:rPr>
      </w:pPr>
    </w:p>
    <w:p>
      <w:pPr>
        <w:ind w:left="760" w:hanging="652"/>
        <w:spacing w:after="0"/>
        <w:tabs>
          <w:tab w:leader="none" w:pos="7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00" w:right="7879" w:hanging="592"/>
        <w:spacing w:after="0" w:line="506" w:lineRule="auto"/>
        <w:tabs>
          <w:tab w:leader="none" w:pos="7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4" w:lineRule="exact"/>
        <w:rPr>
          <w:rFonts w:ascii="Courier New" w:cs="Courier New" w:eastAsia="Courier New" w:hAnsi="Courier New"/>
          <w:sz w:val="18"/>
          <w:szCs w:val="18"/>
          <w:color w:val="auto"/>
        </w:rPr>
      </w:pPr>
    </w:p>
    <w:p>
      <w:pPr>
        <w:jc w:val="both"/>
        <w:ind w:left="700" w:right="5979" w:hanging="592"/>
        <w:spacing w:after="0" w:line="379" w:lineRule="auto"/>
        <w:tabs>
          <w:tab w:leader="none" w:pos="7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$1.00 par value</w:t>
      </w:r>
    </w:p>
    <w:p>
      <w:pPr>
        <w:spacing w:after="0" w:line="2" w:lineRule="exact"/>
        <w:rPr>
          <w:rFonts w:ascii="Courier New" w:cs="Courier New" w:eastAsia="Courier New" w:hAnsi="Courier New"/>
          <w:sz w:val="18"/>
          <w:szCs w:val="18"/>
          <w:color w:val="auto"/>
        </w:rPr>
      </w:pPr>
    </w:p>
    <w:p>
      <w:pPr>
        <w:ind w:left="760" w:hanging="652"/>
        <w:spacing w:after="0"/>
        <w:tabs>
          <w:tab w:leader="none" w:pos="7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28"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281940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19"/>
          </w:cols>
          <w:pgMar w:left="640" w:top="1325" w:right="1440" w:bottom="1440" w:gutter="0" w:footer="0" w:header="0"/>
        </w:sectPr>
      </w:pPr>
    </w:p>
    <w:bookmarkStart w:id="3" w:name="page4"/>
    <w:bookmarkEnd w:id="3"/>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7</w:t>
      </w:r>
    </w:p>
    <w:p>
      <w:pPr>
        <w:spacing w:after="0" w:line="190" w:lineRule="exact"/>
        <w:rPr>
          <w:sz w:val="20"/>
          <w:szCs w:val="20"/>
          <w:color w:val="auto"/>
        </w:rPr>
      </w:pPr>
    </w:p>
    <w:p>
      <w:pPr>
        <w:ind w:left="900" w:right="580"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95" w:lineRule="exact"/>
        <w:rPr>
          <w:sz w:val="20"/>
          <w:szCs w:val="20"/>
          <w:color w:val="auto"/>
        </w:rPr>
      </w:pPr>
    </w:p>
    <w:p>
      <w:pPr>
        <w:ind w:left="1340" w:hanging="432"/>
        <w:spacing w:after="0"/>
        <w:tabs>
          <w:tab w:leader="none" w:pos="13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8o).</w:t>
      </w:r>
    </w:p>
    <w:p>
      <w:pPr>
        <w:spacing w:after="0" w:line="133" w:lineRule="exact"/>
        <w:rPr>
          <w:rFonts w:ascii="Courier New" w:cs="Courier New" w:eastAsia="Courier New" w:hAnsi="Courier New"/>
          <w:sz w:val="18"/>
          <w:szCs w:val="18"/>
          <w:color w:val="auto"/>
        </w:rPr>
      </w:pPr>
    </w:p>
    <w:p>
      <w:pPr>
        <w:ind w:left="1340" w:hanging="432"/>
        <w:spacing w:after="0"/>
        <w:tabs>
          <w:tab w:leader="none" w:pos="13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2" w:lineRule="exact"/>
        <w:rPr>
          <w:rFonts w:ascii="Courier New" w:cs="Courier New" w:eastAsia="Courier New" w:hAnsi="Courier New"/>
          <w:sz w:val="18"/>
          <w:szCs w:val="18"/>
          <w:color w:val="auto"/>
        </w:rPr>
      </w:pPr>
    </w:p>
    <w:p>
      <w:pPr>
        <w:ind w:left="1800" w:right="420" w:hanging="892"/>
        <w:spacing w:after="0" w:line="238" w:lineRule="auto"/>
        <w:tabs>
          <w:tab w:leader="none" w:pos="13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49" w:lineRule="exact"/>
        <w:rPr>
          <w:rFonts w:ascii="Courier New" w:cs="Courier New" w:eastAsia="Courier New" w:hAnsi="Courier New"/>
          <w:sz w:val="18"/>
          <w:szCs w:val="18"/>
          <w:color w:val="auto"/>
        </w:rPr>
      </w:pPr>
    </w:p>
    <w:p>
      <w:pPr>
        <w:ind w:left="1800" w:right="320" w:hanging="892"/>
        <w:spacing w:after="0" w:line="203" w:lineRule="exact"/>
        <w:tabs>
          <w:tab w:leader="none" w:pos="13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 Investment company registered under section 8 of the Investment Company Act of 1940 (15 U.S.C 80a </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42" w:lineRule="exact"/>
        <w:rPr>
          <w:rFonts w:ascii="Courier New" w:cs="Courier New" w:eastAsia="Courier New" w:hAnsi="Courier New"/>
          <w:sz w:val="18"/>
          <w:szCs w:val="18"/>
          <w:color w:val="auto"/>
        </w:rPr>
      </w:pPr>
    </w:p>
    <w:p>
      <w:pPr>
        <w:ind w:left="1340" w:hanging="432"/>
        <w:spacing w:after="0" w:line="209" w:lineRule="exact"/>
        <w:tabs>
          <w:tab w:leader="none" w:pos="13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0" w:lineRule="exact"/>
        <w:rPr>
          <w:rFonts w:ascii="Courier New" w:cs="Courier New" w:eastAsia="Courier New" w:hAnsi="Courier New"/>
          <w:sz w:val="18"/>
          <w:szCs w:val="18"/>
          <w:color w:val="auto"/>
        </w:rPr>
      </w:pPr>
    </w:p>
    <w:p>
      <w:pPr>
        <w:ind w:left="1340" w:hanging="432"/>
        <w:spacing w:after="0"/>
        <w:tabs>
          <w:tab w:leader="none" w:pos="13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1800"/>
        <w:spacing w:after="0" w:line="202"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50" w:lineRule="exact"/>
        <w:rPr>
          <w:sz w:val="20"/>
          <w:szCs w:val="20"/>
          <w:color w:val="auto"/>
        </w:rPr>
      </w:pPr>
    </w:p>
    <w:p>
      <w:pPr>
        <w:ind w:left="1800" w:right="1400" w:hanging="892"/>
        <w:spacing w:after="0" w:line="203" w:lineRule="exact"/>
        <w:tabs>
          <w:tab w:leader="none" w:pos="13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9" w:lineRule="exact"/>
        <w:rPr>
          <w:rFonts w:ascii="Courier New" w:cs="Courier New" w:eastAsia="Courier New" w:hAnsi="Courier New"/>
          <w:sz w:val="18"/>
          <w:szCs w:val="18"/>
          <w:color w:val="auto"/>
        </w:rPr>
      </w:pPr>
    </w:p>
    <w:p>
      <w:pPr>
        <w:ind w:left="1800" w:right="1060" w:hanging="892"/>
        <w:spacing w:after="0" w:line="238" w:lineRule="auto"/>
        <w:tabs>
          <w:tab w:leader="none" w:pos="13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49" w:lineRule="exact"/>
        <w:rPr>
          <w:rFonts w:ascii="Courier New" w:cs="Courier New" w:eastAsia="Courier New" w:hAnsi="Courier New"/>
          <w:sz w:val="18"/>
          <w:szCs w:val="18"/>
          <w:color w:val="auto"/>
        </w:rPr>
      </w:pPr>
    </w:p>
    <w:p>
      <w:pPr>
        <w:ind w:left="1800" w:right="700" w:hanging="892"/>
        <w:spacing w:after="0" w:line="203" w:lineRule="exact"/>
        <w:tabs>
          <w:tab w:leader="none" w:pos="13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70" w:lineRule="exact"/>
        <w:rPr>
          <w:rFonts w:ascii="Courier New" w:cs="Courier New" w:eastAsia="Courier New" w:hAnsi="Courier New"/>
          <w:sz w:val="18"/>
          <w:szCs w:val="18"/>
          <w:color w:val="auto"/>
        </w:rPr>
      </w:pPr>
    </w:p>
    <w:p>
      <w:pPr>
        <w:ind w:left="1340" w:hanging="432"/>
        <w:spacing w:after="0" w:line="209" w:lineRule="exact"/>
        <w:tabs>
          <w:tab w:leader="none" w:pos="13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23" w:lineRule="exact"/>
        <w:rPr>
          <w:rFonts w:ascii="Courier New" w:cs="Courier New" w:eastAsia="Courier New" w:hAnsi="Courier New"/>
          <w:sz w:val="18"/>
          <w:szCs w:val="18"/>
          <w:color w:val="auto"/>
        </w:rPr>
      </w:pPr>
    </w:p>
    <w:p>
      <w:pPr>
        <w:ind w:left="1340" w:hanging="432"/>
        <w:spacing w:after="0" w:line="209" w:lineRule="exact"/>
        <w:tabs>
          <w:tab w:leader="none" w:pos="13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163" w:lineRule="exact"/>
        <w:rPr>
          <w:sz w:val="20"/>
          <w:szCs w:val="20"/>
          <w:color w:val="auto"/>
        </w:rPr>
      </w:pPr>
    </w:p>
    <w:p>
      <w:pPr>
        <w:ind w:left="900" w:right="420"/>
        <w:spacing w:after="0" w:line="215"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9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4. Ownership</w:t>
      </w:r>
    </w:p>
    <w:p>
      <w:pPr>
        <w:spacing w:after="0" w:line="122" w:lineRule="exact"/>
        <w:rPr>
          <w:sz w:val="20"/>
          <w:szCs w:val="20"/>
          <w:color w:val="auto"/>
        </w:rPr>
      </w:pPr>
    </w:p>
    <w:p>
      <w:pPr>
        <w:ind w:left="140" w:right="100" w:hanging="39"/>
        <w:spacing w:after="0" w:line="223" w:lineRule="auto"/>
        <w:rPr>
          <w:sz w:val="20"/>
          <w:szCs w:val="20"/>
          <w:color w:val="auto"/>
        </w:rPr>
      </w:pPr>
      <w:r>
        <w:rPr>
          <w:rFonts w:ascii="Courier New" w:cs="Courier New" w:eastAsia="Courier New" w:hAnsi="Courier New"/>
          <w:sz w:val="18"/>
          <w:szCs w:val="18"/>
          <w:color w:val="auto"/>
        </w:rPr>
        <w:t>The securities reported herein are beneficially owned by one or more open end investment companies or other managed accounts that are investment management clients of Franklin Mutual Advisors, LLC ("FMA") and/or Franklin Advisory Services, LLC (“FAS”), each an indirect wholly owned subsidiary of Franklin Resources, Inc. ("FRI"). When an investment management contract (including a sub advisory agreement) delegates to FMA or FAS investment discretion or voting power over the securities held in the investment advisory accounts that are subject to that agreement, FRI treats FMA or FAS as having sole investment discretion or voting authority, as the case may be, unless the agreement specifies otherwise. Accordingly, each of FMA and FAS reports on Schedule 13G that it has sole investment discretion and voting authority over the securities covered by any such investment management agreement, unless otherwise noted in this Item 4. As a result for purposes of Rule 13d 3 under the Act, FMA and/or FAS may be deemed to be the beneficial owner of the securities reported in this Schedule 13G.</w:t>
      </w:r>
    </w:p>
    <w:p>
      <w:pPr>
        <w:spacing w:after="0" w:line="184" w:lineRule="exact"/>
        <w:rPr>
          <w:sz w:val="20"/>
          <w:szCs w:val="20"/>
          <w:color w:val="auto"/>
        </w:rPr>
      </w:pPr>
    </w:p>
    <w:p>
      <w:pPr>
        <w:ind w:left="140"/>
        <w:spacing w:after="0" w:line="223" w:lineRule="auto"/>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 39538 (January 12, 1998) relating to organizations, such as FRI, where related entities exercise voting and investment powers over the securities being reported independently from each other. The voting and investment powers held by FMA and FAS are exercised independently from FRI (FMA’s and FAS’s parent holding company) and from all other investment management subsidiaries of FRI (FRI, its affiliates and investment management subsidiaries other than FMA and FAS are, collectively, “FRI affiliates”). Furthermore, internal policies and procedures of FMA, FAS and FRI establish informational barriers that prevent the flow between FMA and FAS, on the one hand, and the FRI affiliates, on the other hand, of information that relates to the voting and investment powers over the securities owned by their respective investment management clients. Consequently, FMA and FAS report the securities over which they hold investment and voting power separately from the FRI affiliates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226695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60"/>
          </w:cols>
          <w:pgMar w:left="640" w:top="892" w:right="1399" w:bottom="1440" w:gutter="0" w:footer="0" w:header="0"/>
        </w:sectPr>
      </w:pPr>
    </w:p>
    <w:bookmarkStart w:id="4" w:name="page5"/>
    <w:bookmarkEnd w:id="4"/>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7</w:t>
      </w:r>
    </w:p>
    <w:p>
      <w:pPr>
        <w:spacing w:after="0" w:line="122" w:lineRule="exact"/>
        <w:rPr>
          <w:sz w:val="20"/>
          <w:szCs w:val="20"/>
          <w:color w:val="auto"/>
        </w:rPr>
      </w:pPr>
    </w:p>
    <w:p>
      <w:pPr>
        <w:ind w:left="100" w:right="60"/>
        <w:spacing w:after="0" w:line="208"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However, because FMA and FAS exercise voting and investment powers on behalf of their investment management clients independently of FRI, beneficial ownership of the securities reported by FMA and FAS is not attributed to the Principal Shareholders. Each of FMA and FAS disclaims any pecuniary interest in any of the securities reported in this Schedule 13G. In addition, the filing of this Schedule 13G on behalf of FMA and/or FAS should not be construed as an admission that it is, and it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such securities.</w:t>
      </w:r>
    </w:p>
    <w:p>
      <w:pPr>
        <w:spacing w:after="0" w:line="200" w:lineRule="exact"/>
        <w:rPr>
          <w:sz w:val="20"/>
          <w:szCs w:val="20"/>
          <w:color w:val="auto"/>
        </w:rPr>
      </w:pPr>
    </w:p>
    <w:p>
      <w:pPr>
        <w:spacing w:after="0" w:line="300" w:lineRule="exact"/>
        <w:rPr>
          <w:sz w:val="20"/>
          <w:szCs w:val="20"/>
          <w:color w:val="auto"/>
        </w:rPr>
      </w:pPr>
    </w:p>
    <w:p>
      <w:pPr>
        <w:ind w:left="100"/>
        <w:spacing w:after="0" w:line="216" w:lineRule="exact"/>
        <w:rPr>
          <w:sz w:val="20"/>
          <w:szCs w:val="20"/>
          <w:color w:val="auto"/>
        </w:rPr>
      </w:pPr>
      <w:r>
        <w:rPr>
          <w:rFonts w:ascii="Courier New" w:cs="Courier New" w:eastAsia="Courier New" w:hAnsi="Courier New"/>
          <w:sz w:val="18"/>
          <w:szCs w:val="18"/>
          <w:color w:val="auto"/>
        </w:rPr>
        <w:t>Furthermore, each of FMA and FAS believes that it is not a "group" with FRI, the Principal Shareholders, or their respective affiliates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none of them is otherwise required to attribute to any other the beneficial ownership of the securities held by such person or by any persons or entities for whom or for which FMA or the FRI affiliates provide investment management services.</w:t>
      </w:r>
    </w:p>
    <w:p>
      <w:pPr>
        <w:spacing w:after="0" w:line="200" w:lineRule="exact"/>
        <w:rPr>
          <w:sz w:val="20"/>
          <w:szCs w:val="20"/>
          <w:color w:val="auto"/>
        </w:rPr>
      </w:pPr>
    </w:p>
    <w:p>
      <w:pPr>
        <w:spacing w:after="0" w:line="264" w:lineRule="exact"/>
        <w:rPr>
          <w:sz w:val="20"/>
          <w:szCs w:val="20"/>
          <w:color w:val="auto"/>
        </w:rPr>
      </w:pPr>
    </w:p>
    <w:p>
      <w:pPr>
        <w:ind w:left="1160" w:right="5840" w:hanging="852"/>
        <w:spacing w:after="0" w:line="379" w:lineRule="auto"/>
        <w:tabs>
          <w:tab w:leader="none" w:pos="116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1,578,875</w:t>
      </w:r>
    </w:p>
    <w:p>
      <w:pPr>
        <w:spacing w:after="0" w:line="2" w:lineRule="exact"/>
        <w:rPr>
          <w:rFonts w:ascii="Courier New" w:cs="Courier New" w:eastAsia="Courier New" w:hAnsi="Courier New"/>
          <w:sz w:val="18"/>
          <w:szCs w:val="18"/>
          <w:color w:val="auto"/>
        </w:rPr>
      </w:pPr>
    </w:p>
    <w:p>
      <w:pPr>
        <w:ind w:left="1180" w:hanging="872"/>
        <w:spacing w:after="0"/>
        <w:tabs>
          <w:tab w:leader="none" w:pos="11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5.6%</w:t>
      </w:r>
    </w:p>
    <w:p>
      <w:pPr>
        <w:spacing w:after="0" w:line="120" w:lineRule="exact"/>
        <w:rPr>
          <w:sz w:val="20"/>
          <w:szCs w:val="20"/>
          <w:color w:val="auto"/>
        </w:rPr>
      </w:pPr>
    </w:p>
    <w:p>
      <w:pPr>
        <w:ind w:left="1180" w:hanging="872"/>
        <w:spacing w:after="0"/>
        <w:tabs>
          <w:tab w:leader="none" w:pos="11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28" w:lineRule="exact"/>
        <w:rPr>
          <w:sz w:val="20"/>
          <w:szCs w:val="20"/>
          <w:color w:val="auto"/>
        </w:rPr>
      </w:pPr>
    </w:p>
    <w:p>
      <w:pPr>
        <w:ind w:left="1580" w:hanging="764"/>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20" w:lineRule="exact"/>
        <w:rPr>
          <w:sz w:val="20"/>
          <w:szCs w:val="20"/>
          <w:color w:val="auto"/>
        </w:rPr>
      </w:pPr>
    </w:p>
    <w:tbl>
      <w:tblPr>
        <w:tblLayout w:type="fixed"/>
        <w:tblInd w:w="1400" w:type="dxa"/>
        <w:tblCellMar>
          <w:top w:w="0" w:type="dxa"/>
          <w:left w:w="0" w:type="dxa"/>
          <w:bottom w:w="0" w:type="dxa"/>
          <w:right w:w="0" w:type="dxa"/>
        </w:tblCellMar>
      </w:tblPr>
      <w:tr>
        <w:trPr>
          <w:trHeight w:val="204"/>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760" w:type="dxa"/>
            <w:vAlign w:val="bottom"/>
          </w:tcPr>
          <w:p>
            <w:pPr>
              <w:jc w:val="right"/>
              <w:spacing w:after="0"/>
              <w:rPr>
                <w:sz w:val="20"/>
                <w:szCs w:val="20"/>
                <w:color w:val="auto"/>
              </w:rPr>
            </w:pPr>
            <w:r>
              <w:rPr>
                <w:rFonts w:ascii="Courier New" w:cs="Courier New" w:eastAsia="Courier New" w:hAnsi="Courier New"/>
                <w:sz w:val="18"/>
                <w:szCs w:val="18"/>
                <w:color w:val="auto"/>
              </w:rPr>
              <w:t>1,461,674</w:t>
            </w:r>
          </w:p>
        </w:tc>
      </w:tr>
    </w:tbl>
    <w:p>
      <w:pPr>
        <w:spacing w:after="0" w:line="228" w:lineRule="exact"/>
        <w:rPr>
          <w:sz w:val="20"/>
          <w:szCs w:val="20"/>
          <w:color w:val="auto"/>
        </w:rPr>
      </w:pPr>
    </w:p>
    <w:p>
      <w:pPr>
        <w:ind w:left="1580" w:hanging="864"/>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120" w:lineRule="exact"/>
        <w:rPr>
          <w:rFonts w:ascii="Courier New" w:cs="Courier New" w:eastAsia="Courier New" w:hAnsi="Courier New"/>
          <w:sz w:val="18"/>
          <w:szCs w:val="18"/>
          <w:color w:val="auto"/>
        </w:rPr>
      </w:pPr>
    </w:p>
    <w:p>
      <w:pPr>
        <w:ind w:left="14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28" w:lineRule="exact"/>
        <w:rPr>
          <w:rFonts w:ascii="Courier New" w:cs="Courier New" w:eastAsia="Courier New" w:hAnsi="Courier New"/>
          <w:sz w:val="18"/>
          <w:szCs w:val="18"/>
          <w:color w:val="auto"/>
        </w:rPr>
      </w:pPr>
    </w:p>
    <w:p>
      <w:pPr>
        <w:ind w:left="1580" w:hanging="964"/>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20" w:lineRule="exact"/>
        <w:rPr>
          <w:sz w:val="20"/>
          <w:szCs w:val="20"/>
          <w:color w:val="auto"/>
        </w:rPr>
      </w:pPr>
    </w:p>
    <w:tbl>
      <w:tblPr>
        <w:tblLayout w:type="fixed"/>
        <w:tblInd w:w="1400" w:type="dxa"/>
        <w:tblCellMar>
          <w:top w:w="0" w:type="dxa"/>
          <w:left w:w="0" w:type="dxa"/>
          <w:bottom w:w="0" w:type="dxa"/>
          <w:right w:w="0" w:type="dxa"/>
        </w:tblCellMar>
      </w:tblPr>
      <w:tr>
        <w:trPr>
          <w:trHeight w:val="204"/>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760" w:type="dxa"/>
            <w:vAlign w:val="bottom"/>
          </w:tcPr>
          <w:p>
            <w:pPr>
              <w:jc w:val="right"/>
              <w:spacing w:after="0"/>
              <w:rPr>
                <w:sz w:val="20"/>
                <w:szCs w:val="20"/>
                <w:color w:val="auto"/>
              </w:rPr>
            </w:pPr>
            <w:r>
              <w:rPr>
                <w:rFonts w:ascii="Courier New" w:cs="Courier New" w:eastAsia="Courier New" w:hAnsi="Courier New"/>
                <w:sz w:val="18"/>
                <w:szCs w:val="18"/>
                <w:color w:val="auto"/>
              </w:rPr>
              <w:t>1,578,875</w:t>
            </w:r>
          </w:p>
        </w:tc>
      </w:tr>
    </w:tbl>
    <w:p>
      <w:pPr>
        <w:spacing w:after="0" w:line="228" w:lineRule="exact"/>
        <w:rPr>
          <w:sz w:val="20"/>
          <w:szCs w:val="20"/>
          <w:color w:val="auto"/>
        </w:rPr>
      </w:pPr>
    </w:p>
    <w:p>
      <w:pPr>
        <w:ind w:left="1580" w:hanging="864"/>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20" w:lineRule="exact"/>
        <w:rPr>
          <w:rFonts w:ascii="Courier New" w:cs="Courier New" w:eastAsia="Courier New" w:hAnsi="Courier New"/>
          <w:sz w:val="18"/>
          <w:szCs w:val="18"/>
          <w:color w:val="auto"/>
        </w:rPr>
      </w:pPr>
    </w:p>
    <w:p>
      <w:pPr>
        <w:ind w:left="14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2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22" w:lineRule="exact"/>
        <w:rPr>
          <w:sz w:val="20"/>
          <w:szCs w:val="20"/>
          <w:color w:val="auto"/>
        </w:rPr>
      </w:pPr>
    </w:p>
    <w:p>
      <w:pPr>
        <w:ind w:left="900" w:right="480"/>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39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30" w:lineRule="exact"/>
        <w:rPr>
          <w:sz w:val="20"/>
          <w:szCs w:val="20"/>
          <w:color w:val="auto"/>
        </w:rPr>
      </w:pPr>
    </w:p>
    <w:p>
      <w:pPr>
        <w:jc w:val="both"/>
        <w:ind w:left="900" w:right="380"/>
        <w:spacing w:after="0" w:line="238" w:lineRule="auto"/>
        <w:rPr>
          <w:sz w:val="20"/>
          <w:szCs w:val="20"/>
          <w:color w:val="auto"/>
        </w:rPr>
      </w:pPr>
      <w:r>
        <w:rPr>
          <w:rFonts w:ascii="Courier New" w:cs="Courier New" w:eastAsia="Courier New" w:hAnsi="Courier New"/>
          <w:sz w:val="18"/>
          <w:szCs w:val="18"/>
          <w:color w:val="auto"/>
        </w:rPr>
        <w:t>The clients of Franklin Advisory Services, LLC,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677545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20"/>
          </w:cols>
          <w:pgMar w:left="640" w:top="1325" w:right="1439" w:bottom="1440" w:gutter="0" w:footer="0" w:header="0"/>
        </w:sectPr>
      </w:pPr>
    </w:p>
    <w:bookmarkStart w:id="5" w:name="page6"/>
    <w:bookmarkEnd w:id="5"/>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7</w:t>
      </w:r>
    </w:p>
    <w:p>
      <w:pPr>
        <w:sectPr>
          <w:pgSz w:w="11900" w:h="16838" w:orient="portrait"/>
          <w:cols w:equalWidth="0" w:num="1">
            <w:col w:w="9819"/>
          </w:cols>
          <w:pgMar w:left="640" w:top="1325" w:right="1440" w:bottom="1440" w:gutter="0" w:footer="0" w:header="0"/>
        </w:sectPr>
      </w:pPr>
    </w:p>
    <w:p>
      <w:pPr>
        <w:spacing w:after="0" w:line="257" w:lineRule="exact"/>
        <w:rPr>
          <w:sz w:val="20"/>
          <w:szCs w:val="20"/>
          <w:color w:val="auto"/>
        </w:rPr>
      </w:pPr>
    </w:p>
    <w:p>
      <w:pPr>
        <w:ind w:left="900" w:right="1279" w:hanging="799"/>
        <w:spacing w:after="0" w:line="26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6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30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39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410845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19"/>
          </w:cols>
          <w:pgMar w:left="640" w:top="1325" w:right="1440" w:bottom="1440" w:gutter="0" w:footer="0" w:header="0"/>
          <w:type w:val="continuous"/>
        </w:sectPr>
      </w:pPr>
    </w:p>
    <w:bookmarkStart w:id="6" w:name="page7"/>
    <w:bookmarkEnd w:id="6"/>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7</w:t>
      </w:r>
    </w:p>
    <w:p>
      <w:pPr>
        <w:spacing w:after="0" w:line="14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10. Certification</w:t>
      </w:r>
    </w:p>
    <w:p>
      <w:pPr>
        <w:spacing w:after="0" w:line="176" w:lineRule="exact"/>
        <w:rPr>
          <w:sz w:val="20"/>
          <w:szCs w:val="20"/>
          <w:color w:val="auto"/>
        </w:rPr>
      </w:pPr>
    </w:p>
    <w:p>
      <w:pPr>
        <w:ind w:left="100" w:right="19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338" w:lineRule="exact"/>
        <w:rPr>
          <w:sz w:val="20"/>
          <w:szCs w:val="20"/>
          <w:color w:val="auto"/>
        </w:rPr>
      </w:pPr>
    </w:p>
    <w:p>
      <w:pPr>
        <w:ind w:left="100" w:right="31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63"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29, 2018.</w:t>
      </w:r>
    </w:p>
    <w:p>
      <w:pPr>
        <w:spacing w:after="0" w:line="22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44" w:lineRule="exact"/>
        <w:rPr>
          <w:sz w:val="20"/>
          <w:szCs w:val="20"/>
          <w:color w:val="auto"/>
        </w:rPr>
      </w:pPr>
    </w:p>
    <w:p>
      <w:pPr>
        <w:ind w:left="100"/>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6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Steven J. Gray</w:t>
      </w:r>
    </w:p>
    <w:p>
      <w:pPr>
        <w:ind w:left="80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sectPr>
      <w:pgSz w:w="11900" w:h="16838" w:orient="portrait"/>
      <w:cols w:equalWidth="0" w:num="1">
        <w:col w:w="9819"/>
      </w:cols>
      <w:pgMar w:left="6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lvl w:ilvl="1">
      <w:lvlJc w:val="left"/>
      <w:lvlText w:val="(%2)"/>
      <w:numFmt w:val="lowerLetter"/>
      <w:start w:val="1"/>
    </w:lvl>
  </w:abstractNum>
  <w:abstractNum w:abstractNumId="2">
    <w:nsid w:val="12200854"/>
    <w:multiLevelType w:val="hybridMultilevel"/>
    <w:lvl w:ilvl="0">
      <w:lvlJc w:val="left"/>
      <w:lvlText w:val="%1"/>
      <w:numFmt w:val="decimal"/>
      <w:start w:val="1"/>
    </w:lvl>
    <w:lvl w:ilvl="1">
      <w:lvlJc w:val="left"/>
      <w:lvlText w:val="%2."/>
      <w:numFmt w:val="decimal"/>
      <w:start w:val="5"/>
    </w:lvl>
  </w:abstractNum>
  <w:abstractNum w:abstractNumId="3">
    <w:nsid w:val="4DB127F8"/>
    <w:multiLevelType w:val="hybridMultilevel"/>
    <w:lvl w:ilvl="0">
      <w:lvlJc w:val="left"/>
      <w:lvlText w:val="%1."/>
      <w:numFmt w:val="decimal"/>
      <w:start w:val="9"/>
    </w:lvl>
    <w:lvl w:ilvl="1">
      <w:lvlJc w:val="left"/>
      <w:lvlText w:val="%2."/>
      <w:numFmt w:val="decimal"/>
      <w:start w:val="5"/>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2"/>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3"/>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7"/>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3"/>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2019-12-16T17:29:49Z</dcterms:created>
  <dcterms:modified xsi:type="dcterms:W3CDTF">2019-12-16T17:29:49Z</dcterms:modified>
</cp:coreProperties>
</file>