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24, 2005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2005 the Registrant had 22,140,666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69"/>
        </w:trPr>
        <w:tc>
          <w:tcPr>
            <w:tcW w:w="1380" w:type="dxa"/>
            <w:vAlign w:val="bottom"/>
            <w:gridSpan w:val="2"/>
            <w:vMerge w:val="continue"/>
          </w:tcPr>
          <w:p>
            <w:pPr>
              <w:spacing w:after="0"/>
              <w:rPr>
                <w:sz w:val="14"/>
                <w:szCs w:val="14"/>
                <w:color w:val="auto"/>
              </w:rPr>
            </w:pPr>
          </w:p>
        </w:tc>
        <w:tc>
          <w:tcPr>
            <w:tcW w:w="918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920" w:type="dxa"/>
            <w:vAlign w:val="bottom"/>
          </w:tcPr>
          <w:p>
            <w:pPr>
              <w:spacing w:after="0"/>
              <w:rPr>
                <w:sz w:val="24"/>
                <w:szCs w:val="24"/>
                <w:color w:val="auto"/>
              </w:rPr>
            </w:pPr>
          </w:p>
        </w:tc>
        <w:tc>
          <w:tcPr>
            <w:tcW w:w="91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24, 2005 (unaudited) and December 31, 2004</w:t>
              </w:r>
            </w:hyperlink>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gridSpan w:val="1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Income (unaudited) Three and Nine Months Ended September 24, 2005 and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September 30, 2004</w:t>
              </w:r>
            </w:hyperlink>
          </w:p>
        </w:tc>
        <w:tc>
          <w:tcPr>
            <w:tcW w:w="668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ind w:right="193"/>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Nine Months Ended September 24, 2005 and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September 30, 2004</w:t>
              </w:r>
            </w:hyperlink>
          </w:p>
        </w:tc>
        <w:tc>
          <w:tcPr>
            <w:tcW w:w="6220" w:type="dxa"/>
            <w:vAlign w:val="bottom"/>
            <w:tcBorders>
              <w:top w:val="single" w:sz="8" w:color="0000EE"/>
            </w:tcBorders>
            <w:gridSpan w:val="5"/>
          </w:tcPr>
          <w:p>
            <w:pPr>
              <w:spacing w:after="0"/>
              <w:rPr>
                <w:sz w:val="17"/>
                <w:szCs w:val="17"/>
                <w:color w:val="auto"/>
              </w:rPr>
            </w:pPr>
          </w:p>
        </w:tc>
        <w:tc>
          <w:tcPr>
            <w:tcW w:w="1300" w:type="dxa"/>
            <w:vAlign w:val="bottom"/>
            <w:gridSpan w:val="2"/>
          </w:tcPr>
          <w:p>
            <w:pPr>
              <w:spacing w:after="0"/>
              <w:rPr>
                <w:sz w:val="17"/>
                <w:szCs w:val="17"/>
                <w:color w:val="auto"/>
              </w:rPr>
            </w:pPr>
          </w:p>
        </w:tc>
        <w:tc>
          <w:tcPr>
            <w:tcW w:w="860" w:type="dxa"/>
            <w:vAlign w:val="bottom"/>
          </w:tcPr>
          <w:p>
            <w:pPr>
              <w:jc w:val="right"/>
              <w:ind w:right="193"/>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380" w:type="dxa"/>
            <w:vAlign w:val="bottom"/>
            <w:gridSpan w:val="5"/>
          </w:tcPr>
          <w:p>
            <w:pPr>
              <w:spacing w:after="0"/>
              <w:rPr>
                <w:sz w:val="24"/>
                <w:szCs w:val="24"/>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8"/>
                <w:szCs w:val="18"/>
                <w:color w:val="0000EE"/>
                <w:w w:val="76"/>
              </w:rPr>
            </w:pPr>
            <w:hyperlink w:anchor="page16">
              <w:r>
                <w:rPr>
                  <w:rFonts w:ascii="Arial" w:cs="Arial" w:eastAsia="Arial" w:hAnsi="Arial"/>
                  <w:sz w:val="18"/>
                  <w:szCs w:val="18"/>
                  <w:color w:val="0000EE"/>
                  <w:w w:val="76"/>
                </w:rPr>
                <w:t>Item 2.</w:t>
              </w:r>
            </w:hyperlink>
          </w:p>
        </w:tc>
        <w:tc>
          <w:tcPr>
            <w:tcW w:w="920" w:type="dxa"/>
            <w:vAlign w:val="bottom"/>
          </w:tcPr>
          <w:p>
            <w:pPr>
              <w:spacing w:after="0"/>
              <w:rPr>
                <w:sz w:val="24"/>
                <w:szCs w:val="24"/>
                <w:color w:val="auto"/>
              </w:rPr>
            </w:pPr>
          </w:p>
        </w:tc>
        <w:tc>
          <w:tcPr>
            <w:tcW w:w="918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8"/>
                <w:szCs w:val="18"/>
                <w:color w:val="0000EE"/>
                <w:w w:val="76"/>
              </w:rPr>
            </w:pPr>
            <w:hyperlink w:anchor="page32">
              <w:r>
                <w:rPr>
                  <w:rFonts w:ascii="Arial" w:cs="Arial" w:eastAsia="Arial" w:hAnsi="Arial"/>
                  <w:sz w:val="18"/>
                  <w:szCs w:val="18"/>
                  <w:color w:val="0000EE"/>
                  <w:w w:val="76"/>
                </w:rPr>
                <w:t>Item 3.</w:t>
              </w:r>
            </w:hyperlink>
          </w:p>
        </w:tc>
        <w:tc>
          <w:tcPr>
            <w:tcW w:w="9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720" w:type="dxa"/>
            <w:vAlign w:val="bottom"/>
            <w:gridSpan w:val="4"/>
          </w:tcPr>
          <w:p>
            <w:pPr>
              <w:spacing w:after="0"/>
              <w:rPr>
                <w:sz w:val="24"/>
                <w:szCs w:val="24"/>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860" w:type="dxa"/>
            <w:vAlign w:val="bottom"/>
            <w:gridSpan w:val="4"/>
          </w:tcPr>
          <w:p>
            <w:pPr>
              <w:spacing w:after="0"/>
              <w:rPr>
                <w:sz w:val="17"/>
                <w:szCs w:val="17"/>
                <w:color w:val="auto"/>
              </w:rPr>
            </w:pPr>
          </w:p>
        </w:tc>
        <w:tc>
          <w:tcPr>
            <w:tcW w:w="17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3900" w:type="dxa"/>
            <w:vAlign w:val="bottom"/>
          </w:tcPr>
          <w:p>
            <w:pPr>
              <w:spacing w:after="0"/>
              <w:rPr>
                <w:sz w:val="17"/>
                <w:szCs w:val="17"/>
                <w:color w:val="auto"/>
              </w:rPr>
            </w:pPr>
          </w:p>
        </w:tc>
        <w:tc>
          <w:tcPr>
            <w:tcW w:w="4360" w:type="dxa"/>
            <w:vAlign w:val="bottom"/>
          </w:tcPr>
          <w:p>
            <w:pPr>
              <w:jc w:val="right"/>
              <w:ind w:right="190"/>
              <w:spacing w:after="0"/>
              <w:rPr>
                <w:sz w:val="20"/>
                <w:szCs w:val="20"/>
                <w:color w:val="auto"/>
              </w:rPr>
            </w:pPr>
            <w:r>
              <w:rPr>
                <w:rFonts w:ascii="Arial" w:cs="Arial" w:eastAsia="Arial" w:hAnsi="Arial"/>
                <w:sz w:val="18"/>
                <w:szCs w:val="18"/>
                <w:color w:val="auto"/>
              </w:rPr>
              <w:t>31</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840" w:type="dxa"/>
            <w:vAlign w:val="bottom"/>
            <w:gridSpan w:val="3"/>
          </w:tcPr>
          <w:p>
            <w:pPr>
              <w:spacing w:after="0"/>
              <w:rPr>
                <w:sz w:val="24"/>
                <w:szCs w:val="24"/>
                <w:color w:val="auto"/>
              </w:rPr>
            </w:pPr>
          </w:p>
        </w:tc>
        <w:tc>
          <w:tcPr>
            <w:tcW w:w="146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Other Information</w:t>
              </w:r>
            </w:hyperlink>
          </w:p>
        </w:tc>
        <w:tc>
          <w:tcPr>
            <w:tcW w:w="4220" w:type="dxa"/>
            <w:vAlign w:val="bottom"/>
            <w:gridSpan w:val="2"/>
          </w:tcPr>
          <w:p>
            <w:pPr>
              <w:spacing w:after="0"/>
              <w:rPr>
                <w:sz w:val="24"/>
                <w:szCs w:val="24"/>
                <w:color w:val="auto"/>
              </w:rPr>
            </w:pPr>
          </w:p>
        </w:tc>
        <w:tc>
          <w:tcPr>
            <w:tcW w:w="4360" w:type="dxa"/>
            <w:vAlign w:val="bottom"/>
          </w:tcPr>
          <w:p>
            <w:pPr>
              <w:spacing w:after="0"/>
              <w:rPr>
                <w:sz w:val="24"/>
                <w:szCs w:val="24"/>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860" w:type="dxa"/>
            <w:vAlign w:val="bottom"/>
            <w:gridSpan w:val="4"/>
          </w:tcPr>
          <w:p>
            <w:pPr>
              <w:spacing w:after="0"/>
              <w:rPr>
                <w:sz w:val="24"/>
                <w:szCs w:val="24"/>
                <w:color w:val="auto"/>
              </w:rPr>
            </w:pPr>
          </w:p>
        </w:tc>
        <w:tc>
          <w:tcPr>
            <w:tcW w:w="56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360" w:type="dxa"/>
            <w:vAlign w:val="bottom"/>
          </w:tcPr>
          <w:p>
            <w:pPr>
              <w:jc w:val="right"/>
              <w:ind w:right="190"/>
              <w:spacing w:after="0"/>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360" w:type="dxa"/>
            <w:vAlign w:val="bottom"/>
          </w:tcPr>
          <w:p>
            <w:pPr>
              <w:jc w:val="right"/>
              <w:ind w:right="190"/>
              <w:spacing w:after="0"/>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Arial" w:cs="Arial" w:eastAsia="Arial" w:hAnsi="Arial"/>
                <w:sz w:val="18"/>
                <w:szCs w:val="18"/>
                <w:color w:val="0000EE"/>
              </w:rPr>
              <w:t>EXHIBIT 31.1</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Arial" w:cs="Arial" w:eastAsia="Arial" w:hAnsi="Arial"/>
                <w:sz w:val="18"/>
                <w:szCs w:val="18"/>
                <w:color w:val="0000EE"/>
              </w:rPr>
              <w:t>EXHIBIT 31.2</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Arial" w:cs="Arial" w:eastAsia="Arial" w:hAnsi="Arial"/>
                <w:sz w:val="18"/>
                <w:szCs w:val="18"/>
                <w:color w:val="0000EE"/>
              </w:rPr>
              <w:t>EXHIBIT 32.1</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Arial" w:cs="Arial" w:eastAsia="Arial" w:hAnsi="Arial"/>
                <w:sz w:val="18"/>
                <w:szCs w:val="18"/>
                <w:color w:val="0000EE"/>
              </w:rPr>
              <w:t>EXHIBIT 32.2</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639"/>
        </w:trPr>
        <w:tc>
          <w:tcPr>
            <w:tcW w:w="60" w:type="dxa"/>
            <w:vAlign w:val="bottom"/>
            <w:tcBorders>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September 24, 2005</w:t>
            </w:r>
          </w:p>
        </w:tc>
        <w:tc>
          <w:tcPr>
            <w:tcW w:w="12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December 31, 2004 *</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47,158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59,591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75,264</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56,920</w:t>
            </w:r>
          </w:p>
        </w:tc>
        <w:tc>
          <w:tcPr>
            <w:tcW w:w="0" w:type="dxa"/>
            <w:vAlign w:val="bottom"/>
          </w:tcPr>
          <w:p>
            <w:pPr>
              <w:spacing w:after="0"/>
              <w:rPr>
                <w:sz w:val="1"/>
                <w:szCs w:val="1"/>
                <w:color w:val="auto"/>
              </w:rPr>
            </w:pPr>
          </w:p>
        </w:tc>
      </w:tr>
      <w:tr>
        <w:trPr>
          <w:trHeight w:val="202"/>
        </w:trPr>
        <w:tc>
          <w:tcPr>
            <w:tcW w:w="26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Accounts receivable, less allowance for doubtful accounts of $1,468 in 2005 and $936 in</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2004</w:t>
            </w:r>
          </w:p>
        </w:tc>
        <w:tc>
          <w:tcPr>
            <w:tcW w:w="5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56,298</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purchased parts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23,004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13,480</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43,905</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20,471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Refundable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246,452</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7,978</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Buildings and building improvements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25,832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31,146</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27,544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64,956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8"/>
                <w:szCs w:val="18"/>
                <w:color w:val="auto"/>
              </w:rPr>
              <w:t>(33,032)</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31,924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71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9,597</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Other intangible assets, net of accumulated amortization of $1,876 in 2005 and $1,192 in 2004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71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289,909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250,768</w:t>
            </w: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10,904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11,441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Accrued warranty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Deferred profit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12,860</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48,227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7100" w:type="dxa"/>
            <w:vAlign w:val="bottom"/>
            <w:gridSpan w:val="3"/>
          </w:tcPr>
          <w:p>
            <w:pPr>
              <w:spacing w:after="0"/>
              <w:rPr>
                <w:sz w:val="20"/>
                <w:szCs w:val="20"/>
                <w:color w:val="auto"/>
              </w:rPr>
            </w:pPr>
            <w:r>
              <w:rPr>
                <w:rFonts w:ascii="Arial" w:cs="Arial" w:eastAsia="Arial" w:hAnsi="Arial"/>
                <w:sz w:val="18"/>
                <w:szCs w:val="18"/>
                <w:color w:val="auto"/>
              </w:rPr>
              <w:t>Accrued retiree medical benefits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432"/>
        </w:trPr>
        <w:tc>
          <w:tcPr>
            <w:tcW w:w="71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$1 par value; 60,000 shares authorized, 22,141 shares issued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20"/>
                <w:szCs w:val="20"/>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outstanding in 2005 and 21,611 shares in 2004</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22,141</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Paid in 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33,625</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179,275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161,089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234,811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208,112</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289,909</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Derived from December 31, 2004 audited financial statements.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3"/>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September 24,</w:t>
            </w:r>
          </w:p>
        </w:tc>
        <w:tc>
          <w:tcPr>
            <w:tcW w:w="50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September 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68,610</w:t>
            </w: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164,771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and expenses: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41,430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7,615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21,405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58,713</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49,357</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146,332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123,649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22,021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21,538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21,786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6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8"/>
              </w:rPr>
              <w:t>The accompanying notes are an integral part of these statements.</w:t>
            </w: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September 24,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21,684</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from operating activities: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4,025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0"/>
              <w:spacing w:after="0"/>
              <w:rPr>
                <w:sz w:val="20"/>
                <w:szCs w:val="20"/>
                <w:color w:val="auto"/>
              </w:rPr>
            </w:pPr>
            <w:r>
              <w:rPr>
                <w:rFonts w:ascii="Arial" w:cs="Arial" w:eastAsia="Arial" w:hAnsi="Arial"/>
                <w:sz w:val="18"/>
                <w:szCs w:val="18"/>
                <w:color w:val="auto"/>
              </w:rPr>
              <w:t>Increase in accrued retiree medical benefits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Tax benefit from stock options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w w:val="96"/>
              </w:rPr>
              <w:t>Changes in current assets and liabilities, net of effects from purchase of KryoTech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(23,554)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(2,915)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Refundable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Customer advances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1,254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profit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1,870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Net cash provided from operating activities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net of effects from purchase of KryoTech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Purchases of short-term investments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(89,919)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(117,583)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71,465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Payment for purchase of KryoTech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(2,863)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Payments on note receivable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Net cash provided from (used by) investing activities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Issuance of stock,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6,933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paid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Net cash provided from (used by) financing activities</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59,591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47,158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during the period for:</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0"/>
              <w:spacing w:after="0"/>
              <w:rPr>
                <w:sz w:val="20"/>
                <w:szCs w:val="20"/>
                <w:color w:val="auto"/>
              </w:rPr>
            </w:pPr>
            <w:r>
              <w:rPr>
                <w:rFonts w:ascii="Arial" w:cs="Arial" w:eastAsia="Arial" w:hAnsi="Arial"/>
                <w:sz w:val="18"/>
                <w:szCs w:val="18"/>
                <w:color w:val="auto"/>
              </w:rPr>
              <w:t>Income taxes, net of refunds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capitalized as capital equipment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Dividends declared but not yet paid</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1,328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The interim condensed consolidated financial statements of Cohu, Inc. as of September 24, 2005, and for the three and nine-month periods ended September 24, 2005 and September 30, 2004 are unaudited, but in the opinion of management, include all adjustments (consisting only of normal recurring adjustments) necessary for a fair presentation of the financial results for the interim periods. Our results of operations for the three and nine-month periods ended September 24, 2005 are not necessarily indicative of the results to be expected for the year ending December 31, 2005. These interim statements should be read in conjunction with the audited financial statements and notes thereto included in our Annual Report on Form 10-K for the year ended December 31, 2004. In the following notes to our interim condensed consolidated financial statements, Cohu, Inc. is referred to as “Cohu”, “we”, “our” and “us”.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and Uncertainties</w:t>
      </w:r>
    </w:p>
    <w:p>
      <w:pPr>
        <w:spacing w:after="0" w:line="135"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We are subject to a number of risks and uncertainties that may significantly impact our future operating results. Certain of these risks and uncertainties are discussed under “Trends, Risks and Uncertainties” in the accompanying Management’s Discussion and Analysis of Financial Condition and Results of Operations included in this Form 10-Q. Understanding these risks and uncertainties is integral to the review of our interim condensed consolidated financial statements.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in Fiscal Year</w:t>
      </w:r>
    </w:p>
    <w:p>
      <w:pPr>
        <w:spacing w:after="0" w:line="135" w:lineRule="exact"/>
        <w:rPr>
          <w:sz w:val="20"/>
          <w:szCs w:val="20"/>
          <w:color w:val="auto"/>
        </w:rPr>
      </w:pPr>
    </w:p>
    <w:p>
      <w:pPr>
        <w:ind w:left="220" w:right="140"/>
        <w:spacing w:after="0" w:line="259" w:lineRule="auto"/>
        <w:rPr>
          <w:sz w:val="20"/>
          <w:szCs w:val="20"/>
          <w:color w:val="auto"/>
        </w:rPr>
      </w:pPr>
      <w:r>
        <w:rPr>
          <w:rFonts w:ascii="Arial" w:cs="Arial" w:eastAsia="Arial" w:hAnsi="Arial"/>
          <w:sz w:val="18"/>
          <w:szCs w:val="18"/>
          <w:color w:val="auto"/>
        </w:rPr>
        <w:t>On February 1, 2005, our Board of Directors approved a change in our fiscal year from December 31, to a 52-53 week fiscal year ending on the last Saturday of December. This change is effective for our 2005 fiscal year. As a result of the change, our current fiscal year will contain 52 weeks. The third quarters of both 2005 and 2004 consisted of 13 weeks, whereas the first nine months of 2005 consisted of 38 weeks, and the first nine months of 2004 consisted of 39 weeks.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2004.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condensed consolidated balance sheet.</w:t>
      </w:r>
    </w:p>
    <w:p>
      <w:pPr>
        <w:spacing w:after="0" w:line="92"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In 2003, our Broadcast Microwave Services (BMS)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had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revenue and related costs under this contract in the period the system is accepted by the customer. Through September 24, 2005, we had shipped inventory with a sales value of $8.1 million and deferred costs of approximately $5.9 million resulting in deferred profit of approximately $2.2 million under the contract. In addition, at September 24, 2005, we had inventory to be delivered under the contract of approximately $0.3 million and billed accounts receivable of approximately $0.1 million and unbilled accounts receivable of approximately $3.2 million. We have also provided the customer with a standby letter of credit totaling approximately $2.6 million at September 24, 2005, that may be drawn upon if BMS does not fulfill the terms of the contract. If BMS is unable to successfully complete the installation of the equipment and obtain customer acceptance of the system, the related inventory and receivables may need to be written off, the customer might seek a refund of the $4.8 million in payments made to BMS under the contract and our business, results of operations and financial condition would be materially impacted.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At September 24, 2005, we had total deferred revenue of approximately $28.0 million and deferred profit of $12.9 million. At December 31, 2004, we had total deferred revenue of approximately $22.5 million and deferred profit of $9.7 million.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left="220" w:right="20"/>
        <w:spacing w:after="0" w:line="264" w:lineRule="auto"/>
        <w:rPr>
          <w:sz w:val="20"/>
          <w:szCs w:val="20"/>
          <w:color w:val="auto"/>
        </w:rPr>
      </w:pPr>
      <w:r>
        <w:rPr>
          <w:rFonts w:ascii="Arial" w:cs="Arial" w:eastAsia="Arial" w:hAnsi="Arial"/>
          <w:sz w:val="18"/>
          <w:szCs w:val="18"/>
          <w:color w:val="auto"/>
        </w:rPr>
        <w:t>On May 10, 2005, our stockholders approved the Cohu, Inc. 2005 Equity Incentive Plan (the “2005 Equity Plan”). The 2005 Equity Plan replaced the 1998 Stock Option Plan, the 1996 Outside Directors’ Stock Option Plan, the 1996 Stock Option Plan and the 1994 Stock Option Plan (collectively the “Predecessor Plans”). No further awards will be granted under the Predecessor Plans.</w:t>
      </w:r>
    </w:p>
    <w:p>
      <w:pPr>
        <w:spacing w:after="0" w:line="87" w:lineRule="exact"/>
        <w:rPr>
          <w:sz w:val="20"/>
          <w:szCs w:val="20"/>
          <w:color w:val="auto"/>
        </w:rPr>
      </w:pPr>
    </w:p>
    <w:p>
      <w:pPr>
        <w:ind w:left="220" w:right="100"/>
        <w:spacing w:after="0" w:line="291" w:lineRule="auto"/>
        <w:rPr>
          <w:sz w:val="20"/>
          <w:szCs w:val="20"/>
          <w:color w:val="auto"/>
        </w:rPr>
      </w:pPr>
      <w:r>
        <w:rPr>
          <w:rFonts w:ascii="Arial" w:cs="Arial" w:eastAsia="Arial" w:hAnsi="Arial"/>
          <w:sz w:val="16"/>
          <w:szCs w:val="16"/>
          <w:color w:val="auto"/>
        </w:rPr>
        <w:t xml:space="preserve">We account for our stock option plans under the recognition and measurement principles of Accounting Principles Board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and related interpretations, until required otherwise by Financial Accounting Standards Board (“FASB”) Statement No. 123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Under the intrinsic value method, no stock-based employee compensation cost is reflected in the consolidated statements of income, as all options granted under those plans had an exercise price equal to the market value of the underlying common stock on the date of grant. The proforma information presented in the following table illustrates the effect on net income and net income per share if we had applied the fair value recognition provisions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as amended by FASB Statement No. 148, </w:t>
      </w:r>
      <w:r>
        <w:rPr>
          <w:rFonts w:ascii="Arial" w:cs="Arial" w:eastAsia="Arial" w:hAnsi="Arial"/>
          <w:sz w:val="16"/>
          <w:szCs w:val="16"/>
          <w:i w:val="1"/>
          <w:iCs w:val="1"/>
          <w:color w:val="auto"/>
        </w:rPr>
        <w:t>Accounting for Stock-Based Compensation – Transition and Disclosure</w:t>
      </w:r>
      <w:r>
        <w:rPr>
          <w:rFonts w:ascii="Arial" w:cs="Arial" w:eastAsia="Arial" w:hAnsi="Arial"/>
          <w:sz w:val="16"/>
          <w:szCs w:val="16"/>
          <w:color w:val="auto"/>
        </w:rPr>
        <w:t>, to stock-based employee compensation.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gridSpan w:val="3"/>
          </w:tcPr>
          <w:p>
            <w:pPr>
              <w:jc w:val="right"/>
              <w:ind w:right="912"/>
              <w:spacing w:after="0"/>
              <w:rPr>
                <w:sz w:val="20"/>
                <w:szCs w:val="20"/>
                <w:color w:val="auto"/>
              </w:rPr>
            </w:pPr>
            <w:r>
              <w:rPr>
                <w:rFonts w:ascii="Arial" w:cs="Arial" w:eastAsia="Arial" w:hAnsi="Arial"/>
                <w:sz w:val="14"/>
                <w:szCs w:val="14"/>
                <w:b w:val="1"/>
                <w:bCs w:val="1"/>
                <w:color w:val="auto"/>
              </w:rPr>
              <w:t>Three-months ended</w:t>
            </w:r>
          </w:p>
        </w:tc>
        <w:tc>
          <w:tcPr>
            <w:tcW w:w="560" w:type="dxa"/>
            <w:vAlign w:val="bottom"/>
          </w:tcPr>
          <w:p>
            <w:pPr>
              <w:spacing w:after="0"/>
              <w:rPr>
                <w:sz w:val="14"/>
                <w:szCs w:val="14"/>
                <w:color w:val="auto"/>
              </w:rPr>
            </w:pPr>
          </w:p>
        </w:tc>
        <w:tc>
          <w:tcPr>
            <w:tcW w:w="256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20" w:type="dxa"/>
            <w:vAlign w:val="bottom"/>
            <w:gridSpan w:val="2"/>
          </w:tcPr>
          <w:p>
            <w:pPr>
              <w:jc w:val="right"/>
              <w:ind w:right="274"/>
              <w:spacing w:after="0" w:line="149" w:lineRule="exact"/>
              <w:rPr>
                <w:sz w:val="20"/>
                <w:szCs w:val="20"/>
                <w:color w:val="auto"/>
              </w:rPr>
            </w:pPr>
            <w:r>
              <w:rPr>
                <w:rFonts w:ascii="Arial" w:cs="Arial" w:eastAsia="Arial" w:hAnsi="Arial"/>
                <w:sz w:val="14"/>
                <w:szCs w:val="14"/>
                <w:b w:val="1"/>
                <w:bCs w:val="1"/>
                <w:color w:val="auto"/>
              </w:rPr>
              <w:t>September 24,</w:t>
            </w:r>
          </w:p>
        </w:tc>
        <w:tc>
          <w:tcPr>
            <w:tcW w:w="162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September 30,</w:t>
            </w:r>
          </w:p>
        </w:tc>
        <w:tc>
          <w:tcPr>
            <w:tcW w:w="1660" w:type="dxa"/>
            <w:vAlign w:val="bottom"/>
            <w:gridSpan w:val="2"/>
          </w:tcPr>
          <w:p>
            <w:pPr>
              <w:jc w:val="right"/>
              <w:ind w:right="314"/>
              <w:spacing w:after="0" w:line="149" w:lineRule="exact"/>
              <w:rPr>
                <w:sz w:val="20"/>
                <w:szCs w:val="20"/>
                <w:color w:val="auto"/>
              </w:rPr>
            </w:pPr>
            <w:r>
              <w:rPr>
                <w:rFonts w:ascii="Arial" w:cs="Arial" w:eastAsia="Arial" w:hAnsi="Arial"/>
                <w:sz w:val="14"/>
                <w:szCs w:val="14"/>
                <w:b w:val="1"/>
                <w:bCs w:val="1"/>
                <w:color w:val="auto"/>
              </w:rPr>
              <w:t>September 24,</w:t>
            </w:r>
          </w:p>
        </w:tc>
        <w:tc>
          <w:tcPr>
            <w:tcW w:w="146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5"/>
                <w:szCs w:val="15"/>
                <w:color w:val="auto"/>
              </w:rPr>
            </w:pPr>
          </w:p>
        </w:tc>
        <w:tc>
          <w:tcPr>
            <w:tcW w:w="10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0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100" w:type="dxa"/>
            <w:vAlign w:val="bottom"/>
          </w:tcPr>
          <w:p>
            <w:pPr>
              <w:jc w:val="right"/>
              <w:ind w:right="614"/>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b w:val="1"/>
                <w:bCs w:val="1"/>
                <w:color w:val="auto"/>
              </w:rPr>
              <w:t>9,562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88"/>
              </w:rPr>
              <w:t>5,202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87"/>
              </w:rPr>
              <w:t>21,684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87"/>
              </w:rPr>
              <w:t>14,242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Less: Total stock-based employee compensation expense</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w w:val="99"/>
              </w:rPr>
              <w:t>determined under fair value based method for all awards, net of</w:t>
            </w:r>
          </w:p>
        </w:tc>
        <w:tc>
          <w:tcPr>
            <w:tcW w:w="380" w:type="dxa"/>
            <w:vAlign w:val="bottom"/>
          </w:tcPr>
          <w:p>
            <w:pPr>
              <w:spacing w:after="0"/>
              <w:rPr>
                <w:sz w:val="18"/>
                <w:szCs w:val="18"/>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8"/>
                <w:szCs w:val="18"/>
                <w:b w:val="1"/>
                <w:bCs w:val="1"/>
                <w:color w:val="auto"/>
                <w:w w:val="91"/>
              </w:rPr>
              <w:t>(1,053)</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8"/>
                <w:szCs w:val="18"/>
                <w:b w:val="1"/>
                <w:bCs w:val="1"/>
                <w:color w:val="auto"/>
                <w:w w:val="94"/>
              </w:rPr>
              <w:t>(3,167)</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related tax effect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(985)</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4"/>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b w:val="1"/>
                <w:bCs w:val="1"/>
                <w:color w:val="auto"/>
              </w:rPr>
              <w:t>8,509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88"/>
              </w:rPr>
              <w:t>4,217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87"/>
              </w:rPr>
              <w:t>18,517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87"/>
              </w:rPr>
              <w:t>11,340</w:t>
            </w:r>
          </w:p>
        </w:tc>
        <w:tc>
          <w:tcPr>
            <w:tcW w:w="0" w:type="dxa"/>
            <w:vAlign w:val="bottom"/>
          </w:tcPr>
          <w:p>
            <w:pPr>
              <w:spacing w:after="0"/>
              <w:rPr>
                <w:sz w:val="1"/>
                <w:szCs w:val="1"/>
                <w:color w:val="auto"/>
              </w:rPr>
            </w:pP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Basic-as reported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474"/>
              <w:spacing w:after="0"/>
              <w:rPr>
                <w:sz w:val="20"/>
                <w:szCs w:val="20"/>
                <w:color w:val="auto"/>
              </w:rPr>
            </w:pPr>
            <w:r>
              <w:rPr>
                <w:rFonts w:ascii="Arial" w:cs="Arial" w:eastAsia="Arial" w:hAnsi="Arial"/>
                <w:sz w:val="18"/>
                <w:szCs w:val="18"/>
                <w:b w:val="1"/>
                <w:bCs w:val="1"/>
                <w:color w:val="auto"/>
              </w:rPr>
              <w:t>0.43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14"/>
              <w:spacing w:after="0"/>
              <w:rPr>
                <w:sz w:val="20"/>
                <w:szCs w:val="20"/>
                <w:color w:val="auto"/>
              </w:rPr>
            </w:pPr>
            <w:r>
              <w:rPr>
                <w:rFonts w:ascii="Arial" w:cs="Arial" w:eastAsia="Arial" w:hAnsi="Arial"/>
                <w:sz w:val="18"/>
                <w:szCs w:val="18"/>
                <w:b w:val="1"/>
                <w:bCs w:val="1"/>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Basic-pro forma</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74"/>
              <w:spacing w:after="0"/>
              <w:rPr>
                <w:sz w:val="20"/>
                <w:szCs w:val="20"/>
                <w:color w:val="auto"/>
              </w:rPr>
            </w:pPr>
            <w:r>
              <w:rPr>
                <w:rFonts w:ascii="Arial" w:cs="Arial" w:eastAsia="Arial" w:hAnsi="Arial"/>
                <w:sz w:val="18"/>
                <w:szCs w:val="18"/>
                <w:b w:val="1"/>
                <w:bCs w:val="1"/>
                <w:color w:val="auto"/>
              </w:rPr>
              <w:t>0.39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2"/>
              <w:spacing w:after="0"/>
              <w:rPr>
                <w:sz w:val="20"/>
                <w:szCs w:val="20"/>
                <w:color w:val="auto"/>
              </w:rPr>
            </w:pPr>
            <w:r>
              <w:rPr>
                <w:rFonts w:ascii="Arial" w:cs="Arial" w:eastAsia="Arial" w:hAnsi="Arial"/>
                <w:sz w:val="18"/>
                <w:szCs w:val="18"/>
                <w:color w:val="auto"/>
              </w:rPr>
              <w:t>0.20</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14"/>
              <w:spacing w:after="0"/>
              <w:rPr>
                <w:sz w:val="20"/>
                <w:szCs w:val="20"/>
                <w:color w:val="auto"/>
              </w:rPr>
            </w:pPr>
            <w:r>
              <w:rPr>
                <w:rFonts w:ascii="Arial" w:cs="Arial" w:eastAsia="Arial" w:hAnsi="Arial"/>
                <w:sz w:val="18"/>
                <w:szCs w:val="18"/>
                <w:b w:val="1"/>
                <w:bCs w:val="1"/>
                <w:color w:val="auto"/>
              </w:rPr>
              <w:t>0.85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Diluted-as reported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474"/>
              <w:spacing w:after="0"/>
              <w:rPr>
                <w:sz w:val="20"/>
                <w:szCs w:val="20"/>
                <w:color w:val="auto"/>
              </w:rPr>
            </w:pPr>
            <w:r>
              <w:rPr>
                <w:rFonts w:ascii="Arial" w:cs="Arial" w:eastAsia="Arial" w:hAnsi="Arial"/>
                <w:sz w:val="18"/>
                <w:szCs w:val="18"/>
                <w:b w:val="1"/>
                <w:bCs w:val="1"/>
                <w:color w:val="auto"/>
              </w:rPr>
              <w:t>0.42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14"/>
              <w:spacing w:after="0"/>
              <w:rPr>
                <w:sz w:val="20"/>
                <w:szCs w:val="20"/>
                <w:color w:val="auto"/>
              </w:rPr>
            </w:pPr>
            <w:r>
              <w:rPr>
                <w:rFonts w:ascii="Arial" w:cs="Arial" w:eastAsia="Arial" w:hAnsi="Arial"/>
                <w:sz w:val="18"/>
                <w:szCs w:val="18"/>
                <w:b w:val="1"/>
                <w:bCs w:val="1"/>
                <w:color w:val="auto"/>
              </w:rPr>
              <w:t>0.97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Diluted-pro forma</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74"/>
              <w:spacing w:after="0"/>
              <w:rPr>
                <w:sz w:val="20"/>
                <w:szCs w:val="20"/>
                <w:color w:val="auto"/>
              </w:rPr>
            </w:pPr>
            <w:r>
              <w:rPr>
                <w:rFonts w:ascii="Arial" w:cs="Arial" w:eastAsia="Arial" w:hAnsi="Arial"/>
                <w:sz w:val="18"/>
                <w:szCs w:val="18"/>
                <w:b w:val="1"/>
                <w:bCs w:val="1"/>
                <w:color w:val="auto"/>
              </w:rPr>
              <w:t>0.37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2"/>
              <w:spacing w:after="0"/>
              <w:rPr>
                <w:sz w:val="20"/>
                <w:szCs w:val="20"/>
                <w:color w:val="auto"/>
              </w:rPr>
            </w:pPr>
            <w:r>
              <w:rPr>
                <w:rFonts w:ascii="Arial" w:cs="Arial" w:eastAsia="Arial" w:hAnsi="Arial"/>
                <w:sz w:val="18"/>
                <w:szCs w:val="18"/>
                <w:color w:val="auto"/>
              </w:rPr>
              <w:t>0.19</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14"/>
              <w:spacing w:after="0"/>
              <w:rPr>
                <w:sz w:val="20"/>
                <w:szCs w:val="20"/>
                <w:color w:val="auto"/>
              </w:rPr>
            </w:pPr>
            <w:r>
              <w:rPr>
                <w:rFonts w:ascii="Arial" w:cs="Arial" w:eastAsia="Arial" w:hAnsi="Arial"/>
                <w:sz w:val="18"/>
                <w:szCs w:val="18"/>
                <w:b w:val="1"/>
                <w:bCs w:val="1"/>
                <w:color w:val="auto"/>
              </w:rPr>
              <w:t>0.83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Retiree Medical Benefits</w:t>
      </w:r>
    </w:p>
    <w:p>
      <w:pPr>
        <w:spacing w:after="0" w:line="135"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during the respective three and nine-month periods of 2005 and 2004 was not significant.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220" w:right="400"/>
        <w:spacing w:after="0" w:line="259" w:lineRule="auto"/>
        <w:rPr>
          <w:sz w:val="20"/>
          <w:szCs w:val="20"/>
          <w:color w:val="auto"/>
        </w:rPr>
      </w:pPr>
      <w:r>
        <w:rPr>
          <w:rFonts w:ascii="Arial" w:cs="Arial" w:eastAsia="Arial" w:hAnsi="Arial"/>
          <w:sz w:val="18"/>
          <w:szCs w:val="18"/>
          <w:color w:val="auto"/>
        </w:rPr>
        <w:t xml:space="preserve">In May, 2005, the FASB issued Statement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(“Statement No. 154”).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and changes the requirements for the accounting for and reporting of a change in accounting principle. Statement No. 154 is effective for accounting changes and corrections of errors made in fiscal years beginning after December 15, 2005.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left="260" w:right="160"/>
        <w:spacing w:after="0" w:line="270" w:lineRule="auto"/>
        <w:rPr>
          <w:sz w:val="20"/>
          <w:szCs w:val="20"/>
          <w:color w:val="auto"/>
        </w:rPr>
      </w:pPr>
      <w:r>
        <w:rPr>
          <w:rFonts w:ascii="Arial" w:cs="Arial" w:eastAsia="Arial" w:hAnsi="Arial"/>
          <w:sz w:val="17"/>
          <w:szCs w:val="17"/>
          <w:color w:val="auto"/>
        </w:rPr>
        <w:t xml:space="preserve">In December, 2004, the FASB issued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 the beginning of the next fiscal year that begins on or after June 15, 2005. As a result of the amendment, we intend to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expect that our adoption of Statement No. 123R will result in an impact to our operating results that is similar to our current pro forma disclosures under Statement No. 123.</w:t>
      </w:r>
    </w:p>
    <w:p>
      <w:pPr>
        <w:spacing w:after="0" w:line="83" w:lineRule="exact"/>
        <w:rPr>
          <w:sz w:val="20"/>
          <w:szCs w:val="20"/>
          <w:color w:val="auto"/>
        </w:rPr>
      </w:pPr>
    </w:p>
    <w:p>
      <w:pPr>
        <w:ind w:left="260" w:right="120"/>
        <w:spacing w:after="0" w:line="293"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(“Statement No. 151”), which is the result of efforts to converge U.S. accounting standards for inventories with International Accounting Standards. Statement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plan to adopt Statement No. 151 on January 1, 2006. We are currently evaluating the impact of Statement No. 151; however, we do not believe it will have a material impact on our consolidated financial statements.</w:t>
      </w:r>
    </w:p>
    <w:p>
      <w:pPr>
        <w:spacing w:after="0" w:line="6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Operations</w:t>
      </w:r>
    </w:p>
    <w:p>
      <w:pPr>
        <w:spacing w:after="0" w:line="134" w:lineRule="exact"/>
        <w:rPr>
          <w:rFonts w:ascii="Arial" w:cs="Arial" w:eastAsia="Arial" w:hAnsi="Arial"/>
          <w:sz w:val="18"/>
          <w:szCs w:val="18"/>
          <w:b w:val="1"/>
          <w:bCs w:val="1"/>
          <w:color w:val="auto"/>
        </w:rPr>
      </w:pPr>
    </w:p>
    <w:p>
      <w:pPr>
        <w:ind w:lef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February 2004, we amended a Product Representation Agreement with a foreign sales representative that was originally entered into on April 1, 2003. The amendment reduced the commissions to be paid to the sales representative on certain previously recorded and future sales. In the first fiscal quarter of 2004, we reduced commission expense by $129,000 and $103,000 for commissions previously expensed in 2003 and 2004, respectively. Accordingly, selling, general and administrative expense in the accompanying statement of income for the nine-month period ended September 30, 2004 was reduced by $232,000 as a result of this amendment.</w:t>
      </w:r>
    </w:p>
    <w:p>
      <w:pPr>
        <w:spacing w:after="0" w:line="93"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2003, we recorded a charge to cost of sales of approximately $1.7 million as a result of inventory market valuation writedowns. Subsequently, we sold certain of the written down inventory and, as a result, our cost of sales and the related gross profit was favorably impacted by approximately $150,000 and $1,200,000 for the three and nine-month periods ended September 30, 2004, respectively. There were no sales of reserved equipment recognized in the three or nine-month periods ended September 24, 2005.</w:t>
      </w:r>
    </w:p>
    <w:p>
      <w:pPr>
        <w:spacing w:after="0" w:line="92" w:lineRule="exact"/>
        <w:rPr>
          <w:rFonts w:ascii="Arial" w:cs="Arial" w:eastAsia="Arial" w:hAnsi="Arial"/>
          <w:sz w:val="18"/>
          <w:szCs w:val="18"/>
          <w:b w:val="1"/>
          <w:bCs w:val="1"/>
          <w:color w:val="auto"/>
        </w:rPr>
      </w:pPr>
    </w:p>
    <w:p>
      <w:pPr>
        <w:ind w:left="2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2001 and 2002, we accrued approximately $1.2 million for potential customer sales credits. We accounted for these sales credits in accordance with Emerging Issues Task Force Issue 01-9, </w:t>
      </w:r>
      <w:r>
        <w:rPr>
          <w:rFonts w:ascii="Arial" w:cs="Arial" w:eastAsia="Arial" w:hAnsi="Arial"/>
          <w:sz w:val="18"/>
          <w:szCs w:val="18"/>
          <w:i w:val="1"/>
          <w:iCs w:val="1"/>
          <w:color w:val="auto"/>
        </w:rPr>
        <w:t>Accounting for Consideration Given by a Vendor to a Customer (Including a Reseller of the Vendor’s Products)</w:t>
      </w:r>
      <w:r>
        <w:rPr>
          <w:rFonts w:ascii="Arial" w:cs="Arial" w:eastAsia="Arial" w:hAnsi="Arial"/>
          <w:sz w:val="18"/>
          <w:szCs w:val="18"/>
          <w:color w:val="auto"/>
        </w:rPr>
        <w:t>, by recording reductions to revenue equal to the maximum amount of the potential sales credits. During the quarter ended September 30, 2004, these sales credits expired and, as a result, the $1.2 million liability was eliminated with a corresponding credit to net sales. There were no sales credits eliminated during 2005.</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9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134" w:lineRule="exact"/>
        <w:rPr>
          <w:rFonts w:ascii="Arial" w:cs="Arial" w:eastAsia="Arial" w:hAnsi="Arial"/>
          <w:sz w:val="18"/>
          <w:szCs w:val="18"/>
          <w:b w:val="1"/>
          <w:bCs w:val="1"/>
          <w:color w:val="auto"/>
        </w:rPr>
      </w:pPr>
    </w:p>
    <w:p>
      <w:pPr>
        <w:ind w:lef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Income per share is computed in accordance with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income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our common stock for the period are excluded. For the three and nine-month periods ended September 24, 2005, options to purchase approximately 44,000 and 501,000 shares of common stock, respectively, were excluded from the computation. For the three and nine-month periods ended September 30, 2004, options to purchase approximately 864,000 and 528,000 shares of common stock, respectively, were excluded from the computation.</w:t>
      </w:r>
    </w:p>
    <w:p>
      <w:pPr>
        <w:spacing w:after="0" w:line="9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Three-months ended</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0"/>
              </w:rPr>
              <w:t>Nine-months ended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40" w:type="dxa"/>
            <w:vAlign w:val="bottom"/>
            <w:gridSpan w:val="3"/>
          </w:tcPr>
          <w:p>
            <w:pPr>
              <w:jc w:val="center"/>
              <w:ind w:left="482"/>
              <w:spacing w:after="0" w:line="149" w:lineRule="exact"/>
              <w:rPr>
                <w:sz w:val="20"/>
                <w:szCs w:val="20"/>
                <w:color w:val="auto"/>
              </w:rPr>
            </w:pPr>
            <w:r>
              <w:rPr>
                <w:rFonts w:ascii="Arial" w:cs="Arial" w:eastAsia="Arial" w:hAnsi="Arial"/>
                <w:sz w:val="14"/>
                <w:szCs w:val="14"/>
                <w:b w:val="1"/>
                <w:bCs w:val="1"/>
                <w:color w:val="auto"/>
                <w:w w:val="91"/>
              </w:rPr>
              <w:t>September 24,</w:t>
            </w:r>
          </w:p>
        </w:tc>
        <w:tc>
          <w:tcPr>
            <w:tcW w:w="16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September 30,</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24,</w:t>
            </w:r>
          </w:p>
        </w:tc>
        <w:tc>
          <w:tcPr>
            <w:tcW w:w="148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8"/>
        </w:trPr>
        <w:tc>
          <w:tcPr>
            <w:tcW w:w="4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40" w:type="dxa"/>
            <w:vAlign w:val="bottom"/>
            <w:tcBorders>
              <w:top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22,021</w:t>
            </w:r>
          </w:p>
        </w:tc>
        <w:tc>
          <w:tcPr>
            <w:tcW w:w="1680" w:type="dxa"/>
            <w:vAlign w:val="bottom"/>
            <w:tcBorders>
              <w:top w:val="single" w:sz="8" w:color="auto"/>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21,538</w:t>
            </w:r>
          </w:p>
        </w:tc>
        <w:tc>
          <w:tcPr>
            <w:tcW w:w="1700" w:type="dxa"/>
            <w:vAlign w:val="bottom"/>
            <w:tcBorders>
              <w:top w:val="single" w:sz="8" w:color="auto"/>
            </w:tcBorders>
            <w:gridSpan w:val="3"/>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21,786</w:t>
            </w:r>
          </w:p>
        </w:tc>
        <w:tc>
          <w:tcPr>
            <w:tcW w:w="1480" w:type="dxa"/>
            <w:vAlign w:val="bottom"/>
            <w:tcBorders>
              <w:top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21,480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1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894</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374</w:t>
            </w:r>
          </w:p>
        </w:tc>
        <w:tc>
          <w:tcPr>
            <w:tcW w:w="170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623</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508</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7"/>
              </w:rPr>
              <w:t>22,915</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21,912</w:t>
            </w:r>
          </w:p>
        </w:tc>
        <w:tc>
          <w:tcPr>
            <w:tcW w:w="17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22,409</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21,988</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jc w:val="both"/>
        <w:ind w:left="260" w:right="3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income tax provision (benefit) included in the statements of income for the three and nine-months ended September 24, 2005 and September 30, 2004, is based on the estimated annual effective tax rate for the entire year. These estimated effective tax rates are subject to adjustment in subsequent quarterly periods as our estimates of pretax income or loss for the year are increased or decreased. The effective tax rate for the three and nine-months ended September 24, 2005 is less than the U.S. federal statutory rate, in part, due to research and development tax credits, export sales benefits and the recently enacted domestic manufacturing activities deduction.</w:t>
      </w:r>
    </w:p>
    <w:p>
      <w:pPr>
        <w:spacing w:after="0" w:line="77" w:lineRule="exact"/>
        <w:rPr>
          <w:rFonts w:ascii="Arial" w:cs="Arial" w:eastAsia="Arial" w:hAnsi="Arial"/>
          <w:sz w:val="18"/>
          <w:szCs w:val="18"/>
          <w:b w:val="1"/>
          <w:bCs w:val="1"/>
          <w:color w:val="auto"/>
        </w:rPr>
      </w:pPr>
    </w:p>
    <w:p>
      <w:pPr>
        <w:ind w:left="260" w:right="4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70" w:lineRule="exact"/>
        <w:rPr>
          <w:rFonts w:ascii="Arial" w:cs="Arial" w:eastAsia="Arial" w:hAnsi="Arial"/>
          <w:sz w:val="18"/>
          <w:szCs w:val="18"/>
          <w:b w:val="1"/>
          <w:bCs w:val="1"/>
          <w:color w:val="auto"/>
        </w:rPr>
      </w:pPr>
    </w:p>
    <w:p>
      <w:pPr>
        <w:ind w:left="2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accordance with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(“Statement No. 109”),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98" w:lineRule="exact"/>
        <w:rPr>
          <w:rFonts w:ascii="Arial" w:cs="Arial" w:eastAsia="Arial" w:hAnsi="Arial"/>
          <w:sz w:val="18"/>
          <w:szCs w:val="18"/>
          <w:b w:val="1"/>
          <w:bCs w:val="1"/>
          <w:color w:val="auto"/>
        </w:rPr>
      </w:pPr>
    </w:p>
    <w:p>
      <w:pPr>
        <w:ind w:left="2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evaluating future taxable income for valuation allowance purposes at December 31, 2004 and September 24, 2005, we concluded that it was only appropriate to consider income expected to be generated in 2005. While Cohu has had a long history of profitability, we incurred losses in each of the three years prior to 2004 and were in a three-year cumulative loss position entering 2004. Anticipating income for Cohu beyond 2005 involves substantial uncertainty and a reliable forecast of such income was not possible and, as a result, we believe such income could not be relied upon to support deferred tax assets under the more likely than not realization requirement in Statement No. 109.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business improved significantly in the second and third quarters of 2005 with orders increasing from $44.4 million in the first quarter of 2005 to</w:t>
      </w:r>
    </w:p>
    <w:p>
      <w:pPr>
        <w:spacing w:after="0" w:line="35" w:lineRule="exact"/>
        <w:rPr>
          <w:sz w:val="20"/>
          <w:szCs w:val="20"/>
          <w:color w:val="auto"/>
        </w:rPr>
      </w:pPr>
    </w:p>
    <w:p>
      <w:pPr>
        <w:ind w:left="260"/>
        <w:spacing w:after="0" w:line="268" w:lineRule="auto"/>
        <w:rPr>
          <w:sz w:val="20"/>
          <w:szCs w:val="20"/>
          <w:color w:val="auto"/>
        </w:rPr>
      </w:pPr>
      <w:r>
        <w:rPr>
          <w:rFonts w:ascii="Arial" w:cs="Arial" w:eastAsia="Arial" w:hAnsi="Arial"/>
          <w:sz w:val="17"/>
          <w:szCs w:val="17"/>
          <w:color w:val="auto"/>
        </w:rPr>
        <w:t>$71.0 million and $72.7 million in the second and third quarters, respectively. This unanticipated increase in orders caused us to reassess our forecast of 2005 income. We currently expect 2005 income to be significantly in excess of the 2005 income used to estimate the valuation allowance at December 31, 2004. In accordance with Statement 109 we reduced the valuation allowance required at June 25, 2005 and September 24, 2005 resulting in a reduction of our 2005 effective tax rate in the second and third quarters of 2005. Statement No. 109 requires that the effect of this reduction in the valuation allowance be recorded by adjusting the effective tax rate used to estimate the tax provision recorded in subsequent interim periods of 2005. During the quarter and nine-months ended September 24, 2005, the valuation allowance was reduced by approximately $1.6 million and $3.3 million, respectively, as a result of the increase in our forecasted 2005 income. We may be required to adjust the allowance further in the fourth quarter of 2005 if, based on estimates of future income, we conclude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8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134" w:lineRule="exact"/>
        <w:rPr>
          <w:rFonts w:ascii="Arial" w:cs="Arial" w:eastAsia="Arial" w:hAnsi="Arial"/>
          <w:sz w:val="18"/>
          <w:szCs w:val="18"/>
          <w:b w:val="1"/>
          <w:bCs w:val="1"/>
          <w:color w:val="auto"/>
        </w:rPr>
      </w:pPr>
    </w:p>
    <w:p>
      <w:pPr>
        <w:ind w:left="260" w:right="2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May 6, 2005, we purchased certain assets of KryoTech, Inc. (“KryoTech”). The results of KryoTech’s operations have been included in the consolidated financial statements since that date. KryoTech, based in West Columbia, South Carolina, designed, developed manufactured and marketed advanced thermal solutions for electronic systems and products, including semiconductor equipment. Consummation of the acquisition terminated our joint development project with KryoTech, and eliminated all minimum purchase obligations.</w:t>
      </w:r>
    </w:p>
    <w:p>
      <w:pPr>
        <w:spacing w:after="0" w:line="76" w:lineRule="exact"/>
        <w:rPr>
          <w:rFonts w:ascii="Arial" w:cs="Arial" w:eastAsia="Arial" w:hAnsi="Arial"/>
          <w:sz w:val="18"/>
          <w:szCs w:val="18"/>
          <w:b w:val="1"/>
          <w:bCs w:val="1"/>
          <w:color w:val="auto"/>
        </w:rPr>
      </w:pPr>
    </w:p>
    <w:p>
      <w:pPr>
        <w:ind w:left="2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The purchase price of this acquisition was approximately $3.6 million, and was funded primarily by our cash reserves ($2.9 million). The purchase price also included the payment of the outstanding principal balance and accrued interest on a promissory note with KryoTech ($0.5 million), other acquisition costs ($0.2 million) and certain KryoTech liabilities assumed ($0.5 million). The total cost of the acquisition was allocated to the assets acquired and liabilities assumed based on their respective fair values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All assets are expected to be fully deductible for tax purposes. The goodwill was assigned to our semiconductor equipment segment.</w:t>
      </w:r>
    </w:p>
    <w:p>
      <w:pPr>
        <w:spacing w:after="0" w:line="77"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allocation of purchase price to the acquired assets and assumed liabilities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320" w:type="dxa"/>
            <w:vAlign w:val="bottom"/>
            <w:shd w:val="clear" w:color="auto" w:fill="CCEEFF"/>
          </w:tcPr>
          <w:p>
            <w:pPr>
              <w:spacing w:after="0"/>
              <w:rPr>
                <w:sz w:val="18"/>
                <w:szCs w:val="18"/>
                <w:color w:val="auto"/>
              </w:rPr>
            </w:pPr>
          </w:p>
        </w:tc>
      </w:tr>
      <w:tr>
        <w:trPr>
          <w:trHeight w:val="216"/>
        </w:trPr>
        <w:tc>
          <w:tcPr>
            <w:tcW w:w="1034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r>
      <w:tr>
        <w:trPr>
          <w:trHeight w:val="216"/>
        </w:trPr>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r>
      <w:tr>
        <w:trPr>
          <w:trHeight w:val="216"/>
        </w:trPr>
        <w:tc>
          <w:tcPr>
            <w:tcW w:w="10340" w:type="dxa"/>
            <w:vAlign w:val="bottom"/>
          </w:tcPr>
          <w:p>
            <w:pPr>
              <w:ind w:left="220"/>
              <w:spacing w:after="0"/>
              <w:rPr>
                <w:sz w:val="20"/>
                <w:szCs w:val="20"/>
                <w:color w:val="auto"/>
              </w:rPr>
            </w:pPr>
            <w:r>
              <w:rPr>
                <w:rFonts w:ascii="Arial" w:cs="Arial" w:eastAsia="Arial" w:hAnsi="Arial"/>
                <w:sz w:val="18"/>
                <w:szCs w:val="18"/>
                <w:color w:val="auto"/>
              </w:rPr>
              <w:t>Backlog</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r>
      <w:tr>
        <w:trPr>
          <w:trHeight w:val="216"/>
        </w:trPr>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CEEFF"/>
          </w:tcPr>
          <w:p>
            <w:pPr>
              <w:spacing w:after="0"/>
              <w:rPr>
                <w:sz w:val="18"/>
                <w:szCs w:val="18"/>
                <w:color w:val="auto"/>
              </w:rPr>
            </w:pPr>
          </w:p>
        </w:tc>
      </w:tr>
      <w:tr>
        <w:trPr>
          <w:trHeight w:val="223"/>
        </w:trPr>
        <w:tc>
          <w:tcPr>
            <w:tcW w:w="1034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assumed</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r>
      <w:tr>
        <w:trPr>
          <w:trHeight w:val="223"/>
        </w:trPr>
        <w:tc>
          <w:tcPr>
            <w:tcW w:w="10340" w:type="dxa"/>
            <w:vAlign w:val="bottom"/>
          </w:tcPr>
          <w:p>
            <w:pPr>
              <w:ind w:left="420"/>
              <w:spacing w:after="0"/>
              <w:rPr>
                <w:sz w:val="20"/>
                <w:szCs w:val="20"/>
                <w:color w:val="auto"/>
              </w:rPr>
            </w:pPr>
            <w:r>
              <w:rPr>
                <w:rFonts w:ascii="Arial" w:cs="Arial" w:eastAsia="Arial" w:hAnsi="Arial"/>
                <w:sz w:val="18"/>
                <w:szCs w:val="18"/>
                <w:color w:val="auto"/>
              </w:rPr>
              <w:t>Net assets acquired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10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right="420"/>
        <w:spacing w:after="0" w:line="264"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Amortization expense in the three and nine-month periods ended September 24, 2005 was approximately $162,000 and $272,000, respectively. Pro forma results of operations have not been presented because the effect of the acquisition was not material.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24, 2005</w:t>
      </w:r>
    </w:p>
    <w:p>
      <w:pPr>
        <w:spacing w:after="0" w:line="9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134" w:lineRule="exact"/>
        <w:rPr>
          <w:rFonts w:ascii="Arial" w:cs="Arial" w:eastAsia="Arial" w:hAnsi="Arial"/>
          <w:sz w:val="18"/>
          <w:szCs w:val="18"/>
          <w:b w:val="1"/>
          <w:bCs w:val="1"/>
          <w:color w:val="auto"/>
        </w:rPr>
      </w:pPr>
    </w:p>
    <w:p>
      <w:pPr>
        <w:ind w:left="2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June 2001, the FASB issued Statement No. 142</w:t>
      </w:r>
      <w:r>
        <w:rPr>
          <w:rFonts w:ascii="Arial" w:cs="Arial" w:eastAsia="Arial" w:hAnsi="Arial"/>
          <w:sz w:val="17"/>
          <w:szCs w:val="17"/>
          <w:i w:val="1"/>
          <w:iCs w:val="1"/>
          <w:color w:val="auto"/>
        </w:rPr>
        <w:t>, Goodwill and Other Intangible Assets</w:t>
      </w:r>
      <w:r>
        <w:rPr>
          <w:rFonts w:ascii="Arial" w:cs="Arial" w:eastAsia="Arial" w:hAnsi="Arial"/>
          <w:sz w:val="17"/>
          <w:szCs w:val="17"/>
          <w:color w:val="auto"/>
        </w:rPr>
        <w:t>, (“Statement No. 142”).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September 24, 2005, we had goodwill of $9.6 million resulting from acquisitions completed in July, 2001 and May, 2005.</w:t>
      </w:r>
    </w:p>
    <w:p>
      <w:pPr>
        <w:spacing w:after="0" w:line="77" w:lineRule="exact"/>
        <w:rPr>
          <w:rFonts w:ascii="Arial" w:cs="Arial" w:eastAsia="Arial" w:hAnsi="Arial"/>
          <w:sz w:val="18"/>
          <w:szCs w:val="18"/>
          <w:b w:val="1"/>
          <w:bCs w:val="1"/>
          <w:color w:val="auto"/>
        </w:rPr>
      </w:pPr>
    </w:p>
    <w:p>
      <w:pPr>
        <w:ind w:left="2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performed the required annual goodwill impairment test as of October 1, 2005, and did not recognize any goodwill impairment as a result of performing this annual test. A future decline in the fair value of our semiconductor equipment business may indicate goodwill impairment which could result in a charge to our future operating results.</w:t>
      </w:r>
    </w:p>
    <w:p>
      <w:pPr>
        <w:spacing w:after="0" w:line="86" w:lineRule="exact"/>
        <w:rPr>
          <w:rFonts w:ascii="Arial" w:cs="Arial" w:eastAsia="Arial" w:hAnsi="Arial"/>
          <w:sz w:val="18"/>
          <w:szCs w:val="18"/>
          <w:b w:val="1"/>
          <w:bCs w:val="1"/>
          <w:color w:val="auto"/>
        </w:rPr>
      </w:pPr>
    </w:p>
    <w:p>
      <w:pPr>
        <w:ind w:left="2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fourth quarter of 2002, we entered into a $1.7 million license agreement for certain intellectual property and know-how with LiveTools Technology SA. We are amortizing the licensed intangible assets to expense over the three-year exclusive license period. Accumulated amortization at September 24, 2005 and December 31, 2004, was approximately $1.6 million and $1.2 million, respectively. Amortization expense was $138,000 and $412,000 in the three and nine-month periods ended September 24, 2005 and September 30, 2004, respectively. The estimated remaining amortization expense in 2005 is $46,000.</w:t>
      </w:r>
    </w:p>
    <w:p>
      <w:pPr>
        <w:spacing w:after="0" w:line="89" w:lineRule="exact"/>
        <w:rPr>
          <w:rFonts w:ascii="Arial" w:cs="Arial" w:eastAsia="Arial" w:hAnsi="Arial"/>
          <w:sz w:val="18"/>
          <w:szCs w:val="18"/>
          <w:b w:val="1"/>
          <w:bCs w:val="1"/>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134" w:lineRule="exact"/>
        <w:rPr>
          <w:rFonts w:ascii="Arial" w:cs="Arial" w:eastAsia="Arial" w:hAnsi="Arial"/>
          <w:sz w:val="18"/>
          <w:szCs w:val="18"/>
          <w:b w:val="1"/>
          <w:bCs w:val="1"/>
          <w:color w:val="auto"/>
        </w:rPr>
      </w:pPr>
    </w:p>
    <w:p>
      <w:pPr>
        <w:ind w:left="2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April 10, 2003 we announced that our Delta Design, Inc. subsidiary was relocating its Littleton, Massachusetts operation to its headquarters facility in Poway, California. The consolidation, which resulted in the termination of approximately 50 of the 65 employees, was substantially completed in March, 2004. For the three and nine-month periods ended September 24, 2005, we recorded charges to operations totaling $13,000 for severance and one-time termination benefits. These charges are included in cost of sales ($6,000), research and development ($3,000) and selling, general and administrative expense ($4,000). For the three-month period ended September 30, 2004, we recorded charges to operations totaling $1,000 for severance and one-time termination benefits. These charges are included in cost of sales. For the nine-month period ended September 30, 2004, we recorded charges to operations totaling $194,000 for severance and one-time termination benefits. These charges are included in cost of sales ($59,000), research and development ($61,000) and selling, general and administrative expense ($74,000). Cumulative charges to operations for severance and other exit costs for the period April 10, 2003 to September 24, 2005 were $1,075,000.</w:t>
      </w:r>
    </w:p>
    <w:p>
      <w:pPr>
        <w:spacing w:after="0" w:line="87" w:lineRule="exact"/>
        <w:rPr>
          <w:rFonts w:ascii="Arial" w:cs="Arial" w:eastAsia="Arial" w:hAnsi="Arial"/>
          <w:sz w:val="18"/>
          <w:szCs w:val="18"/>
          <w:b w:val="1"/>
          <w:bCs w:val="1"/>
          <w:color w:val="auto"/>
        </w:rPr>
      </w:pPr>
    </w:p>
    <w:p>
      <w:pPr>
        <w:ind w:left="2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currently attempting to sell our Littleton manufacturing facility, which we believe has a current fair value in excess of the $3.3 million carrying value at September 24, 2005.</w:t>
      </w:r>
    </w:p>
    <w:p>
      <w:pPr>
        <w:spacing w:after="0" w:line="7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consolidation plan.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Nine-months ended September 24, 2005</w:t>
            </w:r>
          </w:p>
        </w:tc>
        <w:tc>
          <w:tcPr>
            <w:tcW w:w="60" w:type="dxa"/>
            <w:vAlign w:val="bottom"/>
          </w:tcPr>
          <w:p>
            <w:pPr>
              <w:spacing w:after="0"/>
              <w:rPr>
                <w:sz w:val="14"/>
                <w:szCs w:val="14"/>
                <w:color w:val="auto"/>
              </w:rPr>
            </w:pPr>
          </w:p>
        </w:tc>
        <w:tc>
          <w:tcPr>
            <w:tcW w:w="17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1"/>
              </w:rPr>
              <w:t>Severance and</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exit</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5"/>
                <w:szCs w:val="15"/>
                <w:color w:val="auto"/>
              </w:rPr>
            </w:pPr>
          </w:p>
        </w:tc>
        <w:tc>
          <w:tcPr>
            <w:tcW w:w="17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other payroll</w:t>
            </w:r>
          </w:p>
        </w:tc>
        <w:tc>
          <w:tcPr>
            <w:tcW w:w="12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8"/>
        </w:trPr>
        <w:tc>
          <w:tcPr>
            <w:tcW w:w="7200" w:type="dxa"/>
            <w:vAlign w:val="bottom"/>
            <w:gridSpan w:val="2"/>
          </w:tcPr>
          <w:p>
            <w:pPr>
              <w:spacing w:after="0"/>
              <w:rPr>
                <w:sz w:val="20"/>
                <w:szCs w:val="20"/>
                <w:color w:val="auto"/>
              </w:rPr>
            </w:pPr>
            <w:r>
              <w:rPr>
                <w:rFonts w:ascii="Arial" w:cs="Arial" w:eastAsia="Arial" w:hAnsi="Arial"/>
                <w:sz w:val="18"/>
                <w:szCs w:val="18"/>
                <w:color w:val="auto"/>
              </w:rPr>
              <w:t>Liability at March 26, 2005</w:t>
            </w: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260</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380"/>
              <w:spacing w:after="0"/>
              <w:rPr>
                <w:sz w:val="20"/>
                <w:szCs w:val="20"/>
                <w:color w:val="auto"/>
              </w:rPr>
            </w:pPr>
            <w:r>
              <w:rPr>
                <w:rFonts w:ascii="Arial" w:cs="Arial" w:eastAsia="Arial" w:hAnsi="Arial"/>
                <w:sz w:val="11"/>
                <w:szCs w:val="11"/>
                <w:b w:val="1"/>
                <w:bCs w:val="1"/>
                <w:color w:val="auto"/>
                <w:w w:val="72"/>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Liability at June 25, 2005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260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Liability at September 24, 2005</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273</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b w:val="1"/>
                <w:bCs w:val="1"/>
                <w:color w:val="auto"/>
                <w:w w:val="72"/>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Nine-months ended September 30, 2004</w:t>
            </w:r>
          </w:p>
        </w:tc>
        <w:tc>
          <w:tcPr>
            <w:tcW w:w="18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1"/>
              </w:rPr>
              <w:t>Severance and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Other exit</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5"/>
                <w:szCs w:val="15"/>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other payroll</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2004</w:t>
            </w:r>
          </w:p>
        </w:tc>
        <w:tc>
          <w:tcPr>
            <w:tcW w:w="380" w:type="dxa"/>
            <w:vAlign w:val="bottom"/>
            <w:tcBorders>
              <w:top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Liability at March 31, 2004</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7"/>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Liability at June 30, 2004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Liability at September 30, 2004</w:t>
            </w:r>
          </w:p>
        </w:tc>
        <w:tc>
          <w:tcPr>
            <w:tcW w:w="380" w:type="dxa"/>
            <w:vAlign w:val="bottom"/>
            <w:tcBorders>
              <w:top w:val="single" w:sz="8" w:color="auto"/>
              <w:bottom w:val="single" w:sz="8" w:color="auto"/>
            </w:tcBorders>
            <w:gridSpan w:val="2"/>
          </w:tcPr>
          <w:p>
            <w:pPr>
              <w:jc w:val="right"/>
              <w:ind w:right="20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7"/>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134"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13, 2003, we extended the term of a $9.2 million promissory note with TC Kearny Villa, L.P. (“TC”). The 8% non-recourse note was secured by a deed of trust on land and buildings in San Diego, California sold by Cohu to TC in April, 2001. In February, 2004, we entered into an agreement with TC whereby we released our beneficial interest in the property securing the note receivable in exchange for full payment of the note and $272,000 of accrued interest. We received net cash proceeds from TC totaling $9,250,000 on February 19, 2004. The interest received was recorded as income in the first fiscal quarter of 2004.</w:t>
      </w:r>
    </w:p>
    <w:p>
      <w:pPr>
        <w:spacing w:after="0" w:line="89" w:lineRule="exact"/>
        <w:rPr>
          <w:rFonts w:ascii="Arial" w:cs="Arial" w:eastAsia="Arial" w:hAnsi="Arial"/>
          <w:sz w:val="18"/>
          <w:szCs w:val="18"/>
          <w:b w:val="1"/>
          <w:bCs w:val="1"/>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Three-months ended</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ind w:left="480"/>
              <w:spacing w:after="0"/>
              <w:rPr>
                <w:sz w:val="20"/>
                <w:szCs w:val="20"/>
                <w:color w:val="auto"/>
              </w:rPr>
            </w:pPr>
            <w:r>
              <w:rPr>
                <w:rFonts w:ascii="Arial" w:cs="Arial" w:eastAsia="Arial" w:hAnsi="Arial"/>
                <w:sz w:val="14"/>
                <w:szCs w:val="14"/>
                <w:b w:val="1"/>
                <w:bCs w:val="1"/>
                <w:color w:val="auto"/>
                <w:w w:val="93"/>
              </w:rPr>
              <w:t>Nine-months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0" w:type="dxa"/>
            <w:vAlign w:val="bottom"/>
            <w:gridSpan w:val="4"/>
          </w:tcPr>
          <w:p>
            <w:pPr>
              <w:ind w:left="940"/>
              <w:spacing w:after="0" w:line="149" w:lineRule="exact"/>
              <w:rPr>
                <w:sz w:val="20"/>
                <w:szCs w:val="20"/>
                <w:color w:val="auto"/>
              </w:rPr>
            </w:pPr>
            <w:r>
              <w:rPr>
                <w:rFonts w:ascii="Arial" w:cs="Arial" w:eastAsia="Arial" w:hAnsi="Arial"/>
                <w:sz w:val="14"/>
                <w:szCs w:val="14"/>
                <w:b w:val="1"/>
                <w:bCs w:val="1"/>
                <w:color w:val="auto"/>
              </w:rPr>
              <w:t>September 24,</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September 24,</w:t>
            </w:r>
          </w:p>
        </w:tc>
        <w:tc>
          <w:tcPr>
            <w:tcW w:w="14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9,562</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5,202</w:t>
            </w:r>
          </w:p>
        </w:tc>
        <w:tc>
          <w:tcPr>
            <w:tcW w:w="5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21,684</w:t>
            </w:r>
          </w:p>
        </w:tc>
        <w:tc>
          <w:tcPr>
            <w:tcW w:w="62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Change in unrealized gain (loss) on investments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9,522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5,194</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21,614</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Accumulated other comprehensive loss totaled $230,000 and $160,000 at September 24, 2005 and December 31, 2004, respectively, and was attributed to after-tax unrealized losses and gains on investments.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9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34" w:lineRule="exact"/>
        <w:rPr>
          <w:rFonts w:ascii="Arial" w:cs="Arial" w:eastAsia="Arial" w:hAnsi="Arial"/>
          <w:sz w:val="18"/>
          <w:szCs w:val="18"/>
          <w:b w:val="1"/>
          <w:bCs w:val="1"/>
          <w:color w:val="auto"/>
        </w:rPr>
      </w:pPr>
    </w:p>
    <w:p>
      <w:pPr>
        <w:ind w:left="34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our significant accounts and balances by segment, reconciled to consolidated totals. Intersegment sales were not significant in any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Three-months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9"/>
          </w:tcPr>
          <w:p>
            <w:pPr>
              <w:jc w:val="right"/>
              <w:ind w:right="132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1"/>
              </w:rPr>
              <w:t>September 24,</w:t>
            </w:r>
          </w:p>
        </w:tc>
        <w:tc>
          <w:tcPr>
            <w:tcW w:w="12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September 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8"/>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59,695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47,346</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138,548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115,362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3,840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1,787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5,806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3,288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8,088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600"/>
              <w:spacing w:after="0"/>
              <w:rPr>
                <w:sz w:val="20"/>
                <w:szCs w:val="20"/>
                <w:color w:val="auto"/>
              </w:rPr>
            </w:pPr>
            <w:r>
              <w:rPr>
                <w:rFonts w:ascii="Arial" w:cs="Arial" w:eastAsia="Arial" w:hAnsi="Arial"/>
                <w:sz w:val="18"/>
                <w:szCs w:val="18"/>
                <w:color w:val="auto"/>
                <w:w w:val="94"/>
              </w:rPr>
              <w:t>Total consolidated net sales and net sales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vMerge w:val="continue"/>
          </w:tcPr>
          <w:p>
            <w:pPr>
              <w:spacing w:after="0"/>
              <w:rPr>
                <w:sz w:val="18"/>
                <w:szCs w:val="18"/>
                <w:color w:val="auto"/>
              </w:rPr>
            </w:pPr>
          </w:p>
        </w:tc>
        <w:tc>
          <w:tcPr>
            <w:tcW w:w="26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gridSpan w:val="2"/>
            <w:vMerge w:val="restart"/>
          </w:tcPr>
          <w:p>
            <w:pPr>
              <w:jc w:val="right"/>
              <w:ind w:right="740"/>
              <w:spacing w:after="0"/>
              <w:rPr>
                <w:sz w:val="20"/>
                <w:szCs w:val="20"/>
                <w:color w:val="auto"/>
              </w:rPr>
            </w:pPr>
            <w:r>
              <w:rPr>
                <w:rFonts w:ascii="Arial" w:cs="Arial" w:eastAsia="Arial" w:hAnsi="Arial"/>
                <w:sz w:val="18"/>
                <w:szCs w:val="18"/>
                <w:b w:val="1"/>
                <w:bCs w:val="1"/>
                <w:color w:val="auto"/>
              </w:rPr>
              <w:t>68,610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rPr>
              <w:t>164,771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800"/>
              <w:spacing w:after="0"/>
              <w:rPr>
                <w:sz w:val="20"/>
                <w:szCs w:val="20"/>
                <w:color w:val="auto"/>
              </w:rPr>
            </w:pPr>
            <w:r>
              <w:rPr>
                <w:rFonts w:ascii="Arial" w:cs="Arial" w:eastAsia="Arial" w:hAnsi="Arial"/>
                <w:sz w:val="18"/>
                <w:szCs w:val="18"/>
                <w:color w:val="auto"/>
              </w:rPr>
              <w:t>for reportable segments</w:t>
            </w:r>
          </w:p>
        </w:tc>
        <w:tc>
          <w:tcPr>
            <w:tcW w:w="2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54,869</w:t>
            </w:r>
          </w:p>
        </w:tc>
        <w:tc>
          <w:tcPr>
            <w:tcW w:w="560" w:type="dxa"/>
            <w:vAlign w:val="bottom"/>
            <w:gridSpan w:val="2"/>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138,145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11,419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6,755</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22,818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18,454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(430)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Profit for reportable segments</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10,715</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20,791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(818)</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(2,352)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965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10,862</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20,984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24, 2005</w:t>
            </w:r>
          </w:p>
        </w:tc>
        <w:tc>
          <w:tcPr>
            <w:tcW w:w="120" w:type="dxa"/>
            <w:vAlign w:val="bottom"/>
          </w:tcPr>
          <w:p>
            <w:pPr>
              <w:spacing w:after="0"/>
              <w:rPr>
                <w:sz w:val="24"/>
                <w:szCs w:val="2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December 31,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120,948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93,489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4,677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Total assets for reportable segments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145,554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118,392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Corporate, principally cash and investments and deferred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144,355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132,376</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289,909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250,768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34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in various legal proceedings, lawsuits and claims that have arisen in the ordinary course of our businesses. Although the outcome of these legal proceedings and claims cannot be predicted with certainty, we do not believe any of these matters will have a material adverse effect on our financial position or results of our operations.</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Our products are generally sold with a 12-month to 24-month warranty period following sale or installation. Parts and labor are covered under the terms of the warranty agreement. Warranty provisions are based on historical experience by product and configuration.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accrued warranty during the three and nine-month periods ended September 24, 2005 and September 30, 2004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Three-months ended</w:t>
            </w:r>
          </w:p>
        </w:tc>
        <w:tc>
          <w:tcPr>
            <w:tcW w:w="5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 ended</w:t>
            </w:r>
          </w:p>
        </w:tc>
        <w:tc>
          <w:tcPr>
            <w:tcW w:w="5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3,927</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4,062</w:t>
            </w:r>
          </w:p>
        </w:tc>
        <w:tc>
          <w:tcPr>
            <w:tcW w:w="5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4,209</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18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2,737</w:t>
            </w: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1,693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4,844</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(2,052)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(4,902)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18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461</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4,612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4,612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September 24, 2005, the maximum potential amount of future payments that we could be required to make under these standby letters of credit is approximately $2.6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9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34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October 18, 2005, the Cohu Board of Directors declared a $0.06 per share cash dividend payable January 6, 2006 to stockholders of record on December 2,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below under the caption “Trends, Risks and Uncertainties” beginning on page 24.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Quarterly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business activity involves the development, manufacture, marketing, sale and servicing of test handling equipment for the global semiconductor industry. The sales of our products and services are dependent, to a large degree, on customers in industries which are subject to cyclical trends in the demand for their products. Shifts in the semiconductor market, electronics and computer industries and telecommunications markets, as well as rapidly shifting global economic conditions, have had and will have significant impacts on our businesses. During the three-year period ended December 31, 2003, the semiconductor equipment industry experienced a severe business downturn. Our net sales during this period declined more than 50% from our record year in 2000. This decrease in revenue was generally comparable to most other companies in the semiconductor equipment industry, particularly the “back-end” semiconductor equipment companies that would be considered the closest to us in terms of business cycles.</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first six months of 2004, our semiconductor equipment business, as well as the semiconductor equipment industry generally,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in the second half of 2004 and business conditions in the semiconductor equipment industry appeared to have weakened. In the nine-months ended September 24, 2005, our semiconductor equipment business has seen a significant increase in order bookings that accounted for Cohu’s order growth from $46.1 million in the fourth quarter of 2004 to $72.7 million in the third quarter of 2005 and our sales in each of the first three quarters of 2005 increased from the fourth quarter of 2004. Our operating results also improved during the first three quarters of 2005 in part due to continued favorable product mix with our advanced thermal systems accounting for a significant portion of our semiconductor equipment revenue.</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operating results in the last three years have been negatively impacted by charges to cost of sales related to excess, obsolete and lower of cost or market inventory issues. These charges totaled approximately $14.4 million during the three-year period ended December 31, 2004 (approximately $5.8 million for the year ended December 31, 2004) and $4.6 million for the nine-months ended September 24, 2005 and were primarily the result of changes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recent years, has also negatively impacted our gross margins on certain products, and we believe it is likely these conditions will continue for the foreseeable future.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other operating costs consist of research and development (“R&amp;D”) and selling, general and administrative expenses (“SG&amp;A”). Both R&amp;D and SG&amp;A expense increased in 2004 and the first nine-months of 2005, due to increased business volume and investment in development programs.</w:t>
      </w:r>
    </w:p>
    <w:p>
      <w:pPr>
        <w:spacing w:after="0" w:line="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non-semiconductor equipment businesses, in total, have comprised approximately 20% of our revenues during the last three years. During the first nine-months of 2005 these business had a combined pretax loss of approximately $2.0 million. The results of our microwave communications business were negatively impacted by revenue deferrals primarily associated with a contract with the United Arab Emirates.</w:t>
      </w: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financial condition is strong with significant cash and short-term investments and no long-term debt. During the three-year period ended December 31, 2004, we generated $19.6 million of net cash from operating activities and total cash and investments have increased from $111.7 million at September 30, 2002 to $122.4 million at September 24, 2005.</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uses several performance metrics to manage our various businesses. These metrics, which tend to focus on near-term forecasts due to the limited order backlog in our businesses, include:</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order bookings and backlog for the most recently completed quarter and our forecast for the next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inventory levels and related excess exposures typically based on the next twelve month’s forecast;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gross margin and other operating expense trends;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industry data and trends noted in various publicly released sources.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the short-term nature of our order backlog, historically representing about three months of business, and the inherent volatility of the semiconductor equipment business, our past performance is frequently not indicative of future operating results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our Annual Report on Form 10-K for the year ended December 31, 2004 filed with the Securities and Exchange Commission, affect the significant judgments and estimates used in the preparation of our consolidated financial statements.</w:t>
      </w:r>
    </w:p>
    <w:p>
      <w:pPr>
        <w:spacing w:after="0" w:line="5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Revenue is recorded net of estimated prompt payment discounts, which are recognized as a reduction of revenue at the time of sale.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 resulting in an impairment of their ability to make payments, additional allowances may be required.</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46"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income taxes based on the various jurisdictions where we conduct business. This requires us to estimate our current tax exposure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December 31, 2004 was $22.4 million which was reduced by a valuation allowance of $6.9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 In each of three quarters of 2005 we reassessed the assumptions used to calculate the valuation allowance at December 31,</w:t>
      </w:r>
    </w:p>
    <w:p>
      <w:pPr>
        <w:spacing w:after="0" w:line="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2004. In the quarters ended June 25, 2005 and September 24, 2005 we reduced the valuation allowance as a result of a significant increase in forecasted 2005 income. We may be required to adjust the allowance further in future periods, if, based on estimates of future income, we conclude that all or a portion of the valuation allowance is no longer warranted.</w:t>
      </w:r>
    </w:p>
    <w:p>
      <w:pPr>
        <w:spacing w:after="0" w:line="82"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September 24, 2005, intangible assets, other than goodwill, were evaluated for impairment using undiscounted cash flows expected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result 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we concluded there was no impairment loss. We are required to assess goodwill impairment using the methodology prescribed by Statement No. 142. Statement No. 142 requires that goodwill be tested for impairment on an annual basis, and more frequently in certain circumstances. The required annual goodwill impairment test is performed as of October 1 of each year. We did not recognize any goodwill impairment as a result of performing this annual test in 2004 or 2005.</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we assess the likelihood that future events will confirm the existence of a loss or an impairment of an asset. If a loss 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probable, as defined in Statement No. 5 and the amount of the loss or impairment is reasonably estimable, we accrue a charge to operations in the period such conditions become known.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May 2005, the FASB issued Statement No. 154,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Changes and Error Corrections,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 154”). This statement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FASB Statement No. 3, </w:t>
      </w:r>
      <w:r>
        <w:rPr>
          <w:rFonts w:ascii="Arial" w:cs="Arial" w:eastAsia="Arial" w:hAnsi="Arial"/>
          <w:sz w:val="17"/>
          <w:szCs w:val="17"/>
          <w:i w:val="1"/>
          <w:iCs w:val="1"/>
          <w:color w:val="auto"/>
        </w:rPr>
        <w:t>Reporting Accounting Changes in Interim</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w:t>
      </w:r>
      <w:r>
        <w:rPr>
          <w:rFonts w:ascii="Arial" w:cs="Arial" w:eastAsia="Arial" w:hAnsi="Arial"/>
          <w:sz w:val="17"/>
          <w:szCs w:val="17"/>
          <w:color w:val="auto"/>
        </w:rPr>
        <w:t>, and changes the requirements for the accounting for and reporting of a change in accounting principle. Statement No. 154 is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for accounting changes and corrections of errors made in fiscal years beginning after December 15, 2005.</w:t>
      </w:r>
    </w:p>
    <w:p>
      <w:pPr>
        <w:spacing w:after="0" w:line="6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December, 2004, the FASB issued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 the beginning of the next fiscal year that begins on or after June 15, 2005. As a result of the amendment, we intend to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expect that our adoption of Statement No. 123R will result in an impact to our operating results that is similar to our current pro forma disclosures under Statement No. 123.</w:t>
      </w:r>
    </w:p>
    <w:p>
      <w:pPr>
        <w:spacing w:after="0" w:line="5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(“Statement No. 151”), which is the result of efforts to converge U.S. accounting standards for inventories with International Accounting Standards. Statement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plan to adopt Statement No. 151 on January 1, 2006. We are currently evaluating the impact of Statement No. 151; however, we do not believe it will have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certain operating data as a percentage of net sales for the three and nine-month periods ended September 24, 2005 and September 30, 2004.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40" w:type="dxa"/>
            <w:vAlign w:val="bottom"/>
            <w:gridSpan w:val="4"/>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100.0%</w:t>
            </w:r>
          </w:p>
        </w:tc>
        <w:tc>
          <w:tcPr>
            <w:tcW w:w="236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100.0%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w:t>
            </w:r>
          </w:p>
        </w:tc>
        <w:tc>
          <w:tcPr>
            <w:tcW w:w="1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1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40" w:type="dxa"/>
            <w:vAlign w:val="bottom"/>
            <w:gridSpan w:val="4"/>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39.6</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2360" w:type="dxa"/>
            <w:vAlign w:val="bottom"/>
            <w:gridSpan w:val="4"/>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rPr>
              <w:t>39.7</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324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11.1</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p>
        </w:tc>
        <w:tc>
          <w:tcPr>
            <w:tcW w:w="236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13.0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700" w:type="dxa"/>
            <w:vAlign w:val="bottom"/>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700" w:type="dxa"/>
            <w:vAlign w:val="bottom"/>
            <w:gridSpan w:val="2"/>
          </w:tcPr>
          <w:p>
            <w:pPr>
              <w:spacing w:after="0"/>
              <w:rPr>
                <w:sz w:val="19"/>
                <w:szCs w:val="19"/>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14.4%</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w w:val="74"/>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18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24,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2005 Compared to Third Quarter of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net sales increased 25.0% to $68.6 million in 2005, compared to net sales of $54.9 million in 2004. In 2005, sales of semiconductor test handling equipment increased 26.1% from the 2004 period and accounted for 87.0% of consolidated net sales, versus 86.3% in 2004. Sales of television cameras and other equipment accounted for 5.6% of net sales in 2005, decreasing 21.2% when compared to 2004, while the combined sales of metal detection and microwave equipment accounted for 7.4% of net sales in 2005, increasing 91.4% compared to 2004.</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primary reason for the increase in sales of our semiconductor equipment business during the third quarter of 2005, was continued strong customer demand for our advanced thermal semiconductor test handlers and increased demand for our general purpose test handlers. During the third quarter of 2004 the net sales of our semiconductor equipment business benefited from the elimination of a $1.2 million liability for customer sales credits that expired during the period. There were no sales credits eliminated during the third quarter of 2005.</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decrease in sales experienced by our television camera business was primarily attributable to a decline in customer demand for our board level cameras partially offset by an increase in demand for our traffic and security cameras during the third quarter of 2005. The increase in sales of our metal detection business was primarily attributable to sales of our recently introduced portable metal detection equipment and increased demand for our industrial detection products. During the third quarter of 2005 there was an increase in the sales recognized by our microwave communications business. The increase in sales was primarily attributable to an increase in demand for our products from law enforcement agencies and the result of the timing of revenue recognition under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(“SAB No. 104”).</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September 24, 2005, we had total deferred revenue of approximately $28.0 million and deferred profit of $12.9 million. At December 31, 2004, we had total deferred revenue of approximately $22.5 million and deferred profit of $9.7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margin as a percentage of net sales increased to 39.6% in 2005 from 37.1% in 2004 as a result of higher margins in our semiconductor equipment business for the third quarter of 2005. Within the semiconductor equipment segment, margins increased during the third quarter of 2005, primarily as a result of increased business volume and changes in product mix. In 2003, we recorded a charge to cost of sales of approximately $1.7 million as a result of inventory market valuation write downs. In the third quarter of 2004, we sold certain of this inventory and our gross margin was favorably impacted by approximately $150,000. There were no sales of reserved equipment recognized in the third quarter of 2005.</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compute the majority of our excess and obsolete inventory reserve requirements using a one-year inventory usage forecast. During the third quarters of 2005 and 2004, we recorded charges to cost of sales of approximately $2.3 million, for excess and obsolete inventory. While we believe our reserves for excess and obsolete inventory are adequate to cover our exposures at September 24, 2005, reductions in customer forecasts or continued modifications to products, including our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may require additional charges to operations that could negatively impact our gross margin in future periods. Conversely, if our actual inventory usage is greater than our forecasted usage, our gross margin may be favorably impacted in future periods.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decreased to 11.1% in 2005, from 13.1% in 2004, increasing in absolute dollars from $7.2 million in 2004 to</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$7.6 million in 2005. The increase in R&amp;D was primarily the result of higher R&amp;D labor and material costs for product development in the semiconductor equipment and microwave communications businesses.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SG&amp;A expense as a percentage of net sales increased to 14.1% in 2005, from 14.0% in 2004, increasing from $7.7 million in 2004 to $9.7 million in 2005. The increase in SG&amp;A expense was primarily related to an overall increase in business volume including increases in sales commissions, bad debt expense and incentive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income was approximately $1.0 million and $0.4 million in 2005 and 2004, respectively. The increase in interest income resulted from an increase in our average cash and cash equivalents and investment portfolio and an increase in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provision (benefit) included in the statements of income for the three and nine-months ended September 24, 2005 and September 30, 2004, is based on the estimated annual effective tax rate for the entire year. These estimated effective tax rates are subject to adjustment in subsequent quarterly periods as our estimates of pretax income or loss for the year are increased or decreased. The effective tax rate for the three and nine-months ended September 24, 2005 is less than the U.S. federal statutory rate, in part, due to research and development tax credits, export sales benefits and the recently enacted domestic manufacturing activities deduction.</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accordance with Statement No. 109,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 realizable was determined based on (i) taxable income in prior carry 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evaluating future taxable income for valuation allowance purposes at December 31, 2004 and September 24, 2005, we concluded that it was only appropriate to consider income expected to be generated in 2005. While Cohu has had a long history of profitability, we incurred losses in each of the three years prior to 2004 and were in a three-year cumulative loss position entering 2004. Anticipating income for Cohu beyond 2005 involves substantial uncertainty and a reliable forecast of such income was not possible and, as a result, we believe such income could not be relied upon to support deferred tax assets under the more likely than not realization requirement in Statement No. 109.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business improved significantly in the second and third quarters of 2005 with orders increasing from $44.4 million in the first quarter of 2005 to</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$71.0 million and $72.7 million in the second and third quarters, respectively. This unanticipated increase in orders caused us to reassess our forecast of 2005 income. We currently expect 2005 income to be significantly in excess of the 2005 income used to estimate the valuation allowance at December 31, 2004. In accordance with Statement 109 we reduced the valuation allowance required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June 25, 2005 and September 24, 2005 resulting in a reduction of our 2005 effective tax rate in the second and third quarters of 2005. Statement No. 109 requires that the effect of this reduction in the valuation allowance be recorded by adjusting the effective tax rate used to estimate the tax provision recorded in subsequent interim periods of 2005. During the quarter and nine-months ended September 24, 2005, the valuation allowance was reduced by approximately $1.6 million and $3.3 million, respectively, as a result of the increase in forecasted 2005 income. We may be required to adjust the allowance further in the fourth quarter of 2005, if, based on estimates of future income, we conclude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2003, our Broadcast Microwave Services (BMS)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had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revenue and related costs under this contract in the period the system is accepted by the customer. Through September 24, 2005, we had shipped inventory with a sales value of $8.1 million and deferred costs of approximately $5.9 million resulting in deferred profit of approximately $2.2 million under the contract. In addition, at September 24, 2005, we had inventory to be delivered under the contract of approximately $0.3 million and billed accounts receivable of approximately $0.1 million and unbilled accounts receivable of approximately $3.2 million. We have also provided the customer with a standby letter of credit totaling approximately $2.6 million at September 24, 2005, that may be drawn upon if BMS does not fulfill the terms of the contract. If BMS is unable to successfully complete the installation of the equipment and obtain customer acceptance of the system, the related inventory and receivables may need to be written off, the customer might seek a refund of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$4.8 million in payments made to BMS under the contract and our business, results of operations and financial condition would be materially impacted.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$9.6 million in 2005, compared to net income of $5.2 million in 2004.</w:t>
      </w:r>
    </w:p>
    <w:p>
      <w:pPr>
        <w:spacing w:after="0" w:line="221"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Nine Months Ended September 24, 2005 Compared to Nine Months Ended September 30, 2004 </w:t>
      </w:r>
      <w:r>
        <w:rPr>
          <w:rFonts w:ascii="Arial" w:cs="Arial" w:eastAsia="Arial" w:hAnsi="Arial"/>
          <w:sz w:val="18"/>
          <w:szCs w:val="18"/>
          <w:b w:val="1"/>
          <w:bCs w:val="1"/>
          <w:i w:val="1"/>
          <w:iCs w:val="1"/>
          <w:color w:val="auto"/>
        </w:rPr>
        <w:t>Net Sales</w:t>
      </w:r>
    </w:p>
    <w:p>
      <w:pPr>
        <w:ind w:right="100"/>
        <w:spacing w:after="0" w:line="308" w:lineRule="auto"/>
        <w:rPr>
          <w:sz w:val="20"/>
          <w:szCs w:val="20"/>
          <w:color w:val="auto"/>
        </w:rPr>
      </w:pPr>
      <w:r>
        <w:rPr>
          <w:rFonts w:ascii="Arial" w:cs="Arial" w:eastAsia="Arial" w:hAnsi="Arial"/>
          <w:sz w:val="17"/>
          <w:szCs w:val="17"/>
          <w:color w:val="auto"/>
        </w:rPr>
        <w:t>On February 1, 2005, our Board of Directors approved a change in our fiscal year from December 31, to a 52-53 week fiscal year ending on the last Saturday of December. As a result, the first nine-months of 2005 contained 38 weeks, whereas the first nine-months of 2004 contained 39 weeks.</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net sales increased 19.3% to $164.8 million in 2005, compared to net sales of $138.1 million in 2004. Sales of semiconductor test handling equipment in 2005 increased 20.1% from the 2004 period and accounted for 84.1% of consolidated net sales in 2005 versus 83.5% in 2004. During the nine-months ended September 30, 2004 the net sales of our semiconductor equipment business benefited from the elimination of a liability of $1.2 million for customer sales credits that expired during the third quarter. There were no sales credits eliminated during the nine-months ended September 24, 2005.</w:t>
      </w:r>
    </w:p>
    <w:p>
      <w:pPr>
        <w:spacing w:after="0" w:line="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Sales of television cameras and other equipment accounted for 7.5% of net sales in 2005 and decreased 16.8% when compared to 2004, while the combined sales of metal detection and microwave equipment accounted for 8.4% of net sales in 2005 and increased 74.3% when compared to the comparable period in 2004.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reason for the increase in sales of our semiconductor equipment business, during the first nine-months of 2005, was strong customer demand for our advanced thermal semiconductor test handlers and increased demand for our general purpose test handlers. During the first nine-months of 2004 the net sales of our semiconductor equipment business benefited from the elimination of a $1.2 million liability for customer sales credits that expired during the period. There were no sales credits eliminated during the first nine-months of 2005.</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sales experienced by our television camera business was primarily attributable to a decline in customer demand for our board level cameras partially offset by an increase in demand for our traffic and security cameras during the first nine-months of 2005. The increase in sales of our metal detection business was primarily attributable to sales of our recently introduced portable metal detection equipment and increased demand for our industrial detection products. During the first nine-months of 2005 there was an increase in the sales recognized by our microwave communications business. The increase in sales was primarily attributable to an increase in demand for our products from law enforcement agencies and the result of the timing of revenue recognition under SAB No. 104.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margin as a percentage of net sales decreased to 39.7% in 2005 from 40.7% in 2004, primarily as a result of lower margins in our semiconductor equipment business for the nine-months ended September 24, 2005. Within the semiconductor equipment segment, margins decreased in 2005, primarily as a result of start-up costs associated with the KryoTech acquisition, selling price reductions on certain equipment, and increased overhead costs. We compute the majority of our excess and obsolete inventory reserve requirements using a one-year inventory usage forecast. During 2005 and 2004, we recorded net charges to cost of sales of approximately $4.6 million and $4.5 million, respectively, for excess and obsolete inventory.</w:t>
      </w:r>
    </w:p>
    <w:p>
      <w:pPr>
        <w:spacing w:after="0" w:line="6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2003, we recorded a charge to cost of sales of approximately $1.7 million as a result of inventory market valuation writedowns. In the nine-months ended September 30, 2004, we sold certain of this inventory and our gross margin was favorably impacted by approximately $1.2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was 13.0% in 2005, compared to 14.4% in 2004, increasing in absolute dollars from $19.9 million in 2004 to</w:t>
      </w:r>
    </w:p>
    <w:p>
      <w:pPr>
        <w:spacing w:after="0" w:line="3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$21.4 million in 2005. The increase in R&amp;D was primarily the result of higher R&amp;D labor and material costs for product development in our semiconductor equipment and microwave communication businesses, offset by minor decreases in expenditures in our television camera and metal detection businesses.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as a percentage of net sales decreased to 15.5% in 2005, from 15.8% in 2004, increasing in absolute dollars from $21.8 million in 2004 to</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$25.5 million in 2005. The increase in SG&amp;A expense was primarily related to increased business volume including increases in sales commissions, bad debt expense and incentive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income was approximately $2.5 million and $1.3 million in 2005 and 2004, respectively. The increase in interest income resulted from an increase in our average cash and cash equivalents and investment portfolio and an increase in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expressed as a percentage of pre-tax income was (3.3) % in 2005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10.1% in 2004. The provision for income taxes is based on the estimated effective tax rate for the entire year and in 2005 and 2004 is lower than the U.S. federal statutory rate primarily due to the reduction in the deferred tax asset valuation allowance and the reversal of accrued income taxes related to a tax examination completed in March 2005.</w:t>
      </w:r>
    </w:p>
    <w:p>
      <w:pPr>
        <w:spacing w:after="0" w:line="73" w:lineRule="exact"/>
        <w:rPr>
          <w:sz w:val="20"/>
          <w:szCs w:val="20"/>
          <w:color w:val="auto"/>
        </w:rPr>
      </w:pPr>
    </w:p>
    <w:p>
      <w:pPr>
        <w:ind w:right="1760"/>
        <w:spacing w:after="0" w:line="375" w:lineRule="auto"/>
        <w:rPr>
          <w:sz w:val="20"/>
          <w:szCs w:val="20"/>
          <w:color w:val="auto"/>
        </w:rPr>
      </w:pPr>
      <w:r>
        <w:rPr>
          <w:rFonts w:ascii="Arial" w:cs="Arial" w:eastAsia="Arial" w:hAnsi="Arial"/>
          <w:sz w:val="18"/>
          <w:szCs w:val="18"/>
          <w:color w:val="auto"/>
        </w:rPr>
        <w:t xml:space="preserve">As a result of the factors set forth above, our net income was $21.7 million in 2005, compared to net income of $14.2 million in 2004.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is cash flow generated by our operations. While we maintain a credit facility, we have not used this as a source of cash. We use cash to fund growth in our operating assets, including accounts receivable and inventory, and to fund new products and product enhancements primarily through research and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720" w:type="dxa"/>
            <w:vAlign w:val="bottom"/>
          </w:tcPr>
          <w:p>
            <w:pPr>
              <w:jc w:val="right"/>
              <w:ind w:right="379"/>
              <w:spacing w:after="0"/>
              <w:rPr>
                <w:sz w:val="20"/>
                <w:szCs w:val="20"/>
                <w:color w:val="auto"/>
              </w:rPr>
            </w:pPr>
            <w:r>
              <w:rPr>
                <w:rFonts w:ascii="Arial" w:cs="Arial" w:eastAsia="Arial" w:hAnsi="Arial"/>
                <w:sz w:val="14"/>
                <w:szCs w:val="14"/>
                <w:b w:val="1"/>
                <w:bCs w:val="1"/>
                <w:color w:val="auto"/>
              </w:rPr>
              <w:t>September 24,</w:t>
            </w:r>
          </w:p>
        </w:tc>
        <w:tc>
          <w:tcPr>
            <w:tcW w:w="1720" w:type="dxa"/>
            <w:vAlign w:val="bottom"/>
          </w:tcPr>
          <w:p>
            <w:pPr>
              <w:jc w:val="right"/>
              <w:ind w:right="379"/>
              <w:spacing w:after="0"/>
              <w:rPr>
                <w:sz w:val="20"/>
                <w:szCs w:val="20"/>
                <w:color w:val="auto"/>
              </w:rPr>
            </w:pPr>
            <w:r>
              <w:rPr>
                <w:rFonts w:ascii="Arial" w:cs="Arial" w:eastAsia="Arial" w:hAnsi="Arial"/>
                <w:sz w:val="14"/>
                <w:szCs w:val="14"/>
                <w:color w:val="auto"/>
              </w:rPr>
              <w:t>December 31,</w:t>
            </w:r>
          </w:p>
        </w:tc>
        <w:tc>
          <w:tcPr>
            <w:tcW w:w="150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71"/>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7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2005</w:t>
            </w:r>
          </w:p>
        </w:tc>
        <w:tc>
          <w:tcPr>
            <w:tcW w:w="17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2004</w:t>
            </w: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Increase</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r>
      <w:tr>
        <w:trPr>
          <w:trHeight w:val="205"/>
        </w:trPr>
        <w:tc>
          <w:tcPr>
            <w:tcW w:w="4220" w:type="dxa"/>
            <w:vAlign w:val="bottom"/>
          </w:tcPr>
          <w:p>
            <w:pPr>
              <w:spacing w:after="0" w:line="205" w:lineRule="exact"/>
              <w:rPr>
                <w:sz w:val="20"/>
                <w:szCs w:val="20"/>
                <w:color w:val="auto"/>
              </w:rPr>
            </w:pPr>
            <w:r>
              <w:rPr>
                <w:rFonts w:ascii="Arial" w:cs="Arial" w:eastAsia="Arial" w:hAnsi="Arial"/>
                <w:sz w:val="18"/>
                <w:szCs w:val="18"/>
                <w:color w:val="auto"/>
              </w:rPr>
              <w:t>Cash, cash equivalents and investments</w:t>
            </w:r>
          </w:p>
        </w:tc>
        <w:tc>
          <w:tcPr>
            <w:tcW w:w="2720" w:type="dxa"/>
            <w:vAlign w:val="bottom"/>
          </w:tcPr>
          <w:p>
            <w:pPr>
              <w:jc w:val="right"/>
              <w:ind w:right="539"/>
              <w:spacing w:after="0" w:line="205" w:lineRule="exact"/>
              <w:rPr>
                <w:sz w:val="20"/>
                <w:szCs w:val="20"/>
                <w:color w:val="auto"/>
              </w:rPr>
            </w:pPr>
            <w:r>
              <w:rPr>
                <w:rFonts w:ascii="Arial" w:cs="Arial" w:eastAsia="Arial" w:hAnsi="Arial"/>
                <w:sz w:val="18"/>
                <w:szCs w:val="18"/>
                <w:b w:val="1"/>
                <w:bCs w:val="1"/>
                <w:color w:val="auto"/>
              </w:rPr>
              <w:t>$122,422</w:t>
            </w:r>
          </w:p>
        </w:tc>
        <w:tc>
          <w:tcPr>
            <w:tcW w:w="1720" w:type="dxa"/>
            <w:vAlign w:val="bottom"/>
          </w:tcPr>
          <w:p>
            <w:pPr>
              <w:jc w:val="right"/>
              <w:ind w:right="479"/>
              <w:spacing w:after="0" w:line="205" w:lineRule="exact"/>
              <w:rPr>
                <w:sz w:val="20"/>
                <w:szCs w:val="20"/>
                <w:color w:val="auto"/>
              </w:rPr>
            </w:pPr>
            <w:r>
              <w:rPr>
                <w:rFonts w:ascii="Arial" w:cs="Arial" w:eastAsia="Arial" w:hAnsi="Arial"/>
                <w:sz w:val="18"/>
                <w:szCs w:val="18"/>
                <w:color w:val="auto"/>
              </w:rPr>
              <w:t>$ 116,511</w:t>
            </w:r>
          </w:p>
        </w:tc>
        <w:tc>
          <w:tcPr>
            <w:tcW w:w="1500" w:type="dxa"/>
            <w:vAlign w:val="bottom"/>
          </w:tcPr>
          <w:p>
            <w:pPr>
              <w:jc w:val="right"/>
              <w:ind w:right="376"/>
              <w:spacing w:after="0" w:line="205" w:lineRule="exact"/>
              <w:rPr>
                <w:sz w:val="20"/>
                <w:szCs w:val="20"/>
                <w:color w:val="auto"/>
              </w:rPr>
            </w:pPr>
            <w:r>
              <w:rPr>
                <w:rFonts w:ascii="Arial" w:cs="Arial" w:eastAsia="Arial" w:hAnsi="Arial"/>
                <w:sz w:val="18"/>
                <w:szCs w:val="18"/>
                <w:color w:val="auto"/>
              </w:rPr>
              <w:t>$ 5,911</w:t>
            </w:r>
          </w:p>
        </w:tc>
        <w:tc>
          <w:tcPr>
            <w:tcW w:w="1260" w:type="dxa"/>
            <w:vAlign w:val="bottom"/>
          </w:tcPr>
          <w:p>
            <w:pPr>
              <w:jc w:val="right"/>
              <w:ind w:right="99"/>
              <w:spacing w:after="0" w:line="205" w:lineRule="exact"/>
              <w:rPr>
                <w:sz w:val="20"/>
                <w:szCs w:val="20"/>
                <w:color w:val="auto"/>
              </w:rPr>
            </w:pPr>
            <w:r>
              <w:rPr>
                <w:rFonts w:ascii="Arial" w:cs="Arial" w:eastAsia="Arial" w:hAnsi="Arial"/>
                <w:sz w:val="18"/>
                <w:szCs w:val="18"/>
                <w:color w:val="auto"/>
              </w:rPr>
              <w:t>5.1%</w:t>
            </w:r>
          </w:p>
        </w:tc>
      </w:tr>
      <w:tr>
        <w:trPr>
          <w:trHeight w:val="234"/>
        </w:trPr>
        <w:tc>
          <w:tcPr>
            <w:tcW w:w="4220" w:type="dxa"/>
            <w:vAlign w:val="bottom"/>
          </w:tcPr>
          <w:p>
            <w:pPr>
              <w:spacing w:after="0"/>
              <w:rPr>
                <w:sz w:val="20"/>
                <w:szCs w:val="20"/>
                <w:color w:val="auto"/>
              </w:rPr>
            </w:pPr>
            <w:r>
              <w:rPr>
                <w:rFonts w:ascii="Arial" w:cs="Arial" w:eastAsia="Arial" w:hAnsi="Arial"/>
                <w:sz w:val="18"/>
                <w:szCs w:val="18"/>
                <w:color w:val="auto"/>
              </w:rPr>
              <w:t>Working capital</w:t>
            </w:r>
          </w:p>
        </w:tc>
        <w:tc>
          <w:tcPr>
            <w:tcW w:w="2720" w:type="dxa"/>
            <w:vAlign w:val="bottom"/>
          </w:tcPr>
          <w:p>
            <w:pPr>
              <w:jc w:val="right"/>
              <w:ind w:right="539"/>
              <w:spacing w:after="0"/>
              <w:rPr>
                <w:sz w:val="20"/>
                <w:szCs w:val="20"/>
                <w:color w:val="auto"/>
              </w:rPr>
            </w:pPr>
            <w:r>
              <w:rPr>
                <w:rFonts w:ascii="Arial" w:cs="Arial" w:eastAsia="Arial" w:hAnsi="Arial"/>
                <w:sz w:val="18"/>
                <w:szCs w:val="18"/>
                <w:b w:val="1"/>
                <w:bCs w:val="1"/>
                <w:color w:val="auto"/>
              </w:rPr>
              <w:t>198,225</w:t>
            </w:r>
          </w:p>
        </w:tc>
        <w:tc>
          <w:tcPr>
            <w:tcW w:w="1720" w:type="dxa"/>
            <w:vAlign w:val="bottom"/>
          </w:tcPr>
          <w:p>
            <w:pPr>
              <w:jc w:val="right"/>
              <w:ind w:right="479"/>
              <w:spacing w:after="0"/>
              <w:rPr>
                <w:sz w:val="20"/>
                <w:szCs w:val="20"/>
                <w:color w:val="auto"/>
              </w:rPr>
            </w:pPr>
            <w:r>
              <w:rPr>
                <w:rFonts w:ascii="Arial" w:cs="Arial" w:eastAsia="Arial" w:hAnsi="Arial"/>
                <w:sz w:val="18"/>
                <w:szCs w:val="18"/>
                <w:color w:val="auto"/>
              </w:rPr>
              <w:t>174,493</w:t>
            </w:r>
          </w:p>
        </w:tc>
        <w:tc>
          <w:tcPr>
            <w:tcW w:w="1500" w:type="dxa"/>
            <w:vAlign w:val="bottom"/>
          </w:tcPr>
          <w:p>
            <w:pPr>
              <w:jc w:val="right"/>
              <w:ind w:right="376"/>
              <w:spacing w:after="0"/>
              <w:rPr>
                <w:sz w:val="20"/>
                <w:szCs w:val="20"/>
                <w:color w:val="auto"/>
              </w:rPr>
            </w:pPr>
            <w:r>
              <w:rPr>
                <w:rFonts w:ascii="Arial" w:cs="Arial" w:eastAsia="Arial" w:hAnsi="Arial"/>
                <w:sz w:val="18"/>
                <w:szCs w:val="18"/>
                <w:color w:val="auto"/>
              </w:rPr>
              <w:t>23,732</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13.6%</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Our net cash provided from operating activities in the first nine-months of 2005 totaled $8.0 million. The major components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flows provided by operating activities, net of the effects of the KryoTech acquisition, were net income of $21.7 million, offset by the net change in current assets and liabilities and depreciation and amortization of $4.0 million. The net change in current assets and liabilities included an increase in accounts receivable and inventories of $23.6 million and $2.9 million, respectively. The increase in accounts receivable was primarily attributable to the timing of cash collections and increased sales in first nine-months of 2005.</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included $18.5 million from purchases of short-term investments, less sales and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investments, the purchase of KryoTech assets for $2.9 million, and purchases of property, plant and equipment of $2.8 million. The purchases of property, plant and equipment were primarily made to support activities in the semiconductor equipment business and consisted primarily of software and equipment used in engineering, manufacturing and related functions.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Our net cash provided from financing activities included $6.9 million received from the issuance of stock upon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offset by $3.3 million for the payment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June 2005, we renewed our $5,000,000 unsecured bank line of credit bearing interest at the bank’s prime rate. The line of credit will expire in July, 2006, and requires that we maintain specified minimum levels of net worth, limits the amount of our capital expenditures and requires us to meet certain other financial covenants. We are currently in compliance with these covenants. No borrowings were outstanding at September 24, 2005; however, $2,581,000 of the credit facility was allocated to standby letters of credit at September 24, 2005, leaving the balance of $2,419,000 available for future borrowings.</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2004.</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September 24, 2005, the maximum potential amount of future payments that we could be required to make under these standby letters of credit was approximately $2.6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 .</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such as those experienced in 2001, 2002, 2003 and during the third and fourth quarters of 2004.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2004, 2003, and 2002, and the nine-months ended September 24, 2005, we recorded pretax inventory-related charges of approximately $5.8 million, $4.6 million, $4.1 million and $4.6 million, respectively, primarily as a result of changes in customer forecasts.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relatively small number of customers historically have been responsible for a significant portion of our net sales. In the year ended December 31, 2004, two customers of the semiconductor equipment segment accounted for 53% (57% in 2003, and 53% in 2002) of our net sales. During the first nine-months of 2005 these two customers accounted for approximately 52%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enhance existing products and develop new products with improved performance capabilities. We expect to continue to invest heavily in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development and must manage product transitions successfully, as introductions of new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adversely impact sales and/or margins of existing products. In addition, the introduction of new products by us or by our competitors, the concentration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revenues in a limited number of large customers, the migration to new semiconductor test handling methodologies and the custom nature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inventory parts increases the risk that our established products and related inventory may become obsolete, resulting in significant excess and obsolete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inventory exposure. This increased exposure resulted in significant charges to operations during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the first nine-months of 2005. Future inventory write-offs and increased inventory reserve requirements could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on our results of operations and financial condition.</w:t>
      </w:r>
    </w:p>
    <w:p>
      <w:pPr>
        <w:spacing w:after="0" w:line="10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September 24, 2005, may not be a reliable indicator of revenues in future periods due to delayed delivery dates or customer requested changes to delivery schedules, order cancellations and delays in recognizing revenue due to accounting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In 2001, we reduced our workforce approximately 30% as a result of a downturn in the semiconductor equipment industry. Workforce reductions continued in the third and fourth quarter of 2002, January and March, 2003. We also consolidated Delta Design’s Columbus, Ohio and Littleton, Massachusetts operations into our Poway, California facility. In 2004 and during the first nine-months of 2005 we increased our workforce, particularly in manufacturing, to meet increased demand.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share of the gravity-feed test handler and the DRAM markets.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and our market share in the DRAM segment is negligible. In addition, Gravity-feed test handlers are used in numerous non DRAM applications and continue to represent a significant portion of the worldwide test handler market. Because we do not participate in the DRAM and/or gravity-feed market segments, our total available sales market is limited.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and certain of these patent rights are licensed from third parties and we may not be able to negotiate extensions of any such licenses that have or may expire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year ended December 31, 2004, 72% of our total net sales were exported to foreign countries, including 83%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San Diego, California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have generated significant losses.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will impact our future operating results.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5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example, under the newly-issued Statement No. 123R we will be required to account for equity under our stock plans as a compensation expense and our net income and net income per share will be significantly reduced. Currently, we calculate compensation expense and disclose the impact on net income and net income per share, as well as the impact of all stock-based compensation expense in a footnote to the consolidated financial statements. Statement</w:t>
      </w:r>
    </w:p>
    <w:p>
      <w:pPr>
        <w:ind w:right="240"/>
        <w:spacing w:after="0" w:line="261" w:lineRule="auto"/>
        <w:rPr>
          <w:sz w:val="20"/>
          <w:szCs w:val="20"/>
          <w:color w:val="auto"/>
        </w:rPr>
      </w:pPr>
      <w:r>
        <w:rPr>
          <w:rFonts w:ascii="Arial" w:cs="Arial" w:eastAsia="Arial" w:hAnsi="Arial"/>
          <w:sz w:val="18"/>
          <w:szCs w:val="18"/>
          <w:color w:val="auto"/>
        </w:rPr>
        <w:t>No. 123R will require that we expense share based payment awards given to employees, including shares issued under employee stock purchase plans and stock options, as compensation cost.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currently provide estimates of our revenues or results of operations for future periods. Our operating results may fluctuate from quarter to quarter due to a variety of factors including, but not limited to:</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timing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impact of foreign currency exchange rates on the price of our products in international locations;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2005</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generally. This could cause the market price of our securities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$25.70 to $9.99.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have increased our costs.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National Market rules, are creating challenges for all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 location in the Philippines which fabricates certain component parts used in our semiconductor test handlers. These regions are known for being vulnerable to natural disasters and other risks, such as earthquakes, tsunamis, fires, floods and Avian (bird) flu,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BMS is currently involved in a significant contract with the United Arab Emirates. Continued terrorist attacks or threats in this region may cause geopolitical instability that may have an adverse effect on our ability to successfully satisfy customer acceptance requirements and recognize revenue under the agreement, which would materially impact our business, results of operations and financial condition.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September 24, 2005, our investment portfolio includes fixed-income securities with a fair value of approximately $75.3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320" w:firstLine="233"/>
        <w:spacing w:after="0" w:line="293" w:lineRule="auto"/>
        <w:tabs>
          <w:tab w:leader="none" w:pos="4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principal financial officer, we evaluated the effectiveness of our disclosure controls and procedures, as such term is defined in</w:t>
      </w:r>
    </w:p>
    <w:p>
      <w:pPr>
        <w:spacing w:after="0" w:line="1" w:lineRule="exact"/>
        <w:rPr>
          <w:rFonts w:ascii="Arial" w:cs="Arial" w:eastAsia="Arial" w:hAnsi="Arial"/>
          <w:sz w:val="16"/>
          <w:szCs w:val="16"/>
          <w:b w:val="1"/>
          <w:bCs w:val="1"/>
          <w:color w:val="auto"/>
        </w:rPr>
      </w:pPr>
    </w:p>
    <w:p>
      <w:pPr>
        <w:ind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1" w:lineRule="exact"/>
        <w:rPr>
          <w:sz w:val="20"/>
          <w:szCs w:val="20"/>
          <w:color w:val="auto"/>
        </w:rPr>
      </w:pPr>
    </w:p>
    <w:p>
      <w:pPr>
        <w:ind w:right="60" w:firstLine="233"/>
        <w:spacing w:after="0" w:line="298" w:lineRule="auto"/>
        <w:tabs>
          <w:tab w:leader="none" w:pos="49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in Internal Controls. </w:t>
      </w:r>
      <w:r>
        <w:rPr>
          <w:rFonts w:ascii="Arial" w:cs="Arial" w:eastAsia="Arial" w:hAnsi="Arial"/>
          <w:sz w:val="16"/>
          <w:szCs w:val="16"/>
          <w:color w:val="auto"/>
        </w:rPr>
        <w:t>In the third quarter of 2005, we transferred the accounting function for our corporate office, consisting principally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and investments, deferred taxes, corporate expenses and our corporate consolidation, from Cohu’s Electronics Division to our wholly owned subsidiary, Delta Design, Inc. The transfer involved a change in accounting systems that included internal controls, and has required that we make certain changes to our internal control over financial reporting. During this process, we reviewed the new accounting system as it was being implemented, and we made appropriate changes to those controls impacted by this conversion. We believe that the controls, as modified, are appropriate and functioning effectively.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w w:val="93"/>
              </w:rPr>
              <w:t>Amended and Restated Certificate of Incorporation of Cohu, Inc. incorporated herein by reference to Exhibit 3.1(a) from the Cohu, Inc.</w:t>
            </w:r>
          </w:p>
        </w:tc>
      </w:tr>
      <w:tr>
        <w:trPr>
          <w:trHeight w:val="216"/>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Form 10-Q for the quarterly period ended June 30, 1999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7"/>
              </w:rPr>
              <w:t>3.1(a)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w:t>
            </w:r>
          </w:p>
        </w:tc>
      </w:tr>
      <w:tr>
        <w:trPr>
          <w:trHeight w:val="216"/>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Cohu, Inc. Form S-8 filed June 30, 2000, Exhibit 4.1(a)</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Report on Form 8-K filed</w:t>
            </w:r>
          </w:p>
        </w:tc>
      </w:tr>
      <w:tr>
        <w:trPr>
          <w:trHeight w:val="216"/>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w w:val="91"/>
              </w:rPr>
              <w:t>Rights Agreement dated November 15, 1996, between Cohu, Inc. and ChaseMellon Shareholder Services, L.L.C., incorporated herein by</w:t>
            </w:r>
          </w:p>
        </w:tc>
      </w:tr>
      <w:tr>
        <w:trPr>
          <w:trHeight w:val="216"/>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16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October 24, 2005</w:t>
      </w:r>
      <w:r>
        <w:rPr>
          <w:sz w:val="20"/>
          <w:szCs w:val="20"/>
          <w:color w:val="auto"/>
        </w:rPr>
        <w:tab/>
      </w: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October 24, 2005</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Vice President, Finance &amp; Chief Financial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24"/>
                <w:szCs w:val="24"/>
                <w:color w:val="auto"/>
              </w:rPr>
            </w:pPr>
          </w:p>
        </w:tc>
        <w:tc>
          <w:tcPr>
            <w:tcW w:w="986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00" w:type="dxa"/>
            <w:vAlign w:val="bottom"/>
          </w:tcPr>
          <w:p>
            <w:pPr>
              <w:jc w:val="right"/>
              <w:ind w:right="252"/>
              <w:spacing w:after="0" w:line="195" w:lineRule="exact"/>
              <w:rPr>
                <w:sz w:val="20"/>
                <w:szCs w:val="20"/>
                <w:color w:val="auto"/>
              </w:rPr>
            </w:pPr>
            <w:r>
              <w:rPr>
                <w:rFonts w:ascii="Arial" w:cs="Arial" w:eastAsia="Arial" w:hAnsi="Arial"/>
                <w:sz w:val="18"/>
                <w:szCs w:val="18"/>
                <w:color w:val="auto"/>
              </w:rPr>
              <w:t>3.1</w:t>
            </w:r>
          </w:p>
        </w:tc>
        <w:tc>
          <w:tcPr>
            <w:tcW w:w="560" w:type="dxa"/>
            <w:vAlign w:val="bottom"/>
          </w:tcPr>
          <w:p>
            <w:pPr>
              <w:spacing w:after="0"/>
              <w:rPr>
                <w:sz w:val="16"/>
                <w:szCs w:val="16"/>
                <w:color w:val="auto"/>
              </w:rPr>
            </w:pPr>
          </w:p>
        </w:tc>
        <w:tc>
          <w:tcPr>
            <w:tcW w:w="9860" w:type="dxa"/>
            <w:vAlign w:val="bottom"/>
          </w:tcPr>
          <w:p>
            <w:pPr>
              <w:spacing w:after="0" w:line="195" w:lineRule="exact"/>
              <w:rPr>
                <w:sz w:val="20"/>
                <w:szCs w:val="20"/>
                <w:color w:val="auto"/>
              </w:rPr>
            </w:pPr>
            <w:r>
              <w:rPr>
                <w:rFonts w:ascii="Arial" w:cs="Arial" w:eastAsia="Arial" w:hAnsi="Arial"/>
                <w:sz w:val="18"/>
                <w:szCs w:val="18"/>
                <w:color w:val="auto"/>
                <w:w w:val="92"/>
              </w:rPr>
              <w:t>Amended and Restated Certificate of Incorporation of Cohu, Inc. incorporated herein by reference to Exhibit 3.1(a) from the Cohu, Inc.</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1000" w:type="dxa"/>
            <w:vAlign w:val="bottom"/>
          </w:tcPr>
          <w:p>
            <w:pPr>
              <w:jc w:val="right"/>
              <w:ind w:right="52"/>
              <w:spacing w:after="0"/>
              <w:rPr>
                <w:sz w:val="20"/>
                <w:szCs w:val="20"/>
                <w:color w:val="auto"/>
              </w:rPr>
            </w:pPr>
            <w:r>
              <w:rPr>
                <w:rFonts w:ascii="Arial" w:cs="Arial" w:eastAsia="Arial" w:hAnsi="Arial"/>
                <w:sz w:val="18"/>
                <w:szCs w:val="18"/>
                <w:color w:val="auto"/>
              </w:rPr>
              <w:t>3.1(a)</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4"/>
              </w:rPr>
              <w:t>Certificate of Amendment of Amended and Restated Certificate of Incorporation of Cohu, Inc. incorporated herein by reference from</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the Cohu, Inc. Form S-8 filed June 30, 2000, Exhibit 4.1(a)</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2"/>
              </w:rPr>
              <w:t>Rights Agreement dated November 15, 1996, between Cohu, Inc. and ChaseMellon Shareholder Services, L.L.C., incorporated herein</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by reference from the Cohu, Inc. Report on Form 8-K filed December 12, 1996, Exhibit 4.1</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
        <w:spacing w:after="0" w:line="264"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660" w:hanging="5"/>
        <w:spacing w:after="0" w:line="308" w:lineRule="auto"/>
        <w:tabs>
          <w:tab w:leader="none" w:pos="127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340" w:hanging="5"/>
        <w:spacing w:after="0" w:line="277" w:lineRule="auto"/>
        <w:tabs>
          <w:tab w:leader="none" w:pos="12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
        <w:spacing w:after="0" w:line="264"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660" w:hanging="5"/>
        <w:spacing w:after="0" w:line="308" w:lineRule="auto"/>
        <w:tabs>
          <w:tab w:leader="none" w:pos="127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340" w:hanging="5"/>
        <w:spacing w:after="0" w:line="277" w:lineRule="auto"/>
        <w:tabs>
          <w:tab w:leader="none" w:pos="12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24, 2005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24, 2005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2019-12-12T22:42:35Z</dcterms:created>
  <dcterms:modified xsi:type="dcterms:W3CDTF">2019-12-12T22:42:35Z</dcterms:modified>
</cp:coreProperties>
</file>