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(Mark One)</w:t>
      </w:r>
    </w:p>
    <w:p>
      <w:pPr>
        <w:spacing w:after="0" w:line="172" w:lineRule="exact"/>
        <w:rPr>
          <w:sz w:val="20"/>
          <w:szCs w:val="20"/>
          <w:color w:val="auto"/>
        </w:rPr>
      </w:pPr>
    </w:p>
    <w:p>
      <w:pPr>
        <w:ind w:left="1500" w:right="1360" w:hanging="1165"/>
        <w:spacing w:after="0" w:line="262" w:lineRule="auto"/>
        <w:tabs>
          <w:tab w:leader="none" w:pos="15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2004</w:t>
      </w:r>
    </w:p>
    <w:p>
      <w:pPr>
        <w:spacing w:after="0" w:line="1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0"/>
          <w:szCs w:val="20"/>
          <w:color w:val="auto"/>
        </w:rPr>
      </w:pPr>
    </w:p>
    <w:p>
      <w:pPr>
        <w:spacing w:after="0" w:line="219" w:lineRule="exact"/>
        <w:rPr>
          <w:sz w:val="20"/>
          <w:szCs w:val="20"/>
          <w:color w:val="auto"/>
        </w:rPr>
      </w:pPr>
    </w:p>
    <w:p>
      <w:pPr>
        <w:ind w:left="1500" w:right="1340" w:hanging="1178"/>
        <w:spacing w:after="0" w:line="262" w:lineRule="auto"/>
        <w:tabs>
          <w:tab w:leader="none" w:pos="1480" w:val="left"/>
        </w:tabs>
        <w:rPr>
          <w:sz w:val="20"/>
          <w:szCs w:val="20"/>
          <w:color w:val="auto"/>
        </w:rPr>
      </w:pPr>
      <w:r>
        <w:rPr>
          <w:rFonts w:ascii="Times New Roman" w:cs="Times New Roman" w:eastAsia="Times New Roman" w:hAnsi="Times New Roman"/>
          <w:sz w:val="22"/>
          <w:szCs w:val="22"/>
          <w:b w:val="1"/>
          <w:bCs w:val="1"/>
          <w:color w:val="auto"/>
        </w:rPr>
        <w:t>[ ]</w:t>
      </w:r>
      <w:r>
        <w:rPr>
          <w:sz w:val="20"/>
          <w:szCs w:val="20"/>
          <w:color w:val="auto"/>
        </w:rPr>
        <w:tab/>
      </w: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1-4298</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COHU, INC.</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3" w:lineRule="exact"/>
        <w:rPr>
          <w:sz w:val="20"/>
          <w:szCs w:val="20"/>
          <w:color w:val="auto"/>
        </w:rPr>
      </w:pPr>
    </w:p>
    <w:tbl>
      <w:tblPr>
        <w:tblLayout w:type="fixed"/>
        <w:tblInd w:w="1540" w:type="dxa"/>
        <w:tblCellMar>
          <w:top w:w="0" w:type="dxa"/>
          <w:left w:w="0" w:type="dxa"/>
          <w:bottom w:w="0" w:type="dxa"/>
          <w:right w:w="0" w:type="dxa"/>
        </w:tblCellMar>
      </w:tblPr>
      <w:tr>
        <w:trPr>
          <w:trHeight w:val="218"/>
        </w:trPr>
        <w:tc>
          <w:tcPr>
            <w:tcW w:w="49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36"/>
        </w:trPr>
        <w:tc>
          <w:tcPr>
            <w:tcW w:w="4920" w:type="dxa"/>
            <w:vAlign w:val="bottom"/>
          </w:tcPr>
          <w:p>
            <w:pPr>
              <w:jc w:val="center"/>
              <w:ind w:right="4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060" w:type="dxa"/>
            <w:vAlign w:val="bottom"/>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49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12367 Crosthwaite Circle, Poway, California</w:t>
            </w:r>
          </w:p>
        </w:tc>
        <w:tc>
          <w:tcPr>
            <w:tcW w:w="30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92064-6817</w:t>
            </w:r>
          </w:p>
        </w:tc>
      </w:tr>
      <w:tr>
        <w:trPr>
          <w:trHeight w:val="236"/>
        </w:trPr>
        <w:tc>
          <w:tcPr>
            <w:tcW w:w="4920" w:type="dxa"/>
            <w:vAlign w:val="bottom"/>
          </w:tcPr>
          <w:p>
            <w:pPr>
              <w:jc w:val="center"/>
              <w:ind w:right="4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w:t>
            </w:r>
          </w:p>
        </w:tc>
        <w:tc>
          <w:tcPr>
            <w:tcW w:w="3060" w:type="dxa"/>
            <w:vAlign w:val="bottom"/>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1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848-8100</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Yes [ü]</w:t>
        <w:tab/>
        <w:t>No [  ]</w:t>
      </w:r>
    </w:p>
    <w:p>
      <w:pPr>
        <w:spacing w:after="0" w:line="166" w:lineRule="exact"/>
        <w:rPr>
          <w:sz w:val="20"/>
          <w:szCs w:val="20"/>
          <w:color w:val="auto"/>
        </w:rPr>
      </w:pPr>
    </w:p>
    <w:p>
      <w:pPr>
        <w:ind w:left="240"/>
        <w:spacing w:after="0"/>
        <w:tabs>
          <w:tab w:leader="none" w:pos="866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Act). Yes [ü]</w:t>
        <w:tab/>
        <w:t>No [  ]</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September 30, 2004 the Registrant had 21,549,369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64"/>
        </w:trPr>
        <w:tc>
          <w:tcPr>
            <w:tcW w:w="8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8640" w:type="dxa"/>
            <w:vAlign w:val="bottom"/>
            <w:gridSpan w:val="17"/>
            <w:vMerge w:val="continue"/>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12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Financial Statements:</w:t>
              </w:r>
            </w:hyperlink>
          </w:p>
        </w:tc>
        <w:tc>
          <w:tcPr>
            <w:tcW w:w="6520" w:type="dxa"/>
            <w:vAlign w:val="bottom"/>
            <w:gridSpan w:val="7"/>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(unaudited) September 30, 2004 and December 31, 2003</w:t>
              </w:r>
            </w:hyperlink>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(unaudited) Three and Nine Months Ended September 30, 2004</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2003</w:t>
              </w:r>
            </w:hyperlink>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15"/>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 Nine Months Ended September 30, 2004 and 2003</w:t>
              </w:r>
            </w:hyperlink>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Unaudited Condensed Consolidated Financial Statements</w:t>
              </w:r>
            </w:hyperlink>
          </w:p>
        </w:tc>
        <w:tc>
          <w:tcPr>
            <w:tcW w:w="220" w:type="dxa"/>
            <w:vAlign w:val="bottom"/>
            <w:gridSpan w:val="2"/>
          </w:tcPr>
          <w:p>
            <w:pPr>
              <w:spacing w:after="0"/>
              <w:rPr>
                <w:sz w:val="17"/>
                <w:szCs w:val="17"/>
                <w:color w:val="auto"/>
              </w:rPr>
            </w:pPr>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w:t>
              </w:r>
            </w:hyperlink>
          </w:p>
        </w:tc>
        <w:tc>
          <w:tcPr>
            <w:tcW w:w="648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620" w:type="dxa"/>
            <w:vAlign w:val="bottom"/>
            <w:gridSpan w:val="4"/>
          </w:tcPr>
          <w:p>
            <w:pPr>
              <w:spacing w:after="0"/>
              <w:rPr>
                <w:sz w:val="17"/>
                <w:szCs w:val="17"/>
                <w:color w:val="auto"/>
              </w:rPr>
            </w:pPr>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540" w:type="dxa"/>
            <w:vAlign w:val="bottom"/>
            <w:gridSpan w:val="4"/>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w:t>
              </w:r>
            </w:hyperlink>
          </w:p>
        </w:tc>
        <w:tc>
          <w:tcPr>
            <w:tcW w:w="81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w:t>
              </w:r>
            </w:hyperlink>
          </w:p>
        </w:tc>
        <w:tc>
          <w:tcPr>
            <w:tcW w:w="438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3720" w:type="dxa"/>
            <w:vAlign w:val="bottom"/>
            <w:gridSpan w:val="5"/>
          </w:tcPr>
          <w:p>
            <w:pPr>
              <w:spacing w:after="0"/>
              <w:rPr>
                <w:sz w:val="17"/>
                <w:szCs w:val="17"/>
                <w:color w:val="auto"/>
              </w:rPr>
            </w:pPr>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3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Part II Other Information</w:t>
              </w:r>
            </w:hyperlink>
          </w:p>
        </w:tc>
        <w:tc>
          <w:tcPr>
            <w:tcW w:w="632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6.</w:t>
              </w:r>
            </w:hyperlink>
          </w:p>
        </w:tc>
        <w:tc>
          <w:tcPr>
            <w:tcW w:w="1480" w:type="dxa"/>
            <w:vAlign w:val="bottom"/>
            <w:tcBorders>
              <w:top w:val="single" w:sz="8" w:color="0000EE"/>
            </w:tcBorders>
            <w:gridSpan w:val="5"/>
          </w:tcPr>
          <w:p>
            <w:pPr>
              <w:ind w:left="20"/>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6620" w:type="dxa"/>
            <w:vAlign w:val="bottom"/>
            <w:gridSpan w:val="8"/>
          </w:tcPr>
          <w:p>
            <w:pPr>
              <w:spacing w:after="0"/>
              <w:rPr>
                <w:sz w:val="17"/>
                <w:szCs w:val="17"/>
                <w:color w:val="auto"/>
              </w:rPr>
            </w:pPr>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7480" w:type="dxa"/>
            <w:vAlign w:val="bottom"/>
            <w:gridSpan w:val="9"/>
          </w:tcPr>
          <w:p>
            <w:pPr>
              <w:spacing w:after="0"/>
              <w:rPr>
                <w:sz w:val="17"/>
                <w:szCs w:val="17"/>
                <w:color w:val="auto"/>
              </w:rPr>
            </w:pPr>
          </w:p>
        </w:tc>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 31.1</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 31.2</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118" w:right="47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EXHIBIT 32.1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414020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12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20" w:type="dxa"/>
            <w:vAlign w:val="bottom"/>
          </w:tcPr>
          <w:p>
            <w:pPr>
              <w:spacing w:after="0"/>
              <w:rPr>
                <w:sz w:val="16"/>
                <w:szCs w:val="16"/>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2003 *</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5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104,953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100,493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$1,571 in 2004</w:t>
            </w:r>
          </w:p>
        </w:tc>
        <w:tc>
          <w:tcPr>
            <w:tcW w:w="5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and $1,177 in 2003</w:t>
            </w:r>
          </w:p>
        </w:tc>
        <w:tc>
          <w:tcPr>
            <w:tcW w:w="54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41,884</w:t>
            </w:r>
          </w:p>
        </w:tc>
        <w:tc>
          <w:tcPr>
            <w:tcW w:w="5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 in process</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Finished goods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205,540</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171,538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5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25,252</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25,355</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23,948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58,585</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56,981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(28,609)</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540" w:type="dxa"/>
            <w:vAlign w:val="bottom"/>
            <w:shd w:val="clear" w:color="auto" w:fill="EEEEEE"/>
          </w:tcPr>
          <w:p>
            <w:pPr>
              <w:spacing w:after="0"/>
              <w:rPr>
                <w:sz w:val="18"/>
                <w:szCs w:val="18"/>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29,976</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intangible assets, net of accumulated amortization of $1,054 in 2004 and</w:t>
            </w:r>
          </w:p>
        </w:tc>
        <w:tc>
          <w:tcPr>
            <w:tcW w:w="5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$642 in 2003</w:t>
            </w:r>
          </w:p>
        </w:tc>
        <w:tc>
          <w:tcPr>
            <w:tcW w:w="54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5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5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244,643</w:t>
            </w:r>
          </w:p>
        </w:tc>
        <w:tc>
          <w:tcPr>
            <w:tcW w:w="5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220,730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4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608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5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warranty</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profit</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37,773</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retiree medical benefits</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5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$1 par value; 60,000 shares authorized, 21,549 shares issued</w:t>
            </w:r>
          </w:p>
        </w:tc>
        <w:tc>
          <w:tcPr>
            <w:tcW w:w="5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and outstanding in 2004 and 21,375 shares in 2003</w:t>
            </w:r>
          </w:p>
        </w:tc>
        <w:tc>
          <w:tcPr>
            <w:tcW w:w="54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5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Paid in capital</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159,709</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148,691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shd w:val="clear" w:color="auto" w:fill="EEEEEE"/>
          </w:tcPr>
          <w:p>
            <w:pPr>
              <w:spacing w:after="0"/>
              <w:rPr>
                <w:sz w:val="18"/>
                <w:szCs w:val="18"/>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205,157</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192,230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244,643</w:t>
            </w:r>
          </w:p>
        </w:tc>
        <w:tc>
          <w:tcPr>
            <w:tcW w:w="5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220,730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Derived from December 31, 2003 audited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0560"/>
          </w:cols>
          <w:pgMar w:left="240" w:top="415" w:right="1099" w:bottom="1440" w:gutter="0" w:footer="0" w:header="0"/>
        </w:sectPr>
      </w:pPr>
    </w:p>
    <w:p>
      <w:pPr>
        <w:spacing w:after="0" w:line="1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19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6"/>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gridSpan w:val="6"/>
          </w:tcPr>
          <w:p>
            <w:pPr>
              <w:jc w:val="right"/>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54,869</w:t>
            </w:r>
          </w:p>
        </w:tc>
        <w:tc>
          <w:tcPr>
            <w:tcW w:w="3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34,512</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138,145</w:t>
            </w:r>
          </w:p>
        </w:tc>
        <w:tc>
          <w:tcPr>
            <w:tcW w:w="3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97,675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34,503</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23,986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81,945</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65,791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49,357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35,910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123,649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102,152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land held for future development</w:t>
            </w:r>
          </w:p>
        </w:tc>
        <w:tc>
          <w:tcPr>
            <w:tcW w:w="2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Investment impairment writedown</w:t>
            </w:r>
          </w:p>
        </w:tc>
        <w:tc>
          <w:tcPr>
            <w:tcW w:w="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3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(615)</w:t>
            </w: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3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6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520" w:type="dxa"/>
            <w:vAlign w:val="bottom"/>
            <w:tcBorders>
              <w:bottom w:val="single" w:sz="8" w:color="808080"/>
              <w:right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60" w:type="dxa"/>
            <w:vAlign w:val="bottom"/>
            <w:tcBorders>
              <w:top w:val="single" w:sz="8" w:color="EEEEEE"/>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EEEEEE"/>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808080"/>
              <w:right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808080"/>
            </w:tcBorders>
            <w:shd w:val="clear" w:color="auto" w:fill="808080"/>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8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income</w:t>
            </w:r>
          </w:p>
        </w:tc>
        <w:tc>
          <w:tcPr>
            <w:tcW w:w="2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2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21,538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21,255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4460" w:type="dxa"/>
            <w:vAlign w:val="bottom"/>
            <w:tcBorders>
              <w:bottom w:val="single" w:sz="8" w:color="EEEEEE"/>
            </w:tcBorders>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21,912</w:t>
            </w:r>
          </w:p>
        </w:tc>
        <w:tc>
          <w:tcPr>
            <w:tcW w:w="3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21,255</w:t>
            </w:r>
          </w:p>
        </w:tc>
        <w:tc>
          <w:tcPr>
            <w:tcW w:w="30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38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19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2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shd w:val="clear" w:color="auto" w:fill="EEEEEE"/>
          </w:tcPr>
          <w:p>
            <w:pPr>
              <w:ind w:left="2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from operating</w:t>
            </w:r>
          </w:p>
        </w:tc>
        <w:tc>
          <w:tcPr>
            <w:tcW w:w="42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activities:</w:t>
            </w:r>
          </w:p>
        </w:tc>
        <w:tc>
          <w:tcPr>
            <w:tcW w:w="42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Gain from sale of land held for future development</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equipment disposals</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Investment impairment writedown</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Increase in accrued retiree medical benefits</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(16,306)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(9,900)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Customer advances</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Deferred profit</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42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from (used for) operating activities</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4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(117,583)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(112,776)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113,029</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proceeds from sale of land held for future development</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(1,832)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note receivable</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from (used for) investing activities</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stock, net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(3,224)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from (used for) financing activities</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Pr>
          <w:p>
            <w:pPr>
              <w:spacing w:after="0"/>
              <w:rPr>
                <w:sz w:val="18"/>
                <w:szCs w:val="18"/>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64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80" w:type="dxa"/>
            <w:vAlign w:val="bottom"/>
            <w:tcBorders>
              <w:bottom w:val="single" w:sz="8" w:color="EEEEEE"/>
            </w:tcBorders>
            <w:shd w:val="clear" w:color="auto" w:fill="EEEEEE"/>
          </w:tcPr>
          <w:p>
            <w:pPr>
              <w:spacing w:after="0"/>
              <w:rPr>
                <w:sz w:val="22"/>
                <w:szCs w:val="22"/>
                <w:color w:val="auto"/>
              </w:rPr>
            </w:pPr>
          </w:p>
        </w:tc>
        <w:tc>
          <w:tcPr>
            <w:tcW w:w="1020" w:type="dxa"/>
            <w:vAlign w:val="bottom"/>
            <w:tcBorders>
              <w:bottom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4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89" w:lineRule="exact"/>
        <w:rPr>
          <w:sz w:val="20"/>
          <w:szCs w:val="20"/>
          <w:color w:val="auto"/>
        </w:rPr>
      </w:pPr>
    </w:p>
    <w:p>
      <w:pPr>
        <w:ind w:left="360" w:right="40"/>
        <w:spacing w:after="0" w:line="255" w:lineRule="auto"/>
        <w:rPr>
          <w:sz w:val="20"/>
          <w:szCs w:val="20"/>
          <w:color w:val="auto"/>
        </w:rPr>
      </w:pPr>
      <w:r>
        <w:rPr>
          <w:rFonts w:ascii="Times New Roman" w:cs="Times New Roman" w:eastAsia="Times New Roman" w:hAnsi="Times New Roman"/>
          <w:sz w:val="18"/>
          <w:szCs w:val="18"/>
          <w:color w:val="auto"/>
        </w:rPr>
        <w:t>The accompanying interim financial statements are unaudited but include all adjustments (consisting of normal recurring adjustments), which Cohu, Inc. (the “Company” or “Cohu”) considers necessary for a fair statement of the results for the period. These financial statements have been prepared in accordance with accounting principles generally accepted in the United States of America and should be read in conjunction with the consolidated financial statements included in the Company’s Annual Report on Form 10-K filed with the Securities and Exchange Commission for the year ended December 31, 2003 and management’s discussion and analysis of financial condition and results of operations included elsewhere herein. The operating results for the three and nine months ended September 30, 2004, are not necessarily indicative of the operating results for the entire year or any future period.</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Cohu’s revenue recognition policy is disclosed in Note 1 of the Notes to Consolidated Financial Statements included in the Company’s Annual Report on Form 10-K for the year ended December 31, 2003.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40"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The Company has an $8.5 million contract to provide microwave communications equipment for a border security command center and infrastructure system in the United Arab Emirates. The contract, which utilizes the Company’s most advanced microwave communications technology that has not been previously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the Company will recognize revenue and related costs under this contract in the period the system is accepted by the customer. Through September 30, 2004, the Company had deferred approximately $6.0 million of revenue under this contract.</w:t>
      </w:r>
    </w:p>
    <w:p>
      <w:pPr>
        <w:spacing w:after="0" w:line="161" w:lineRule="exact"/>
        <w:rPr>
          <w:sz w:val="20"/>
          <w:szCs w:val="20"/>
          <w:color w:val="auto"/>
        </w:rPr>
      </w:pPr>
    </w:p>
    <w:p>
      <w:pPr>
        <w:ind w:left="360" w:right="180"/>
        <w:spacing w:after="0" w:line="261" w:lineRule="auto"/>
        <w:rPr>
          <w:sz w:val="20"/>
          <w:szCs w:val="20"/>
          <w:color w:val="auto"/>
        </w:rPr>
      </w:pPr>
      <w:r>
        <w:rPr>
          <w:rFonts w:ascii="Times New Roman" w:cs="Times New Roman" w:eastAsia="Times New Roman" w:hAnsi="Times New Roman"/>
          <w:sz w:val="18"/>
          <w:szCs w:val="18"/>
          <w:color w:val="auto"/>
        </w:rPr>
        <w:t>At September 30, 2004, the Company had total deferred revenue of approximately $22.4 million and deferred profit of $11.1 million. At December 31, 2003, the Company had total deferred revenue of approximately $9.3 million and deferred profit of $4.1 million. The increase in deferred revenue and profit is primarily related to the deferral of revenue on certain new semiconductor test handlers and microwave communications equipment that have been shipped and installed and are awaiting customer acceptance.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360" w:right="40"/>
        <w:spacing w:after="0" w:line="255" w:lineRule="auto"/>
        <w:rPr>
          <w:sz w:val="20"/>
          <w:szCs w:val="20"/>
          <w:color w:val="auto"/>
        </w:rPr>
      </w:pPr>
      <w:r>
        <w:rPr>
          <w:rFonts w:ascii="Times New Roman" w:cs="Times New Roman" w:eastAsia="Times New Roman" w:hAnsi="Times New Roman"/>
          <w:sz w:val="18"/>
          <w:szCs w:val="18"/>
          <w:color w:val="auto"/>
        </w:rPr>
        <w:t xml:space="preserve">Cohu has several stock-based compensation plans that are described more fully in Note 10 to the Consolidated Financial Statements included in the Company’s Annual Report on Form 10-K for the year ended December 31, 2003. The Company accounts for those plans under the recognition and measurement principles of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proforma information presented in the following table illustrates the effect on net income (loss) and net income (loss) per share if Cohu had applied the fair value recognition provisions of Financial Accounting Standards Board (“FASB”) Statement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as amended by FASB 148, </w:t>
      </w:r>
      <w:r>
        <w:rPr>
          <w:rFonts w:ascii="Times New Roman" w:cs="Times New Roman" w:eastAsia="Times New Roman" w:hAnsi="Times New Roman"/>
          <w:sz w:val="18"/>
          <w:szCs w:val="18"/>
          <w:i w:val="1"/>
          <w:iCs w:val="1"/>
          <w:color w:val="auto"/>
        </w:rPr>
        <w:t>Accounting for Stock-Based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Transition and Disclosure</w:t>
      </w:r>
      <w:r>
        <w:rPr>
          <w:rFonts w:ascii="Times New Roman" w:cs="Times New Roman" w:eastAsia="Times New Roman" w:hAnsi="Times New Roman"/>
          <w:sz w:val="18"/>
          <w:szCs w:val="18"/>
          <w:color w:val="auto"/>
        </w:rPr>
        <w:t>, to stock-based employee compensation.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3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1"/>
        </w:trPr>
        <w:tc>
          <w:tcPr>
            <w:tcW w:w="3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r>
      <w:tr>
        <w:trPr>
          <w:trHeight w:val="24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Pr>
          <w:p>
            <w:pPr>
              <w:spacing w:after="0"/>
              <w:rPr>
                <w:sz w:val="20"/>
                <w:szCs w:val="20"/>
                <w:color w:val="auto"/>
              </w:rPr>
            </w:pPr>
          </w:p>
        </w:tc>
      </w:tr>
      <w:tr>
        <w:trPr>
          <w:trHeight w:val="51"/>
        </w:trPr>
        <w:tc>
          <w:tcPr>
            <w:tcW w:w="34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r>
      <w:tr>
        <w:trPr>
          <w:trHeight w:val="75"/>
        </w:trPr>
        <w:tc>
          <w:tcPr>
            <w:tcW w:w="3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16"/>
        </w:trPr>
        <w:tc>
          <w:tcPr>
            <w:tcW w:w="37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w w:val="93"/>
              </w:rPr>
              <w:t>5,202</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(615)</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w w:val="96"/>
              </w:rPr>
              <w:t>14,242</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2,121</w:t>
            </w: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Total stock-based employee compensation</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 determined under fair value based</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method for all awards, net of related tax effect</w:t>
            </w:r>
          </w:p>
        </w:tc>
        <w:tc>
          <w:tcPr>
            <w:tcW w:w="16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(2,296)</w:t>
            </w:r>
          </w:p>
        </w:tc>
      </w:tr>
      <w:tr>
        <w:trPr>
          <w:trHeight w:val="21"/>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37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Pro forma net income (loss)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w w:val="93"/>
              </w:rPr>
              <w:t>4,217</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w w:val="95"/>
              </w:rPr>
              <w:t>(1,437)</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11,340</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r>
      <w:tr>
        <w:trPr>
          <w:trHeight w:val="23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6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Borders>
              <w:top w:val="single" w:sz="8" w:color="808080"/>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376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Basic-as reported</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Basic-pro forma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76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Diluted-as reported</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8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0.65</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r>
      <w:tr>
        <w:trPr>
          <w:trHeight w:val="234"/>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Diluted-pro forma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r>
    </w:tbl>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Retiree Medical Benefits</w:t>
      </w:r>
    </w:p>
    <w:p>
      <w:pPr>
        <w:spacing w:after="0" w:line="189" w:lineRule="exact"/>
        <w:rPr>
          <w:sz w:val="20"/>
          <w:szCs w:val="20"/>
          <w:color w:val="auto"/>
        </w:rPr>
      </w:pPr>
    </w:p>
    <w:p>
      <w:pPr>
        <w:ind w:left="360" w:right="160"/>
        <w:spacing w:after="0" w:line="282" w:lineRule="auto"/>
        <w:rPr>
          <w:sz w:val="20"/>
          <w:szCs w:val="20"/>
          <w:color w:val="auto"/>
        </w:rPr>
      </w:pPr>
      <w:r>
        <w:rPr>
          <w:rFonts w:ascii="Times New Roman" w:cs="Times New Roman" w:eastAsia="Times New Roman" w:hAnsi="Times New Roman"/>
          <w:sz w:val="18"/>
          <w:szCs w:val="18"/>
          <w:color w:val="auto"/>
        </w:rPr>
        <w:t>Cohu provides post-retirement health benefits to certain executives and directors under a noncontributory plan. The net periodic benefit cost during the three and nine month periods ended September 30, 2004 and 2003 was not significant.</w:t>
      </w:r>
    </w:p>
    <w:p>
      <w:pPr>
        <w:spacing w:after="0" w:line="135" w:lineRule="exact"/>
        <w:rPr>
          <w:sz w:val="20"/>
          <w:szCs w:val="20"/>
          <w:color w:val="auto"/>
        </w:rPr>
      </w:pPr>
    </w:p>
    <w:p>
      <w:pPr>
        <w:ind w:left="360"/>
        <w:spacing w:after="0" w:line="270" w:lineRule="auto"/>
        <w:rPr>
          <w:sz w:val="20"/>
          <w:szCs w:val="20"/>
          <w:color w:val="auto"/>
        </w:rPr>
      </w:pPr>
      <w:r>
        <w:rPr>
          <w:rFonts w:ascii="Times New Roman" w:cs="Times New Roman" w:eastAsia="Times New Roman" w:hAnsi="Times New Roman"/>
          <w:sz w:val="17"/>
          <w:szCs w:val="17"/>
          <w:color w:val="auto"/>
        </w:rPr>
        <w:t xml:space="preserve">The Medicare Prescription Drug, Improvement and Modernization Act of 2003 (the “Act”) was enacted on December 8, 2003. In accordance with FASB Staff Position (“FSP”) No. FAS 106-1, the accumulated post-retirement benefit obligation and net periodic benefit cost in the consolidated financial statements do not reflect the effects, if any, of the Act. In April 2004, the FASB staff issued FSP FAS 106-2, which supercedes FSP FAS 106-1. FSP FAS 106-2 applies to sponsors of single-employer defined benefit postretirement health care plans for which (a) the employer has concluded that prescription drug benefits available under the plan are “actuarially equivalent” to Medicare Part D and thus qualify for the subsidy under the Act and (b) the expected subsidy will offset or reduce the employer’s share of the cost of the underlying postretirement prescription drug coverage on which the subsidy is based. In general, FSP FAS 106-2 concludes that the plan sponsors should follow FASB Statement No. 106, </w:t>
      </w:r>
      <w:r>
        <w:rPr>
          <w:rFonts w:ascii="Times New Roman" w:cs="Times New Roman" w:eastAsia="Times New Roman" w:hAnsi="Times New Roman"/>
          <w:sz w:val="17"/>
          <w:szCs w:val="17"/>
          <w:i w:val="1"/>
          <w:iCs w:val="1"/>
          <w:color w:val="auto"/>
        </w:rPr>
        <w:t>Employers’ Accounting for Postretirement Benefits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Than Pensions</w:t>
      </w:r>
      <w:r>
        <w:rPr>
          <w:rFonts w:ascii="Times New Roman" w:cs="Times New Roman" w:eastAsia="Times New Roman" w:hAnsi="Times New Roman"/>
          <w:sz w:val="17"/>
          <w:szCs w:val="17"/>
          <w:color w:val="auto"/>
        </w:rPr>
        <w:t>, in accounting for the effects of the Act. For employers, including Cohu, that have elected deferral under FSP FAS 106-1,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guidance is effective for the first interim period beginning after June 15, 2004. The effects of the Act are not significant to Cohu and as a result, the adoption of FSP FAS 106-2 in the quarter ended September 30, 2004 did not have a significant impact on the Company’s financial statements.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187" w:lineRule="exact"/>
        <w:rPr>
          <w:sz w:val="20"/>
          <w:szCs w:val="20"/>
          <w:color w:val="auto"/>
        </w:rPr>
      </w:pPr>
    </w:p>
    <w:p>
      <w:pPr>
        <w:ind w:left="360" w:right="40"/>
        <w:spacing w:after="0" w:line="261" w:lineRule="auto"/>
        <w:rPr>
          <w:sz w:val="20"/>
          <w:szCs w:val="20"/>
          <w:color w:val="auto"/>
        </w:rPr>
      </w:pPr>
      <w:r>
        <w:rPr>
          <w:rFonts w:ascii="Times New Roman" w:cs="Times New Roman" w:eastAsia="Times New Roman" w:hAnsi="Times New Roman"/>
          <w:sz w:val="18"/>
          <w:szCs w:val="18"/>
          <w:color w:val="auto"/>
        </w:rPr>
        <w:t xml:space="preserve">During March 2004, the FASB issued an exposure draft of a new standard entitled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xml:space="preserve">, which would amend SFAS No. 123, </w:t>
      </w:r>
      <w:r>
        <w:rPr>
          <w:rFonts w:ascii="Times New Roman" w:cs="Times New Roman" w:eastAsia="Times New Roman" w:hAnsi="Times New Roman"/>
          <w:sz w:val="18"/>
          <w:szCs w:val="18"/>
          <w:i w:val="1"/>
          <w:iCs w:val="1"/>
          <w:color w:val="auto"/>
        </w:rPr>
        <w:t>Accounting for Stock Based Compensation</w:t>
      </w:r>
      <w:r>
        <w:rPr>
          <w:rFonts w:ascii="Times New Roman" w:cs="Times New Roman" w:eastAsia="Times New Roman" w:hAnsi="Times New Roman"/>
          <w:sz w:val="18"/>
          <w:szCs w:val="18"/>
          <w:color w:val="auto"/>
        </w:rPr>
        <w:t>, and SFAS No. 95,</w:t>
      </w:r>
      <w:r>
        <w:rPr>
          <w:rFonts w:ascii="Times New Roman" w:cs="Times New Roman" w:eastAsia="Times New Roman" w:hAnsi="Times New Roman"/>
          <w:sz w:val="18"/>
          <w:szCs w:val="18"/>
          <w:i w:val="1"/>
          <w:iCs w:val="1"/>
          <w:color w:val="auto"/>
        </w:rPr>
        <w:t xml:space="preserve"> Statement of Cash Flows</w:t>
      </w:r>
      <w:r>
        <w:rPr>
          <w:rFonts w:ascii="Times New Roman" w:cs="Times New Roman" w:eastAsia="Times New Roman" w:hAnsi="Times New Roman"/>
          <w:sz w:val="18"/>
          <w:szCs w:val="18"/>
          <w:color w:val="auto"/>
        </w:rPr>
        <w:t>. Among other items, the new standard would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expensing, in the financial statements, of stock options issued by the Company. The new standard, as proposed, would be effective for periods beginning after June 15, 2005.</w:t>
      </w:r>
    </w:p>
    <w:p>
      <w:pPr>
        <w:spacing w:after="0" w:line="155" w:lineRule="exact"/>
        <w:rPr>
          <w:sz w:val="20"/>
          <w:szCs w:val="20"/>
          <w:color w:val="auto"/>
        </w:rPr>
      </w:pPr>
    </w:p>
    <w:p>
      <w:pPr>
        <w:ind w:left="360" w:right="80"/>
        <w:spacing w:after="0" w:line="266" w:lineRule="auto"/>
        <w:rPr>
          <w:sz w:val="20"/>
          <w:szCs w:val="20"/>
          <w:color w:val="auto"/>
        </w:rPr>
      </w:pPr>
      <w:r>
        <w:rPr>
          <w:rFonts w:ascii="Times New Roman" w:cs="Times New Roman" w:eastAsia="Times New Roman" w:hAnsi="Times New Roman"/>
          <w:sz w:val="18"/>
          <w:szCs w:val="18"/>
          <w:color w:val="auto"/>
        </w:rPr>
        <w:t>Throughout most of 2004, the FASB has continued to deliberate on different aspects of a new standard, and currently expects to issue a final standard in the fourth quarter 2004. Although the Company has not yet completed an analysis to quantify the exact impact the new standard will have on its future financial performance, the disclosures in Note 1 provide detail as to the Company’s financial performance as if the</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300"/>
        <w:spacing w:after="0" w:line="282" w:lineRule="auto"/>
        <w:rPr>
          <w:sz w:val="20"/>
          <w:szCs w:val="20"/>
          <w:color w:val="auto"/>
        </w:rPr>
      </w:pPr>
      <w:r>
        <w:rPr>
          <w:rFonts w:ascii="Times New Roman" w:cs="Times New Roman" w:eastAsia="Times New Roman" w:hAnsi="Times New Roman"/>
          <w:sz w:val="18"/>
          <w:szCs w:val="18"/>
          <w:color w:val="auto"/>
        </w:rPr>
        <w:t>Company had applied the fair-value based method and recognition provisions of SFAS No. 123 to stock-based employee compensation to the current reporting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2004 Results of Operations</w:t>
      </w:r>
    </w:p>
    <w:p>
      <w:pPr>
        <w:spacing w:after="0" w:line="189"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In February 2004, the Company and a foreign sales representative amended a Product Representation Agreement that was originally entered into on April 1, 2003. The amendment reduced the commissions to be paid by the Company to the sales representative on certain previously recorded and future sales. In the quarter ended March 31, 2004, the Company reduced commission expense by $129,000 and $103,000, for commissions previously expensed in 2003 and 2004, respectively. Accordingly, selling, general and administrative expense in the accompanying statement of operations for the nine months ended September 30, 2004 has been reduced by $232,000 as a result of this amendment.</w:t>
      </w:r>
    </w:p>
    <w:p>
      <w:pPr>
        <w:spacing w:after="0" w:line="157" w:lineRule="exact"/>
        <w:rPr>
          <w:sz w:val="20"/>
          <w:szCs w:val="20"/>
          <w:color w:val="auto"/>
        </w:rPr>
      </w:pPr>
    </w:p>
    <w:p>
      <w:pPr>
        <w:ind w:left="360" w:right="80"/>
        <w:spacing w:after="0" w:line="266" w:lineRule="auto"/>
        <w:rPr>
          <w:sz w:val="20"/>
          <w:szCs w:val="20"/>
          <w:color w:val="auto"/>
        </w:rPr>
      </w:pPr>
      <w:r>
        <w:rPr>
          <w:rFonts w:ascii="Times New Roman" w:cs="Times New Roman" w:eastAsia="Times New Roman" w:hAnsi="Times New Roman"/>
          <w:sz w:val="18"/>
          <w:szCs w:val="18"/>
          <w:color w:val="auto"/>
        </w:rPr>
        <w:t>In 2003, the Company recorded a charge to cost of sales of approximately $1,700,000 as a result of inventory market valuation writedowns. In 2004, the Company sold certain of the written down inventory and as a result the Company’s cost of sales and the related gross profit was favorably impacted by approximately $150,000 and $1,200,000 for the three and nine months ended September 30, 2004, respectively.</w:t>
      </w:r>
    </w:p>
    <w:p>
      <w:pPr>
        <w:spacing w:after="0" w:line="136"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 xml:space="preserve">In 2001 and 2002, the Company accrued approximately $1.2 million for potential customer sales credits and this amount was included in accounts payable at June 30, 2004 and December 31, 2003. The Company accounted for these sales credits in accordance with Emerging Issues Task Force Issue 01-9, </w:t>
      </w:r>
      <w:r>
        <w:rPr>
          <w:rFonts w:ascii="Times New Roman" w:cs="Times New Roman" w:eastAsia="Times New Roman" w:hAnsi="Times New Roman"/>
          <w:sz w:val="18"/>
          <w:szCs w:val="18"/>
          <w:i w:val="1"/>
          <w:iCs w:val="1"/>
          <w:color w:val="auto"/>
        </w:rPr>
        <w:t>Accounting for Consideration Given by a Vendor to a Customer (Including a Reseller of the Vendor’s Products)</w:t>
      </w:r>
      <w:r>
        <w:rPr>
          <w:rFonts w:ascii="Times New Roman" w:cs="Times New Roman" w:eastAsia="Times New Roman" w:hAnsi="Times New Roman"/>
          <w:sz w:val="18"/>
          <w:szCs w:val="18"/>
          <w:color w:val="auto"/>
        </w:rPr>
        <w:t>, by recording reductions to revenue equal to the maximum amount of the potential sales credits. During the quarter ended September 30, 2004, these sales credits expired and as a result, the $1.2 million liability was eliminated with a corresponding credit to net sales.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(Loss) Per Share</w:t>
      </w:r>
    </w:p>
    <w:p>
      <w:pPr>
        <w:spacing w:after="0" w:line="200" w:lineRule="exact"/>
        <w:rPr>
          <w:sz w:val="20"/>
          <w:szCs w:val="20"/>
          <w:color w:val="auto"/>
        </w:rPr>
      </w:pPr>
    </w:p>
    <w:p>
      <w:pPr>
        <w:ind w:left="360" w:right="60"/>
        <w:spacing w:after="0" w:line="256" w:lineRule="auto"/>
        <w:rPr>
          <w:sz w:val="20"/>
          <w:szCs w:val="20"/>
          <w:color w:val="auto"/>
        </w:rPr>
      </w:pPr>
      <w:r>
        <w:rPr>
          <w:rFonts w:ascii="Times New Roman" w:cs="Times New Roman" w:eastAsia="Times New Roman" w:hAnsi="Times New Roman"/>
          <w:sz w:val="18"/>
          <w:szCs w:val="18"/>
          <w:color w:val="auto"/>
        </w:rPr>
        <w:t xml:space="preserve">Income (loss) per share is computed in accordance with FASB Statement No. 128,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income (loss) per share is 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the Company’s common stock for the period are excluded. For the three and nine months ended September 30, 2004, options to purchase approximately 864,000 and 528,000 shares of common stock were excluded from the computation, respectively. For the nine months ended September 30, 2003, options to purchase approximately 219,000 shares of common stock were excluded from the computation, respectively. The following table reconciles the denominators used in computing basic and diluted income per share:</w:t>
      </w:r>
    </w:p>
    <w:p>
      <w:pPr>
        <w:spacing w:after="0" w:line="34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9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Pr>
          <w:p>
            <w:pPr>
              <w:spacing w:after="0"/>
              <w:rPr>
                <w:sz w:val="16"/>
                <w:szCs w:val="16"/>
                <w:color w:val="auto"/>
              </w:rPr>
            </w:pPr>
          </w:p>
        </w:tc>
        <w:tc>
          <w:tcPr>
            <w:tcW w:w="9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7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24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24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20" w:type="dxa"/>
            <w:vAlign w:val="bottom"/>
            <w:tcBorders>
              <w:top w:val="single" w:sz="8" w:color="808080"/>
              <w:right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02" w:lineRule="exact"/>
        <w:rPr>
          <w:sz w:val="20"/>
          <w:szCs w:val="20"/>
          <w:color w:val="auto"/>
        </w:rPr>
      </w:pPr>
    </w:p>
    <w:p>
      <w:pPr>
        <w:ind w:left="360" w:right="60"/>
        <w:spacing w:after="0" w:line="261" w:lineRule="auto"/>
        <w:rPr>
          <w:sz w:val="20"/>
          <w:szCs w:val="20"/>
          <w:color w:val="auto"/>
        </w:rPr>
      </w:pPr>
      <w:r>
        <w:rPr>
          <w:rFonts w:ascii="Times New Roman" w:cs="Times New Roman" w:eastAsia="Times New Roman" w:hAnsi="Times New Roman"/>
          <w:sz w:val="18"/>
          <w:szCs w:val="18"/>
          <w:color w:val="auto"/>
        </w:rPr>
        <w:t>The income tax provision (benefit) included in the statements of operations for the three and nine months ended September 30, 2004 and 2003, is based on the estimated annual effective tax rate for the entire year. These estimated effective tax rates are subject to adjustment in subsequent quarterly periods as the Company’s estimates of pretax income or loss for the year are increased or decreased. The effective tax rate for the three and nine months ended September 30, 2004 is less than the U.S. federal statutory rate primarily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due to the significant deferred tax asset valuation allowance recorded at December 31, 2003.</w:t>
      </w:r>
    </w:p>
    <w:p>
      <w:pPr>
        <w:spacing w:after="0" w:line="183" w:lineRule="exact"/>
        <w:rPr>
          <w:sz w:val="20"/>
          <w:szCs w:val="20"/>
          <w:color w:val="auto"/>
        </w:rPr>
      </w:pPr>
    </w:p>
    <w:p>
      <w:pPr>
        <w:ind w:left="36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FASB Statement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net deferred tax assets are reduced by a valuation allowance, if based on all the available evidence, it is more likely than not that some or all of the deferred tax assets will not be realized. A valuation allowance of $11,704,000 had been provided on deferred tax assets at December 31, 2003, primarily due to uncertainties of realizing net deferred tax assets after considering the impact of income taxes to be generated from future income and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w:t>
      </w:r>
    </w:p>
    <w:p>
      <w:pPr>
        <w:spacing w:after="0" w:line="144"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At September 30, 2004, the Company reassessed the appropriateness of the valuation allowance. We concluded that, despite the improvement in operating results that were significantly better than forecast, it would be premature to reverse the valuation allowance that existed at December 31, 2003 other than to the extent necessary to reduce current tax expense generated by 2004 income. The Company will continue to assess the appropriateness of the valuation allowance in the fourth quarter of 2004. The Company may adjust the allowance if, based on a careful assessment of business prospects and estimates of future income, the Company concludes that all or a portion of the allowance is no longer required. A reduction in the allowance would result in a corresponding credit to income tax expense.</w:t>
      </w:r>
    </w:p>
    <w:p>
      <w:pPr>
        <w:spacing w:after="0" w:line="161" w:lineRule="exact"/>
        <w:rPr>
          <w:sz w:val="20"/>
          <w:szCs w:val="20"/>
          <w:color w:val="auto"/>
        </w:rPr>
      </w:pPr>
    </w:p>
    <w:p>
      <w:pPr>
        <w:ind w:left="360" w:right="60"/>
        <w:spacing w:after="0" w:line="258" w:lineRule="auto"/>
        <w:rPr>
          <w:sz w:val="20"/>
          <w:szCs w:val="20"/>
          <w:color w:val="auto"/>
        </w:rPr>
      </w:pPr>
      <w:r>
        <w:rPr>
          <w:rFonts w:ascii="Times New Roman" w:cs="Times New Roman" w:eastAsia="Times New Roman" w:hAnsi="Times New Roman"/>
          <w:sz w:val="18"/>
          <w:szCs w:val="18"/>
          <w:color w:val="auto"/>
        </w:rPr>
        <w:t>The IRS is conducting a routine examination of Cohu’s consolidated tax returns for the period 2000 through 2002. The Company expects the IRS examination to be completed in 2004. If the examination is concluded in 2004, any adjustments that result from the IRS examination will be reflected in the Company’s 2004 results of operations. The Company believes that such adjustments, if any, are adequately provided for in the consolidated financial statements. A favorable outcome from the examination may result in a credit to income tax expense while an unfavorable outcome may result in an increase to income tax expense in the quarter the examination is concluded.</w:t>
      </w:r>
    </w:p>
    <w:p>
      <w:pPr>
        <w:spacing w:after="0" w:line="143"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8"/>
          <w:szCs w:val="18"/>
          <w:color w:val="auto"/>
        </w:rPr>
        <w:t>The Company has derived significant tax benefits from the research credit under Section 41 of the Internal Revenue Code and the Extraterritorial Income Exclusion (ETI). The President signed legislation extending the research credit through December 31, 2005, repealing the ETI regime, which the World Trade Organization (WTO) had ruled an illegal export subsidy, and approved tax relief for U.S. based manufacturing activities. The recently signed legislation repeals the ETI exclusion for transactions entered into after December 31, 2004 subject to a phase-out that would allow the company to claim full ETI benefits in 2004, 80% of the benefits in 2005 and 60% in 2006 and created a deduction for domestic manufacturing activities, with a phased in rate beginning in 2005. It is not currently known the extent that the Company will be able to realize the benefit from the domestic manufacturing deduction in future years and whether the provision could partly or entirely replace the lost ETI benefit.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Investments and Other Intangible Assets</w:t>
      </w:r>
    </w:p>
    <w:p>
      <w:pPr>
        <w:spacing w:after="0" w:line="200"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8"/>
          <w:szCs w:val="18"/>
          <w:color w:val="auto"/>
        </w:rPr>
        <w:t>In June 2001, the FASB issued Statement No. 142</w:t>
      </w:r>
      <w:r>
        <w:rPr>
          <w:rFonts w:ascii="Times New Roman" w:cs="Times New Roman" w:eastAsia="Times New Roman" w:hAnsi="Times New Roman"/>
          <w:sz w:val="18"/>
          <w:szCs w:val="18"/>
          <w:i w:val="1"/>
          <w:iCs w:val="1"/>
          <w:color w:val="auto"/>
        </w:rPr>
        <w:t>, Goodwill and Other Intangible Assets</w:t>
      </w:r>
      <w:r>
        <w:rPr>
          <w:rFonts w:ascii="Times New Roman" w:cs="Times New Roman" w:eastAsia="Times New Roman" w:hAnsi="Times New Roman"/>
          <w:sz w:val="18"/>
          <w:szCs w:val="18"/>
          <w:color w:val="auto"/>
        </w:rPr>
        <w:t>.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September 30, 2004, the Company had goodwill of $8.3 million that resulted from an acquisition completed in July 2001.</w:t>
      </w:r>
    </w:p>
    <w:p>
      <w:pPr>
        <w:spacing w:after="0" w:line="141" w:lineRule="exact"/>
        <w:rPr>
          <w:sz w:val="20"/>
          <w:szCs w:val="20"/>
          <w:color w:val="auto"/>
        </w:rPr>
      </w:pPr>
    </w:p>
    <w:p>
      <w:pPr>
        <w:ind w:left="360" w:right="380"/>
        <w:spacing w:after="0" w:line="282" w:lineRule="auto"/>
        <w:rPr>
          <w:sz w:val="20"/>
          <w:szCs w:val="20"/>
          <w:color w:val="auto"/>
        </w:rPr>
      </w:pPr>
      <w:r>
        <w:rPr>
          <w:rFonts w:ascii="Times New Roman" w:cs="Times New Roman" w:eastAsia="Times New Roman" w:hAnsi="Times New Roman"/>
          <w:sz w:val="18"/>
          <w:szCs w:val="18"/>
          <w:color w:val="auto"/>
        </w:rPr>
        <w:t>The Company performed the required annual goodwill impairment test as of October 1, 2004. Cohu did not recognize any goodwill impairment as a result of performing this annual test. A future decline in the fair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value of Cohu’s semiconductor equipment business may indicate goodwill impairment that could result in a charge to Cohu’s future operating results.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 August 2001, the FASB issued Statement No. 144,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xml:space="preserve"> which supersedes Statement No.</w:t>
      </w:r>
    </w:p>
    <w:p>
      <w:pPr>
        <w:spacing w:after="0" w:line="29" w:lineRule="exact"/>
        <w:rPr>
          <w:sz w:val="20"/>
          <w:szCs w:val="20"/>
          <w:color w:val="auto"/>
        </w:rPr>
      </w:pPr>
    </w:p>
    <w:p>
      <w:pPr>
        <w:ind w:left="360" w:right="200" w:hanging="10"/>
        <w:spacing w:after="0" w:line="255"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46" w:lineRule="exact"/>
        <w:rPr>
          <w:sz w:val="20"/>
          <w:szCs w:val="20"/>
          <w:color w:val="auto"/>
        </w:rPr>
      </w:pPr>
    </w:p>
    <w:p>
      <w:pPr>
        <w:ind w:left="360"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2002, Cohu entered into a $1,700,000 license agreement for certain intellectual property and know-how from LiveTools Technology SA. The Company is amortizing the intangible asset to expense over the three-year exclusive license period. Accumulated amortization at September 30, 2004 and December 31, 2003, was $1,054,000 and $642,000, respectively. Amortization expense was $138,000 and $412,000 in the three and nine-month periods ended September 30, 2004 and 2003, respectively. The estimated remaining amortization expense in future periods is 2004 — $138,000; 2005 - $458,000.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Geographic Consolidation</w:t>
      </w:r>
    </w:p>
    <w:p>
      <w:pPr>
        <w:spacing w:after="0" w:line="189"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On April 10, 2003, Cohu announced that its Delta Design, Inc. subsidiary (“Delta”) was relocating its Littleton, Massachusetts operation to its headquarters facility in Poway, California. The consolidation, which will result in approximately 50 of the 65 employees being terminated, was substantially completed in March 2004 and the remaining charges to operations for severance and other payroll costs are expected to be minimal. For the three-month period ended September 30, 2004 the Company recorded charges to operations, totaling $1,000 for severance and one-time termination benefits. These charges are included in cost of sales. For the nine-month period ended September 30, 2004, the Company recorded charges to operations totaling $194,000 for severance and one-time termination benefits. These charges are included in cost of sales ($59,000), research and development ($61,000) and selling, general and administrative expense ($74,000). In the quarter ended September 30, 2003, the Company recorded charges to operations totaling $354,000 for severance and one-time termination benefits. These charges are included in cost of sales ($142,000), research and development ($130,000) and selling, general and administrative expense ($82,000). Charges for the nine-month period ended September 30, 2003 totaled $632,000 and are included in cost of sales ($254,000), research and development ($262,000) and selling, general and administrative expense ($116,000). Cumulative charges to operations for severance and other exit costs for the period April 10, 2003 to September 30, 2004, were $1,062,000.</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reconciles amounts accrued and paid under the consolidation plan.</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300" w:type="dxa"/>
            <w:vAlign w:val="bottom"/>
          </w:tcPr>
          <w:p>
            <w:pPr>
              <w:spacing w:after="0"/>
              <w:rPr>
                <w:sz w:val="13"/>
                <w:szCs w:val="13"/>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exit</w:t>
            </w:r>
          </w:p>
        </w:tc>
        <w:tc>
          <w:tcPr>
            <w:tcW w:w="260" w:type="dxa"/>
            <w:vAlign w:val="bottom"/>
          </w:tcPr>
          <w:p>
            <w:pPr>
              <w:spacing w:after="0"/>
              <w:rPr>
                <w:sz w:val="13"/>
                <w:szCs w:val="13"/>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6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 payroll</w:t>
            </w:r>
          </w:p>
        </w:tc>
        <w:tc>
          <w:tcPr>
            <w:tcW w:w="300" w:type="dxa"/>
            <w:vAlign w:val="bottom"/>
          </w:tcPr>
          <w:p>
            <w:pPr>
              <w:spacing w:after="0"/>
              <w:rPr>
                <w:sz w:val="16"/>
                <w:szCs w:val="16"/>
                <w:color w:val="auto"/>
              </w:rPr>
            </w:pP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29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00" w:type="dxa"/>
            <w:vAlign w:val="bottom"/>
            <w:vMerge w:val="restart"/>
          </w:tcPr>
          <w:p>
            <w:pPr>
              <w:spacing w:after="0"/>
              <w:rPr>
                <w:sz w:val="6"/>
                <w:szCs w:val="6"/>
                <w:color w:val="auto"/>
              </w:rPr>
            </w:pPr>
          </w:p>
        </w:tc>
        <w:tc>
          <w:tcPr>
            <w:tcW w:w="2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Liability at December 31, 2003</w:t>
            </w:r>
          </w:p>
        </w:tc>
        <w:tc>
          <w:tcPr>
            <w:tcW w:w="20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$ 407</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$ 407</w:t>
            </w:r>
          </w:p>
        </w:tc>
        <w:tc>
          <w:tcPr>
            <w:tcW w:w="2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Costs accrued</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Amounts paid or charged</w:t>
            </w:r>
          </w:p>
        </w:tc>
        <w:tc>
          <w:tcPr>
            <w:tcW w:w="1700" w:type="dxa"/>
            <w:vAlign w:val="bottom"/>
            <w:gridSpan w:val="3"/>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w w:val="97"/>
              </w:rPr>
              <w:t>(148)</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Liability at March 31, 2004</w:t>
            </w:r>
          </w:p>
        </w:tc>
        <w:tc>
          <w:tcPr>
            <w:tcW w:w="1700" w:type="dxa"/>
            <w:vAlign w:val="bottom"/>
            <w:gridSpan w:val="3"/>
          </w:tcPr>
          <w:p>
            <w:pPr>
              <w:spacing w:after="0"/>
              <w:rPr>
                <w:sz w:val="20"/>
                <w:szCs w:val="20"/>
                <w:color w:val="auto"/>
              </w:rPr>
            </w:pPr>
          </w:p>
        </w:tc>
        <w:tc>
          <w:tcPr>
            <w:tcW w:w="3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Costs accrued</w:t>
            </w:r>
          </w:p>
        </w:tc>
        <w:tc>
          <w:tcPr>
            <w:tcW w:w="20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Amounts paid or charged</w:t>
            </w: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Liability at June 30, 2004</w:t>
            </w:r>
          </w:p>
        </w:tc>
        <w:tc>
          <w:tcPr>
            <w:tcW w:w="20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Costs accrued</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Amounts paid or charged</w:t>
            </w:r>
          </w:p>
        </w:tc>
        <w:tc>
          <w:tcPr>
            <w:tcW w:w="1700" w:type="dxa"/>
            <w:vAlign w:val="bottom"/>
            <w:gridSpan w:val="3"/>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Liability at September 30, 2004</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$ 356</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-457835</wp:posOffset>
            </wp:positionV>
            <wp:extent cx="13271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40"/>
        <w:spacing w:after="0" w:line="258" w:lineRule="auto"/>
        <w:rPr>
          <w:sz w:val="20"/>
          <w:szCs w:val="20"/>
          <w:color w:val="auto"/>
        </w:rPr>
      </w:pPr>
      <w:r>
        <w:rPr>
          <w:rFonts w:ascii="Times New Roman" w:cs="Times New Roman" w:eastAsia="Times New Roman" w:hAnsi="Times New Roman"/>
          <w:sz w:val="18"/>
          <w:szCs w:val="18"/>
          <w:color w:val="auto"/>
        </w:rPr>
        <w:t>In April 2003, Delta completed the relocation of its Columbus, Ohio operations to its facility in Poway, California. The consolidation has reduced costs without impacting the revenue generating activities of Delta. The Company recorded charges to operations in the quarter ended March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 Exit-related costs charged to operations subsequent to the quarter ended March 31, 2003 were not significant.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Real Estate Transactions</w:t>
      </w:r>
    </w:p>
    <w:p>
      <w:pPr>
        <w:spacing w:after="0" w:line="189" w:lineRule="exact"/>
        <w:rPr>
          <w:sz w:val="20"/>
          <w:szCs w:val="20"/>
          <w:color w:val="auto"/>
        </w:rPr>
      </w:pPr>
    </w:p>
    <w:p>
      <w:pPr>
        <w:jc w:val="both"/>
        <w:ind w:left="360" w:right="80"/>
        <w:spacing w:after="0" w:line="261" w:lineRule="auto"/>
        <w:rPr>
          <w:sz w:val="20"/>
          <w:szCs w:val="20"/>
          <w:color w:val="auto"/>
        </w:rPr>
      </w:pPr>
      <w:r>
        <w:rPr>
          <w:rFonts w:ascii="Times New Roman" w:cs="Times New Roman" w:eastAsia="Times New Roman" w:hAnsi="Times New Roman"/>
          <w:sz w:val="18"/>
          <w:szCs w:val="18"/>
          <w:color w:val="auto"/>
        </w:rPr>
        <w:t>On January 13, 2003, the Company extended the term of a $9.2 million promissory note with TC Kearny Villa, L.P. (“TC”). The 8% non-recourse note was secured by a deed of trust on land and buildings in San Diego, California sold by Cohu to TC in April 2001. The note amendment extended the due date of the note to June 30, 2005 and provided for principal payments, assuming a 20-year amortization schedule, of $206,000 and $223,000 on April 1, 2003 and 2004, respectively. Interest at 8% was to continue to be paid monthly.</w:t>
      </w:r>
    </w:p>
    <w:p>
      <w:pPr>
        <w:spacing w:after="0" w:line="153"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auto"/>
        </w:rPr>
        <w:t>In February 2004, the Company and TC entered into an agreement whereby the Company released its beneficial interest in the property securing the note receivable in exchange for full payment of the note and $272,000 of accrued interest. The Company received net cash proceeds from TC totaling $9,250,000 on February 19, 2004. The interest received was recorded as income in 2004.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Comprehensive Income (Loss)</w:t>
      </w:r>
    </w:p>
    <w:p>
      <w:pPr>
        <w:spacing w:after="0" w:line="189" w:lineRule="exact"/>
        <w:rPr>
          <w:sz w:val="20"/>
          <w:szCs w:val="20"/>
          <w:color w:val="auto"/>
        </w:rPr>
      </w:pPr>
    </w:p>
    <w:p>
      <w:pPr>
        <w:ind w:left="360" w:right="500"/>
        <w:spacing w:after="0" w:line="282" w:lineRule="auto"/>
        <w:rPr>
          <w:sz w:val="20"/>
          <w:szCs w:val="20"/>
          <w:color w:val="auto"/>
        </w:rPr>
      </w:pPr>
      <w:r>
        <w:rPr>
          <w:rFonts w:ascii="Times New Roman" w:cs="Times New Roman" w:eastAsia="Times New Roman" w:hAnsi="Times New Roman"/>
          <w:sz w:val="18"/>
          <w:szCs w:val="18"/>
          <w:color w:val="auto"/>
        </w:rPr>
        <w:t>Comprehensive income (loss) represents all non-owner changes in stockholders’ equity and consists of, on an after-tax basis where applicable, the following:</w:t>
      </w:r>
    </w:p>
    <w:p>
      <w:pPr>
        <w:spacing w:after="0" w:line="33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6"/>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6"/>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16"/>
                <w:szCs w:val="16"/>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Pr>
          <w:p>
            <w:pPr>
              <w:spacing w:after="0"/>
              <w:rPr>
                <w:sz w:val="16"/>
                <w:szCs w:val="16"/>
                <w:color w:val="auto"/>
              </w:rPr>
            </w:pPr>
          </w:p>
        </w:tc>
        <w:tc>
          <w:tcPr>
            <w:tcW w:w="11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5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4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$(615)</w:t>
            </w: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4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$(770)</w:t>
            </w: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5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60" w:type="dxa"/>
            <w:vAlign w:val="bottom"/>
            <w:tcBorders>
              <w:top w:val="single" w:sz="8" w:color="EEEEEE"/>
              <w:right w:val="single" w:sz="8" w:color="808080"/>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4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tcPr>
          <w:p>
            <w:pPr>
              <w:spacing w:after="0"/>
              <w:rPr>
                <w:sz w:val="3"/>
                <w:szCs w:val="3"/>
                <w:color w:val="auto"/>
              </w:rPr>
            </w:pPr>
          </w:p>
        </w:tc>
        <w:tc>
          <w:tcPr>
            <w:tcW w:w="500" w:type="dxa"/>
            <w:vAlign w:val="bottom"/>
            <w:tcBorders>
              <w:top w:val="single" w:sz="8" w:color="808080"/>
              <w:right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60" w:right="22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totaled ($70,000) and $24,000 at September 30, 2004 and December 31, 2003, respectively, and was attributed to after-tax unrealized losses and gains on investments.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and Related Information</w:t>
      </w:r>
    </w:p>
    <w:p>
      <w:pPr>
        <w:spacing w:after="0" w:line="189" w:lineRule="exact"/>
        <w:rPr>
          <w:sz w:val="20"/>
          <w:szCs w:val="20"/>
          <w:color w:val="auto"/>
        </w:rPr>
      </w:pPr>
    </w:p>
    <w:p>
      <w:pPr>
        <w:ind w:left="360" w:right="460"/>
        <w:spacing w:after="0" w:line="282" w:lineRule="auto"/>
        <w:rPr>
          <w:sz w:val="20"/>
          <w:szCs w:val="20"/>
          <w:color w:val="auto"/>
        </w:rPr>
      </w:pPr>
      <w:r>
        <w:rPr>
          <w:rFonts w:ascii="Times New Roman" w:cs="Times New Roman" w:eastAsia="Times New Roman" w:hAnsi="Times New Roman"/>
          <w:sz w:val="18"/>
          <w:szCs w:val="18"/>
          <w:color w:val="auto"/>
        </w:rPr>
        <w:t>The following is a summary of Cohu’s significant accounts and balances by segment, reconciled to consolidated totals. Intersegment sales were not significant in any period.</w:t>
      </w:r>
    </w:p>
    <w:p>
      <w:pPr>
        <w:spacing w:after="0" w:line="3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6"/>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Net sales by segment: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Semiconductor equipment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47,346</w:t>
            </w:r>
          </w:p>
        </w:tc>
        <w:tc>
          <w:tcPr>
            <w:tcW w:w="3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28,338</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115,362</w:t>
            </w:r>
          </w:p>
        </w:tc>
        <w:tc>
          <w:tcPr>
            <w:tcW w:w="3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77,748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Television cameras</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12,134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Metal detection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consolidated net sales and net sales for reportable</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segments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54,869</w:t>
            </w:r>
          </w:p>
        </w:tc>
        <w:tc>
          <w:tcPr>
            <w:tcW w:w="3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34,512</w:t>
            </w:r>
          </w:p>
        </w:tc>
        <w:tc>
          <w:tcPr>
            <w:tcW w:w="2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138,145</w:t>
            </w:r>
          </w:p>
        </w:tc>
        <w:tc>
          <w:tcPr>
            <w:tcW w:w="3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97,675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Segment profit (loss):</w:t>
            </w: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Semiconductor equipment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3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3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Television cameras</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Metal detection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w w:val="98"/>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Profit (loss) for reportable segments</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7"/>
              </w:rPr>
              <w:t>(2,879)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Other unallocated amounts:</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expenses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from sale of land held for future development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Investment impairment writedown</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w w:val="98"/>
              </w:rPr>
              <w:t>(2,500)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30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3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20" w:type="dxa"/>
            <w:vAlign w:val="bottom"/>
          </w:tcPr>
          <w:p>
            <w:pPr>
              <w:spacing w:after="0"/>
              <w:rPr>
                <w:sz w:val="16"/>
                <w:szCs w:val="16"/>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880" w:type="dxa"/>
            <w:vAlign w:val="bottom"/>
          </w:tcPr>
          <w:p>
            <w:pPr>
              <w:spacing w:after="0"/>
              <w:rPr>
                <w:sz w:val="5"/>
                <w:szCs w:val="5"/>
                <w:color w:val="auto"/>
              </w:rPr>
            </w:pPr>
          </w:p>
        </w:tc>
        <w:tc>
          <w:tcPr>
            <w:tcW w:w="470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80" w:type="dxa"/>
            <w:vAlign w:val="bottom"/>
            <w:vMerge w:val="restart"/>
          </w:tcPr>
          <w:p>
            <w:pPr>
              <w:spacing w:after="0"/>
              <w:rPr>
                <w:sz w:val="5"/>
                <w:szCs w:val="5"/>
                <w:color w:val="auto"/>
              </w:rPr>
            </w:pPr>
          </w:p>
        </w:tc>
        <w:tc>
          <w:tcPr>
            <w:tcW w:w="4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Total assets by segment:</w:t>
            </w:r>
          </w:p>
        </w:tc>
        <w:tc>
          <w:tcPr>
            <w:tcW w:w="6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Semiconductor equipment</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$103,550</w:t>
            </w:r>
          </w:p>
        </w:tc>
        <w:tc>
          <w:tcPr>
            <w:tcW w:w="6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89,926</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Television cameras</w:t>
            </w:r>
          </w:p>
        </w:tc>
        <w:tc>
          <w:tcPr>
            <w:tcW w:w="25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5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Metal detection</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Microwave communications</w:t>
            </w:r>
          </w:p>
        </w:tc>
        <w:tc>
          <w:tcPr>
            <w:tcW w:w="25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5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assets for reportable segments</w:t>
            </w:r>
          </w:p>
        </w:tc>
        <w:tc>
          <w:tcPr>
            <w:tcW w:w="1960" w:type="dxa"/>
            <w:vAlign w:val="bottom"/>
            <w:gridSpan w:val="3"/>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4700" w:type="dxa"/>
            <w:vAlign w:val="bottom"/>
            <w:vMerge w:val="continue"/>
          </w:tcPr>
          <w:p>
            <w:pPr>
              <w:spacing w:after="0"/>
              <w:rPr>
                <w:sz w:val="18"/>
                <w:szCs w:val="18"/>
                <w:color w:val="auto"/>
              </w:rPr>
            </w:pPr>
          </w:p>
        </w:tc>
        <w:tc>
          <w:tcPr>
            <w:tcW w:w="1960" w:type="dxa"/>
            <w:vAlign w:val="bottom"/>
            <w:gridSpan w:val="3"/>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125,955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109,440</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Corporate, principally cash and investments and deferred taxes</w:t>
            </w:r>
          </w:p>
        </w:tc>
        <w:tc>
          <w:tcPr>
            <w:tcW w:w="25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118,688</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111,290</w:t>
            </w:r>
          </w:p>
        </w:tc>
        <w:tc>
          <w:tcPr>
            <w:tcW w:w="5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244,643</w:t>
            </w:r>
          </w:p>
        </w:tc>
        <w:tc>
          <w:tcPr>
            <w:tcW w:w="6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220,730</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Contingencies</w:t>
      </w:r>
    </w:p>
    <w:p>
      <w:pPr>
        <w:spacing w:after="0" w:line="189" w:lineRule="exact"/>
        <w:rPr>
          <w:sz w:val="20"/>
          <w:szCs w:val="20"/>
          <w:color w:val="auto"/>
        </w:rPr>
      </w:pPr>
    </w:p>
    <w:p>
      <w:pPr>
        <w:jc w:val="both"/>
        <w:ind w:left="360" w:right="420"/>
        <w:spacing w:after="0" w:line="266" w:lineRule="auto"/>
        <w:rPr>
          <w:sz w:val="20"/>
          <w:szCs w:val="20"/>
          <w:color w:val="auto"/>
        </w:rPr>
      </w:pPr>
      <w:r>
        <w:rPr>
          <w:rFonts w:ascii="Times New Roman" w:cs="Times New Roman" w:eastAsia="Times New Roman" w:hAnsi="Times New Roman"/>
          <w:sz w:val="18"/>
          <w:szCs w:val="18"/>
          <w:color w:val="auto"/>
        </w:rPr>
        <w:t>The Company is currently subject to various legal proceedings, lawsuits, examinations by various tax authorities and claims that have arisen in the ordinary course of its businesses. Although the outcome of these legal proceedings, claims and examinations cannot be predicted with certainty, the Company does not believe that any of these matters will have a material adverse effect on its financial position or results of its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Guarantees</w:t>
      </w:r>
    </w:p>
    <w:p>
      <w:pPr>
        <w:spacing w:after="0" w:line="202" w:lineRule="exact"/>
        <w:rPr>
          <w:sz w:val="20"/>
          <w:szCs w:val="20"/>
          <w:color w:val="auto"/>
        </w:rPr>
      </w:pPr>
    </w:p>
    <w:p>
      <w:pPr>
        <w:ind w:left="360"/>
        <w:spacing w:after="0" w:line="282" w:lineRule="auto"/>
        <w:rPr>
          <w:sz w:val="20"/>
          <w:szCs w:val="20"/>
          <w:color w:val="auto"/>
        </w:rPr>
      </w:pPr>
      <w:r>
        <w:rPr>
          <w:rFonts w:ascii="Times New Roman" w:cs="Times New Roman" w:eastAsia="Times New Roman" w:hAnsi="Times New Roman"/>
          <w:sz w:val="18"/>
          <w:szCs w:val="18"/>
          <w:color w:val="auto"/>
        </w:rPr>
        <w:t>Cohu products are generally sold with a 12-month to 24-month warranty period following sale or installation. Parts and labor are covered under the terms of the warranty agreement. The warranty provision is based on historical experience by product and configuration.</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accrued warranty during the three and nine months ended September 30, 2004 and 2003 were as follows (in thousands):</w:t>
      </w:r>
    </w:p>
    <w:p>
      <w:pPr>
        <w:spacing w:after="0" w:line="394" w:lineRule="exact"/>
        <w:rPr>
          <w:sz w:val="20"/>
          <w:szCs w:val="20"/>
          <w:color w:val="auto"/>
        </w:rPr>
      </w:pPr>
    </w:p>
    <w:tbl>
      <w:tblPr>
        <w:tblLayout w:type="fixed"/>
        <w:tblInd w:w="25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$ 3,479</w:t>
            </w:r>
          </w:p>
        </w:tc>
        <w:tc>
          <w:tcPr>
            <w:tcW w:w="38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$ 2,878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expense accruals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Warranty charges</w:t>
            </w:r>
          </w:p>
        </w:tc>
        <w:tc>
          <w:tcPr>
            <w:tcW w:w="124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(1,255)</w:t>
            </w:r>
          </w:p>
        </w:tc>
        <w:tc>
          <w:tcPr>
            <w:tcW w:w="150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400" w:type="dxa"/>
            <w:vAlign w:val="bottom"/>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3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Warranty expense accruals</w:t>
            </w: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38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charges</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(1,270)</w:t>
            </w:r>
          </w:p>
        </w:tc>
        <w:tc>
          <w:tcPr>
            <w:tcW w:w="15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June 30</w:t>
            </w:r>
          </w:p>
        </w:tc>
        <w:tc>
          <w:tcPr>
            <w:tcW w:w="4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top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4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expense accruals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Warranty charges</w:t>
            </w:r>
          </w:p>
        </w:tc>
        <w:tc>
          <w:tcPr>
            <w:tcW w:w="124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150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September 30</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3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60" w:right="160"/>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Cohu also provides standby letters of credit to certain parties as required. As of September 30, 2004, the maximum potential amount of future payments that Cohu could be required to make under these standby letters of credit is approximately $2.5 million. Cohu has not recorded any liability in connection with these guarantee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189" w:lineRule="exact"/>
        <w:rPr>
          <w:sz w:val="20"/>
          <w:szCs w:val="20"/>
          <w:color w:val="auto"/>
        </w:rPr>
      </w:pPr>
    </w:p>
    <w:p>
      <w:pPr>
        <w:ind w:left="360" w:right="340"/>
        <w:spacing w:after="0" w:line="282" w:lineRule="auto"/>
        <w:rPr>
          <w:sz w:val="20"/>
          <w:szCs w:val="20"/>
          <w:color w:val="auto"/>
        </w:rPr>
      </w:pPr>
      <w:r>
        <w:rPr>
          <w:rFonts w:ascii="Times New Roman" w:cs="Times New Roman" w:eastAsia="Times New Roman" w:hAnsi="Times New Roman"/>
          <w:sz w:val="18"/>
          <w:szCs w:val="18"/>
          <w:color w:val="auto"/>
        </w:rPr>
        <w:t>On October 19, 2004, the Cohu Board of Directors declared a $0.05 per share cash dividend payable on January 7, 2005 to stockholders of record on December 3, 2004.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64" w:lineRule="exact"/>
        <w:rPr>
          <w:sz w:val="20"/>
          <w:szCs w:val="20"/>
          <w:color w:val="auto"/>
        </w:rPr>
      </w:pPr>
    </w:p>
    <w:p>
      <w:pPr>
        <w:ind w:left="360"/>
        <w:spacing w:after="0" w:line="257" w:lineRule="auto"/>
        <w:rPr>
          <w:sz w:val="20"/>
          <w:szCs w:val="20"/>
          <w:color w:val="auto"/>
        </w:rPr>
      </w:pPr>
      <w:r>
        <w:rPr>
          <w:rFonts w:ascii="Times New Roman" w:cs="Times New Roman" w:eastAsia="Times New Roman" w:hAnsi="Times New Roman"/>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Form 10-Q reflect the good faith judgment of our management,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360" w:right="240"/>
        <w:spacing w:after="0" w:line="258" w:lineRule="auto"/>
        <w:rPr>
          <w:sz w:val="20"/>
          <w:szCs w:val="20"/>
          <w:color w:val="auto"/>
        </w:rPr>
      </w:pPr>
      <w:r>
        <w:rPr>
          <w:rFonts w:ascii="Times New Roman" w:cs="Times New Roman" w:eastAsia="Times New Roman" w:hAnsi="Times New Roman"/>
          <w:sz w:val="18"/>
          <w:szCs w:val="18"/>
          <w:color w:val="auto"/>
        </w:rPr>
        <w:t>Cohu’s primary business activity involves the development, manufacture, marketing, sale and servicing of test handling equipment for the global semiconductor industry. During the three-year period ended December 31, 2003, the semiconductor equipment industry experienced a severe business downturn. Our net sales during this period declined more than 50% from the record 2000 year. This decrease in revenue was generally comparable to most other companies in the semiconductor equipment industry, particularly the “back-end” semiconductor equipment companies that would be considered the closest to Cohu in terms of business cycles.</w:t>
      </w:r>
    </w:p>
    <w:p>
      <w:pPr>
        <w:spacing w:after="0" w:line="143"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In the first six months of 2004, Cohu’s semiconductor equipment business, as well as the semiconductor equipment industry, saw significantly improved order bookings and backlog, an indication that the severe three-year industry downturn had possibly ended. Additionally, our operating results improved during the period in part due to improved sales product mix resulting in a higher gross margin. However, our orders declined significantly in the third quarter of 2004 and business conditions in the semiconductor equipment industry have again weakened. Orders in our semiconductor equipment business in the third quarter of 2004 declined by approximately 50% from the second quarter of 2004. This decline was generally comparable to the overall decline in orders for the test and assembly segment of the semiconductor equipment industry as reported by industry trade sources and other companies. The length and severity of the industry downturn is not currently known.</w:t>
      </w:r>
    </w:p>
    <w:p>
      <w:pPr>
        <w:spacing w:after="0" w:line="149"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8"/>
          <w:szCs w:val="18"/>
          <w:color w:val="auto"/>
        </w:rPr>
        <w:t>Our operating results in the last three years and the nine months ended September 30, 2004 have been impacted by charges to cost of sales related to excess, obsolete and lower of cost or market inventory issues. These charges totaled approximately $24.5 million during the three-year period ended December 31, 2003 (approximately $3.3 million, net, in the nine months ended September 30, 2004)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158" w:lineRule="exact"/>
        <w:rPr>
          <w:sz w:val="20"/>
          <w:szCs w:val="20"/>
          <w:color w:val="auto"/>
        </w:rPr>
      </w:pPr>
    </w:p>
    <w:p>
      <w:pPr>
        <w:ind w:left="360" w:right="240"/>
        <w:spacing w:after="0" w:line="266" w:lineRule="auto"/>
        <w:rPr>
          <w:sz w:val="20"/>
          <w:szCs w:val="20"/>
          <w:color w:val="auto"/>
        </w:rPr>
      </w:pPr>
      <w:r>
        <w:rPr>
          <w:rFonts w:ascii="Times New Roman" w:cs="Times New Roman" w:eastAsia="Times New Roman" w:hAnsi="Times New Roman"/>
          <w:sz w:val="18"/>
          <w:szCs w:val="18"/>
          <w:color w:val="auto"/>
        </w:rPr>
        <w:t>Our other operating costs consist of research and development (“R&amp;D”) and selling, general and administrative expenses (“SG&amp;A”). SG&amp;A has been relatively consistent during the last three years while our R&amp;D expense declined in 2003, in part as a result of the closure of our Columbus, Ohio engineering operation.</w:t>
      </w:r>
    </w:p>
    <w:p>
      <w:pPr>
        <w:spacing w:after="0" w:line="136" w:lineRule="exact"/>
        <w:rPr>
          <w:sz w:val="20"/>
          <w:szCs w:val="20"/>
          <w:color w:val="auto"/>
        </w:rPr>
      </w:pPr>
    </w:p>
    <w:p>
      <w:pPr>
        <w:ind w:left="360" w:right="220"/>
        <w:spacing w:after="0" w:line="282" w:lineRule="auto"/>
        <w:rPr>
          <w:sz w:val="20"/>
          <w:szCs w:val="20"/>
          <w:color w:val="auto"/>
        </w:rPr>
      </w:pPr>
      <w:r>
        <w:rPr>
          <w:rFonts w:ascii="Times New Roman" w:cs="Times New Roman" w:eastAsia="Times New Roman" w:hAnsi="Times New Roman"/>
          <w:sz w:val="18"/>
          <w:szCs w:val="18"/>
          <w:color w:val="auto"/>
        </w:rPr>
        <w:t>Our non-semiconductor equipment businesses have comprised approximately 20% of our revenues during the last three years. The operating results of these businesses have deteriorated over the last several years and they accounted for a significant portion of our loss from operations in 2003.</w:t>
      </w:r>
    </w:p>
    <w:p>
      <w:pPr>
        <w:spacing w:after="0" w:line="121" w:lineRule="exact"/>
        <w:rPr>
          <w:sz w:val="20"/>
          <w:szCs w:val="20"/>
          <w:color w:val="auto"/>
        </w:rPr>
      </w:pPr>
    </w:p>
    <w:p>
      <w:pPr>
        <w:jc w:val="both"/>
        <w:ind w:left="360" w:right="560"/>
        <w:spacing w:after="0" w:line="266" w:lineRule="auto"/>
        <w:rPr>
          <w:sz w:val="20"/>
          <w:szCs w:val="20"/>
          <w:color w:val="auto"/>
        </w:rPr>
      </w:pPr>
      <w:r>
        <w:rPr>
          <w:rFonts w:ascii="Times New Roman" w:cs="Times New Roman" w:eastAsia="Times New Roman" w:hAnsi="Times New Roman"/>
          <w:sz w:val="18"/>
          <w:szCs w:val="18"/>
          <w:color w:val="auto"/>
        </w:rPr>
        <w:t>Our financial condition is very strong with significant cash and short-term investments and no long-term debt. Despite the severe downturn in the semiconductor equipment industry, during the three-year period ended December 31, 2003 we generated $30.7 million of net cash from operating activities and total cash and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investments have increased from $92.6 million at December 31, 2000 to $115.5 million at September 30, 2004.</w:t>
      </w:r>
    </w:p>
    <w:p>
      <w:pPr>
        <w:spacing w:after="0" w:line="185"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Cohu management uses several performance metrics to manage our various businesses. These metrics, which tend to focus on near 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and (iv) industry data and trends noted in various publicly released sources. Due to the short-term nature of our order backlog that historically has represented about three months of business and the inherent volatility of the semiconductor equipment business, the Company’s past performance is frequently not indicative of future operating results.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Cohu’s discussion and analysis of its financial condition and results of operations are based upon Cohu’s consolidated financial statements, which have been prepared in accordance with accounting principles generally accepted in the United States of America.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Cohu Annual Report on Form 10-K for the year ended December 31, 2003 filed with the Securities and Exchange Commission, affect the significant judgments and estimates used in the preparation of its consolidated financial statements.</w:t>
      </w:r>
    </w:p>
    <w:p>
      <w:pPr>
        <w:spacing w:after="0" w:line="142" w:lineRule="exact"/>
        <w:rPr>
          <w:sz w:val="20"/>
          <w:szCs w:val="20"/>
          <w:color w:val="auto"/>
        </w:rPr>
      </w:pPr>
    </w:p>
    <w:p>
      <w:pPr>
        <w:jc w:val="both"/>
        <w:ind w:left="360" w:right="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Cohu generally recognizes revenue upon shipment and title passage for established products (i.e., those that have previously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satisfied 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13" w:lineRule="exact"/>
        <w:rPr>
          <w:sz w:val="20"/>
          <w:szCs w:val="20"/>
          <w:color w:val="auto"/>
        </w:rPr>
      </w:pPr>
    </w:p>
    <w:p>
      <w:pPr>
        <w:ind w:left="3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Cohu maintains an allowance for doubtful accounts for estimated losses resulting from the inability of its customers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payments. If the financial condition of Cohu’s customers deteriorates, resulting in an impairment of their ability to make payments, additional allowances may be required.</w:t>
      </w:r>
    </w:p>
    <w:p>
      <w:pPr>
        <w:spacing w:after="0" w:line="144" w:lineRule="exact"/>
        <w:rPr>
          <w:sz w:val="20"/>
          <w:szCs w:val="20"/>
          <w:color w:val="auto"/>
        </w:rPr>
      </w:pPr>
    </w:p>
    <w:p>
      <w:pPr>
        <w:ind w:left="36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Cohu provides for the estimated costs of product warranties in the period sales are recognized. Cohu’s warranty obligation estimates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affected 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36"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Cohu records valuation reserves on its inventory for estimated excess and obsolete inventory and lower of cost or market concerns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39" w:lineRule="exact"/>
        <w:rPr>
          <w:sz w:val="20"/>
          <w:szCs w:val="20"/>
          <w:color w:val="auto"/>
        </w:rPr>
      </w:pPr>
    </w:p>
    <w:p>
      <w:pPr>
        <w:ind w:left="36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Cohu estimates income taxes based on the various jurisdictions where we conduct business. This requires us to estimate our 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 exposure and to assess temporary differences that result from differing treatment of certain items for tax and accounting purposes. These differences result in deferred tax</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180"/>
        <w:spacing w:after="0" w:line="255" w:lineRule="auto"/>
        <w:rPr>
          <w:sz w:val="20"/>
          <w:szCs w:val="20"/>
          <w:color w:val="auto"/>
        </w:rPr>
      </w:pPr>
      <w:r>
        <w:rPr>
          <w:rFonts w:ascii="Times New Roman" w:cs="Times New Roman" w:eastAsia="Times New Roman" w:hAnsi="Times New Roman"/>
          <w:sz w:val="18"/>
          <w:szCs w:val="18"/>
          <w:color w:val="auto"/>
        </w:rPr>
        <w:t>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2003 was $3.1 million, net of a valuation allowance of $11.7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w:t>
      </w:r>
    </w:p>
    <w:p>
      <w:pPr>
        <w:spacing w:after="0" w:line="141"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At September 30, 2004, intangible assets other than goodwill were evaluated for impairment using undiscounted cash flows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result from the use of the assets as required by FASB Statement No. 144 and we concluded there was no impairment loss. Cohu is required to assess goodwill impairment using the methodology prescribed by FASB Statement No. 142. Statement No. 142 requires that goodwill be tested for impairment on an annual basis and more frequently in certain circumstances. The required annual goodwill impairment test is performed as of October 1 of each year. Cohu did not recognize any goodwill impairment as a result of performing this annual test.</w:t>
      </w:r>
    </w:p>
    <w:p>
      <w:pPr>
        <w:spacing w:after="0" w:line="139" w:lineRule="exact"/>
        <w:rPr>
          <w:sz w:val="20"/>
          <w:szCs w:val="20"/>
          <w:color w:val="auto"/>
        </w:rPr>
      </w:pPr>
    </w:p>
    <w:p>
      <w:pPr>
        <w:ind w:left="36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Cohu is subject to certain contingencies that arise in the ordinary course of its businesses. In accordance with FASB Statement No.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we assess the likelihood that future events will confirm the existence of a loss or an impairment of an asset. If a loss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impairment is probable, as defined in Statement No. 5 and the amount of the loss or impairment is reasonably estimable, we accrue a charge to operations in the period such conditions become known.</w:t>
      </w:r>
    </w:p>
    <w:p>
      <w:pPr>
        <w:spacing w:after="0" w:line="150" w:lineRule="exact"/>
        <w:rPr>
          <w:sz w:val="20"/>
          <w:szCs w:val="20"/>
          <w:color w:val="auto"/>
        </w:rPr>
      </w:pPr>
    </w:p>
    <w:p>
      <w:pPr>
        <w:ind w:left="36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 </w:t>
      </w:r>
      <w:r>
        <w:rPr>
          <w:rFonts w:ascii="Times New Roman" w:cs="Times New Roman" w:eastAsia="Times New Roman" w:hAnsi="Times New Roman"/>
          <w:sz w:val="18"/>
          <w:szCs w:val="18"/>
          <w:color w:val="auto"/>
        </w:rPr>
        <w:t>During March 2004, the FASB issued an exposure draft of a new standard entitled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would amend SFAS No. 123, </w:t>
      </w:r>
      <w:r>
        <w:rPr>
          <w:rFonts w:ascii="Times New Roman" w:cs="Times New Roman" w:eastAsia="Times New Roman" w:hAnsi="Times New Roman"/>
          <w:sz w:val="18"/>
          <w:szCs w:val="18"/>
          <w:i w:val="1"/>
          <w:iCs w:val="1"/>
          <w:color w:val="auto"/>
        </w:rPr>
        <w:t>Accounting for Stock Based Compensation</w:t>
      </w:r>
      <w:r>
        <w:rPr>
          <w:rFonts w:ascii="Times New Roman" w:cs="Times New Roman" w:eastAsia="Times New Roman" w:hAnsi="Times New Roman"/>
          <w:sz w:val="18"/>
          <w:szCs w:val="18"/>
          <w:color w:val="auto"/>
        </w:rPr>
        <w:t xml:space="preserve">, and SFAS No. 95,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Among other items, the new standard would require the expensing, in the financial statements, of stock options issued by the Company. The new standard, as proposed, would be effective for periods beginning after June 15, 2005</w:t>
      </w:r>
    </w:p>
    <w:p>
      <w:pPr>
        <w:spacing w:after="0" w:line="140" w:lineRule="exact"/>
        <w:rPr>
          <w:sz w:val="20"/>
          <w:szCs w:val="20"/>
          <w:color w:val="auto"/>
        </w:rPr>
      </w:pPr>
    </w:p>
    <w:p>
      <w:pPr>
        <w:ind w:left="360" w:right="120"/>
        <w:spacing w:after="0" w:line="261" w:lineRule="auto"/>
        <w:rPr>
          <w:sz w:val="20"/>
          <w:szCs w:val="20"/>
          <w:color w:val="auto"/>
        </w:rPr>
      </w:pPr>
      <w:r>
        <w:rPr>
          <w:rFonts w:ascii="Times New Roman" w:cs="Times New Roman" w:eastAsia="Times New Roman" w:hAnsi="Times New Roman"/>
          <w:sz w:val="18"/>
          <w:szCs w:val="18"/>
          <w:color w:val="auto"/>
        </w:rPr>
        <w:t>Throughout most of 2004, the FASB has continued to deliberate on different aspects of a new standard, and currently expects to issue a final standard in the fourth quarter 2004. Although the Company has not yet completed an analysis to quantify the exact impact the new standard will have on its future financial performance, the disclosures in Note 1 provide detail as to the Company’s financial performance as if the Company had applied the fair value based method and recognition provisions of SFAS No. 123 to stock-based employee compensation to the current reporting periods.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 for the three and nine-month periods ended September 30.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4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5"/>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60" w:type="dxa"/>
            <w:vAlign w:val="bottom"/>
            <w:gridSpan w:val="3"/>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4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60" w:type="dxa"/>
            <w:vAlign w:val="bottom"/>
            <w:gridSpan w:val="3"/>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0"/>
                <w:szCs w:val="20"/>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660" w:type="dxa"/>
            <w:vAlign w:val="bottom"/>
          </w:tcPr>
          <w:p>
            <w:pPr>
              <w:spacing w:after="0"/>
              <w:rPr>
                <w:sz w:val="5"/>
                <w:szCs w:val="5"/>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2004 Compared to Third Quarter 2003</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Our net sales increased 59% to $54.9 million in 2004, compared to net sales of $34.5 million in the 2003 period. Sales of semiconductor test handling equipment in 2004 increased 67% from the 2003 period and accounted for 86% of consolidated net sales in 2004, versus 82% in 2003. Sales of television cameras and other equipment accounted for 9% of net sales in 2004 and increased 32% when compared to 2003, while the combined sales of metal detection and microwave equipment accounted for 5% of net sales in 2004 and increased 7% compared to 2003.</w:t>
      </w:r>
    </w:p>
    <w:p>
      <w:pPr>
        <w:spacing w:after="0" w:line="153"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The increase in sales in our semiconductor equipment business was due to the significantly improved business conditions in the semiconductor industry and was similar to sales increases experienced by other semiconductor equipment companies during the first six months of 2004. Our net sales during this period also benefited from the elimination of a liability of $1.2 million for customer sales credits that was recorded in 2001 and 2002. During the quarter ended September 30, 2004 these sales credits expired and net sales were credited for $1.2 million. The increase in sales for our television cameras and other equipment business was primarily attributable to the improved business conditions in the electronics and related industries in 2004.</w:t>
      </w:r>
    </w:p>
    <w:p>
      <w:pPr>
        <w:spacing w:after="0" w:line="143" w:lineRule="exact"/>
        <w:rPr>
          <w:sz w:val="20"/>
          <w:szCs w:val="20"/>
          <w:color w:val="auto"/>
        </w:rPr>
      </w:pPr>
    </w:p>
    <w:p>
      <w:pPr>
        <w:ind w:left="360" w:right="160"/>
        <w:spacing w:after="0" w:line="261" w:lineRule="auto"/>
        <w:rPr>
          <w:sz w:val="20"/>
          <w:szCs w:val="20"/>
          <w:color w:val="auto"/>
        </w:rPr>
      </w:pPr>
      <w:r>
        <w:rPr>
          <w:rFonts w:ascii="Times New Roman" w:cs="Times New Roman" w:eastAsia="Times New Roman" w:hAnsi="Times New Roman"/>
          <w:sz w:val="18"/>
          <w:szCs w:val="18"/>
          <w:color w:val="auto"/>
        </w:rPr>
        <w:t>At September 30, 2004, the Company had deferred revenue totaling approximately $22.4 million and deferred profit of $11.1 million. At December 31, 2003, the Company had deferred revenue totaling approximately $9.3 million and deferred profit of $4.1 million. The increase in deferred revenue and profit is primarily related to the deferral of revenue on certain new semiconductor test handlers and microwave communications equipment that have been shipped and installed and are awaiting customer acceptance.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02" w:lineRule="exact"/>
        <w:rPr>
          <w:sz w:val="20"/>
          <w:szCs w:val="20"/>
          <w:color w:val="auto"/>
        </w:rPr>
      </w:pPr>
    </w:p>
    <w:p>
      <w:pPr>
        <w:ind w:left="360" w:right="100"/>
        <w:spacing w:after="0" w:line="255" w:lineRule="auto"/>
        <w:rPr>
          <w:sz w:val="20"/>
          <w:szCs w:val="20"/>
          <w:color w:val="auto"/>
        </w:rPr>
      </w:pPr>
      <w:r>
        <w:rPr>
          <w:rFonts w:ascii="Times New Roman" w:cs="Times New Roman" w:eastAsia="Times New Roman" w:hAnsi="Times New Roman"/>
          <w:sz w:val="18"/>
          <w:szCs w:val="18"/>
          <w:color w:val="auto"/>
        </w:rPr>
        <w:t xml:space="preserve">Gross margin as a percentage of net sales increased to 37.1% in 2004 from 30.5% in 2003, as a result of higher margins in the semiconductor equipment business. Within the semiconductor equipment segment, margins increased in 2004, primarily as a result of increased business volume and changes in product mix. Cohu computes the majority of its excess and obsolete inventory reserve requirements using a one-year inventory usage forecast. During 2004 and 2003, we recorded net charges to cost of sales of approximately $2.3 million and $1.3 million, respectively, for excess and obsolete inventory. While we believe our reserves for excess and obsolete inventory are adequate to cover our exposures at September 30, 2004, reductions in customer forecasts or continued modifications to products, including our newest handler Delta </w:t>
      </w:r>
      <w:r>
        <w:rPr>
          <w:rFonts w:ascii="Times New Roman" w:cs="Times New Roman" w:eastAsia="Times New Roman" w:hAnsi="Times New Roman"/>
          <w:sz w:val="18"/>
          <w:szCs w:val="18"/>
          <w:b w:val="1"/>
          <w:bCs w:val="1"/>
          <w:i w:val="1"/>
          <w:iCs w:val="1"/>
          <w:color w:val="auto"/>
        </w:rPr>
        <w:t>EDGE</w:t>
      </w:r>
      <w:r>
        <w:rPr>
          <w:rFonts w:ascii="Times New Roman" w:cs="Times New Roman" w:eastAsia="Times New Roman" w:hAnsi="Times New Roman"/>
          <w:sz w:val="18"/>
          <w:szCs w:val="18"/>
          <w:color w:val="auto"/>
        </w:rPr>
        <w:t>™, may require additional charges to operations that could negatively impact our gross margin in future periods. Conversely, if our actual inventory usage is greater than our forecasted usage, our gross margin may be favorably impacted in future periods.</w:t>
      </w:r>
    </w:p>
    <w:p>
      <w:pPr>
        <w:spacing w:after="0" w:line="145" w:lineRule="exact"/>
        <w:rPr>
          <w:sz w:val="20"/>
          <w:szCs w:val="20"/>
          <w:color w:val="auto"/>
        </w:rPr>
      </w:pPr>
    </w:p>
    <w:p>
      <w:pPr>
        <w:ind w:left="360" w:right="200"/>
        <w:spacing w:after="0" w:line="282" w:lineRule="auto"/>
        <w:rPr>
          <w:sz w:val="20"/>
          <w:szCs w:val="20"/>
          <w:color w:val="auto"/>
        </w:rPr>
      </w:pPr>
      <w:r>
        <w:rPr>
          <w:rFonts w:ascii="Times New Roman" w:cs="Times New Roman" w:eastAsia="Times New Roman" w:hAnsi="Times New Roman"/>
          <w:sz w:val="18"/>
          <w:szCs w:val="18"/>
          <w:color w:val="auto"/>
        </w:rPr>
        <w:t>In 2003, we recorded a charge to cost of sales of approximately $1.7 million as a result of inventory market valuation writedowns. In the quarter ended September 30, 2004, we sold certain of this inventory and our gross margin was favorably impacted by approximately $150,000.</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60" w:right="140"/>
        <w:spacing w:after="0" w:line="261" w:lineRule="auto"/>
        <w:rPr>
          <w:sz w:val="20"/>
          <w:szCs w:val="20"/>
          <w:color w:val="auto"/>
        </w:rPr>
      </w:pPr>
      <w:r>
        <w:rPr>
          <w:rFonts w:ascii="Times New Roman" w:cs="Times New Roman" w:eastAsia="Times New Roman" w:hAnsi="Times New Roman"/>
          <w:sz w:val="18"/>
          <w:szCs w:val="18"/>
          <w:color w:val="auto"/>
        </w:rPr>
        <w:t>R&amp;D expense as a percentage of net sales was 13.1% in 2004, compared to 16.2% in 2003, increasing in absolute dollars from $5.6 million in 2003 to $7.2 million in 2004. The increase in R&amp;D was primarily the result of higher R&amp;D labor and material costs for product development in the semiconductor equipment and microwave communications businesses, offset by a decrease in expenditures in the television camera and metal detection businesses.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360" w:right="80"/>
        <w:spacing w:after="0" w:line="282" w:lineRule="auto"/>
        <w:rPr>
          <w:sz w:val="20"/>
          <w:szCs w:val="20"/>
          <w:color w:val="auto"/>
        </w:rPr>
      </w:pPr>
      <w:r>
        <w:rPr>
          <w:rFonts w:ascii="Times New Roman" w:cs="Times New Roman" w:eastAsia="Times New Roman" w:hAnsi="Times New Roman"/>
          <w:sz w:val="18"/>
          <w:szCs w:val="18"/>
          <w:color w:val="auto"/>
        </w:rPr>
        <w:t>SG&amp;A expense as a percentage of net sales decreased to 14.0% in 2004, from 18.4% in 2003, increasing in absolute dollars from $6.3 million in 2003 to $7.7 million in 2004. The increase in SG&amp;A expense was primarily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1260"/>
        <w:spacing w:after="0" w:line="454" w:lineRule="auto"/>
        <w:rPr>
          <w:sz w:val="20"/>
          <w:szCs w:val="20"/>
          <w:color w:val="auto"/>
        </w:rPr>
      </w:pPr>
      <w:r>
        <w:rPr>
          <w:rFonts w:ascii="Times New Roman" w:cs="Times New Roman" w:eastAsia="Times New Roman" w:hAnsi="Times New Roman"/>
          <w:sz w:val="18"/>
          <w:szCs w:val="18"/>
          <w:color w:val="auto"/>
        </w:rPr>
        <w:t xml:space="preserve">related to increased business volume across all of Cohu’s businesses and costs incurred to comply with the Sarbanes-Oxley Act of 2002. </w:t>
      </w:r>
      <w:r>
        <w:rPr>
          <w:rFonts w:ascii="Times New Roman" w:cs="Times New Roman" w:eastAsia="Times New Roman" w:hAnsi="Times New Roman"/>
          <w:sz w:val="18"/>
          <w:szCs w:val="18"/>
          <w:b w:val="1"/>
          <w:bCs w:val="1"/>
          <w:i w:val="1"/>
          <w:iCs w:val="1"/>
          <w:color w:val="auto"/>
        </w:rPr>
        <w:t>Interest Income</w:t>
      </w:r>
    </w:p>
    <w:p>
      <w:pPr>
        <w:ind w:left="360" w:right="120"/>
        <w:spacing w:after="0" w:line="282" w:lineRule="auto"/>
        <w:rPr>
          <w:sz w:val="20"/>
          <w:szCs w:val="20"/>
          <w:color w:val="auto"/>
        </w:rPr>
      </w:pPr>
      <w:r>
        <w:rPr>
          <w:rFonts w:ascii="Times New Roman" w:cs="Times New Roman" w:eastAsia="Times New Roman" w:hAnsi="Times New Roman"/>
          <w:sz w:val="18"/>
          <w:szCs w:val="18"/>
          <w:color w:val="auto"/>
        </w:rPr>
        <w:t>Interest income was $0.4 million and $0.7 million in 2004 and 2003, respectively. The decrease in interest income was due to lower interest rates on our investments.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provision (benefit) for income taxes expressed as a percentage of pre-tax income was 11.9% in 2004 and (14.0)% in 2003. The provision</w:t>
      </w:r>
    </w:p>
    <w:p>
      <w:pPr>
        <w:spacing w:after="0" w:line="27" w:lineRule="exact"/>
        <w:rPr>
          <w:sz w:val="20"/>
          <w:szCs w:val="20"/>
          <w:color w:val="auto"/>
        </w:rPr>
      </w:pPr>
    </w:p>
    <w:p>
      <w:pPr>
        <w:ind w:left="360" w:right="40"/>
        <w:spacing w:after="0" w:line="265" w:lineRule="auto"/>
        <w:rPr>
          <w:sz w:val="20"/>
          <w:szCs w:val="20"/>
          <w:color w:val="auto"/>
        </w:rPr>
      </w:pPr>
      <w:r>
        <w:rPr>
          <w:rFonts w:ascii="Times New Roman" w:cs="Times New Roman" w:eastAsia="Times New Roman" w:hAnsi="Times New Roman"/>
          <w:sz w:val="17"/>
          <w:szCs w:val="17"/>
          <w:color w:val="auto"/>
        </w:rPr>
        <w:t>(benefit) for income taxes is based on the estimated effective tax rate for the entire year and in 2004 is lower than the U.S. federal statutory rate primarily due to the significant deferred tax valuation allowance recorded at December 31, 2003. The estimated effective tax rate is subject to adjustment in subsequent quarterly periods as our estimates of pretax income or loss for the year are increased or decreased. In accordance with FASB Statement</w:t>
      </w:r>
    </w:p>
    <w:p>
      <w:pPr>
        <w:spacing w:after="0" w:line="1" w:lineRule="exact"/>
        <w:rPr>
          <w:sz w:val="20"/>
          <w:szCs w:val="20"/>
          <w:color w:val="auto"/>
        </w:rPr>
      </w:pPr>
    </w:p>
    <w:p>
      <w:pPr>
        <w:ind w:left="360"/>
        <w:spacing w:after="0" w:line="252" w:lineRule="auto"/>
        <w:rPr>
          <w:sz w:val="20"/>
          <w:szCs w:val="20"/>
          <w:color w:val="auto"/>
        </w:rPr>
      </w:pPr>
      <w:r>
        <w:rPr>
          <w:rFonts w:ascii="Times New Roman" w:cs="Times New Roman" w:eastAsia="Times New Roman" w:hAnsi="Times New Roman"/>
          <w:sz w:val="18"/>
          <w:szCs w:val="18"/>
          <w:color w:val="auto"/>
        </w:rPr>
        <w:t xml:space="preserve">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net deferred tax assets are reduced by a valuation allowance, if based on all the available evidence, it is more likely than not that some or all of the deferred tax assets will not be realized. A valuation allowance of approximately $11.7 million had been provided on deferred tax assets at December 31, 2003, primarily due to uncertainties of realizing net deferred tax assets in excess of income expected to be generated from future income and certain tax planning strategies. We determined that the valuation allowance was required based upon our recent losses, and the likelihood of generating sufficient additional taxable income in future years to obtain benefit from the reversal of temporary differences and net operating loss and tax credit carryforwards.</w:t>
      </w:r>
    </w:p>
    <w:p>
      <w:pPr>
        <w:spacing w:after="0" w:line="150"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At September 30, 2004, Cohu reassessed the appropriateness of the valuation allowance. We concluded that, despite the improvement in operating results that were significantly better than forecast, it would be premature to reverse the valuation allowance that existed at December 31, 2003 other than to the extent necessary to reduce current tax expense generated by 2004 income. We will continue to assess the appropriateness of the valuation allowance in the fourth quarter of 2004. Cohu may adjust the allowance if, based on a careful assessment of business prospects and estimates of future income, we conclude that all or a portion of the allowance is no longer required. A reduction in the allowance would result in a corresponding credit to income tax expense.</w:t>
      </w:r>
    </w:p>
    <w:p>
      <w:pPr>
        <w:spacing w:after="0" w:line="161" w:lineRule="exact"/>
        <w:rPr>
          <w:sz w:val="20"/>
          <w:szCs w:val="20"/>
          <w:color w:val="auto"/>
        </w:rPr>
      </w:pPr>
    </w:p>
    <w:p>
      <w:pPr>
        <w:ind w:left="360" w:right="40"/>
        <w:spacing w:after="0" w:line="258" w:lineRule="auto"/>
        <w:rPr>
          <w:sz w:val="20"/>
          <w:szCs w:val="20"/>
          <w:color w:val="auto"/>
        </w:rPr>
      </w:pPr>
      <w:r>
        <w:rPr>
          <w:rFonts w:ascii="Times New Roman" w:cs="Times New Roman" w:eastAsia="Times New Roman" w:hAnsi="Times New Roman"/>
          <w:sz w:val="18"/>
          <w:szCs w:val="18"/>
          <w:color w:val="auto"/>
        </w:rPr>
        <w:t>The IRS is conducting a routine examination of Cohu’s consolidated tax returns for the period 2000 through 2002. We expect the IRS examination to be completed in 2004. If the examination is concluded in 2004, any adjustments that result from the IRS examination will be reflected in our 2004 results of operations. Cohu believes that such adjustments, if any, are adequately provided for in the consolidated financial statements. A favorable outcome from the examination may result in a credit to income tax expense while an unfavorable outcome may result in an increase to income tax expense in the quarter the examination is concluded.</w:t>
      </w:r>
    </w:p>
    <w:p>
      <w:pPr>
        <w:spacing w:after="0" w:line="143" w:lineRule="exact"/>
        <w:rPr>
          <w:sz w:val="20"/>
          <w:szCs w:val="20"/>
          <w:color w:val="auto"/>
        </w:rPr>
      </w:pPr>
    </w:p>
    <w:p>
      <w:pPr>
        <w:ind w:left="360" w:right="40"/>
        <w:spacing w:after="0" w:line="255" w:lineRule="auto"/>
        <w:rPr>
          <w:sz w:val="20"/>
          <w:szCs w:val="20"/>
          <w:color w:val="auto"/>
        </w:rPr>
      </w:pPr>
      <w:r>
        <w:rPr>
          <w:rFonts w:ascii="Times New Roman" w:cs="Times New Roman" w:eastAsia="Times New Roman" w:hAnsi="Times New Roman"/>
          <w:sz w:val="18"/>
          <w:szCs w:val="18"/>
          <w:color w:val="auto"/>
        </w:rPr>
        <w:t>The Company has derived significant tax benefits from the research credit under Section 41 of the Internal Revenue Code and the Extraterritorial Income Exclusion (ETI). The President signed legislation extending the research credit through December 31, 2005, repealing the ETI regime, which the World Trade Organization (WTO) had ruled an illegal export subsidy, and approved tax relief for U.S. based manufacturing activities. The recently signed legislation repeals the ETI exclusion for transactions entered into after December 31, 2004 subject to a phase-out that would allow the company to claim full ETI benefits in 2004, 80% of the benefits in 2005 and 60% in 2006 and created a deduction for domestic manufacturing activities, with a phased in rate beginning in 2005. It is not currently known the extent that the Company will be able to realize the benefit from the domestic manufacturing deduction in future years and whether the provision could partly or entirely replace the lost ETI benefit.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202" w:lineRule="exact"/>
        <w:rPr>
          <w:sz w:val="20"/>
          <w:szCs w:val="20"/>
          <w:color w:val="auto"/>
        </w:rPr>
      </w:pPr>
    </w:p>
    <w:p>
      <w:pPr>
        <w:ind w:left="360" w:right="580"/>
        <w:spacing w:after="0" w:line="282" w:lineRule="auto"/>
        <w:rPr>
          <w:sz w:val="20"/>
          <w:szCs w:val="20"/>
          <w:color w:val="auto"/>
        </w:rPr>
      </w:pPr>
      <w:r>
        <w:rPr>
          <w:rFonts w:ascii="Times New Roman" w:cs="Times New Roman" w:eastAsia="Times New Roman" w:hAnsi="Times New Roman"/>
          <w:sz w:val="18"/>
          <w:szCs w:val="18"/>
          <w:color w:val="auto"/>
        </w:rPr>
        <w:t>In 2003, Cohu through its Broadcast Microwave Services (BMS) subsidiary was awarded an $8.5 million contract from the United Arab Emirates (UAE) Armed Services to provide microwave communications equipment for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18"/>
          <w:szCs w:val="18"/>
          <w:color w:val="auto"/>
        </w:rPr>
        <w:t>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Cohu will recognize revenue and related costs under this contract in the period the system is accepted by the customer. Through September 30, 2004, we had shipped inventory with a sales value of $6.0 million and deferred costs of approximately $4.2 million resulting in deferred profit of approximately $1.8 million under the contract. In addition, at September 30, 2004, we had inventory to be delivered under the contract of approximately $1.3 million and accounts receivable of approximately $2.8 million. Cohu has also provided the customer with a standby letter of credit totaling approximately $2.5 million at September 30, 2004, that may be drawn upon if BMS does not fulfill the terms of the contract. We currently expect equipment and system installation to be completed in 2004. If BMS is unable to successfully complete the installation of the equipment and obtain customer acceptance of the system, the related inventory and receivables may need to be written off, the customer might seek a refund of the $3.2 million in payments made to BMS under the contract and our business, results of operations and financial condition would be materially impacted.</w:t>
      </w:r>
    </w:p>
    <w:p>
      <w:pPr>
        <w:spacing w:after="0" w:line="152" w:lineRule="exact"/>
        <w:rPr>
          <w:sz w:val="20"/>
          <w:szCs w:val="20"/>
          <w:color w:val="auto"/>
        </w:rPr>
      </w:pPr>
    </w:p>
    <w:p>
      <w:pPr>
        <w:ind w:left="360" w:right="1860"/>
        <w:spacing w:after="0" w:line="459" w:lineRule="auto"/>
        <w:rPr>
          <w:sz w:val="20"/>
          <w:szCs w:val="20"/>
          <w:color w:val="auto"/>
        </w:rPr>
      </w:pPr>
      <w:r>
        <w:rPr>
          <w:rFonts w:ascii="Times New Roman" w:cs="Times New Roman" w:eastAsia="Times New Roman" w:hAnsi="Times New Roman"/>
          <w:sz w:val="18"/>
          <w:szCs w:val="18"/>
          <w:color w:val="auto"/>
        </w:rPr>
        <w:t xml:space="preserve">As a result of the factors set forth above, our net income was $5.2 million in 2004, compared to net loss of $0.6 million in 2003. </w:t>
      </w:r>
      <w:r>
        <w:rPr>
          <w:rFonts w:ascii="Times New Roman" w:cs="Times New Roman" w:eastAsia="Times New Roman" w:hAnsi="Times New Roman"/>
          <w:sz w:val="18"/>
          <w:szCs w:val="18"/>
          <w:b w:val="1"/>
          <w:bCs w:val="1"/>
          <w:i w:val="1"/>
          <w:iCs w:val="1"/>
          <w:color w:val="auto"/>
        </w:rPr>
        <w:t>Nine Months Ended September 30, 2004 Compared to Nine Months Ended September 30, 2003</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Our net sales increased 41% to $138.2 million in 2004, compared to net sales of $97.7 million in the 2003 period. Sales of semiconductor test handling equipment in 2004 increased 48% from the 2003 period and accounted for 84% of consolidated net sales in 2004, versus 80% in 2003. Sales of television cameras and other equipment accounted for 11% of net sales in 2004 and increased 22% when compared to 2003, while the combined sales of metal detection and microwave equipment accounted for 5% of net sales and increased 2% compared to 2003.</w:t>
      </w:r>
    </w:p>
    <w:p>
      <w:pPr>
        <w:spacing w:after="0" w:line="140"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The increase in sales in our semiconductor equipment business was due to the significantly improved business conditions in the semiconductor industry and was similar to sales increases experienced by other semiconductor equipment companies during the first six months of 2004. Our net sales during this period also benefited from the elimination of a liability of $1.2 million for customer sales credits that was recorded in 2001 and 2002. During the quarter ended September 30, 2004 these sales credits expired and net sales were credited for $1.2 million. The increase in sales for our television cameras and other equipment business was primarily attributable to the improved business conditions in the electronics and related industries in 2004.</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ind w:left="360" w:right="200"/>
        <w:spacing w:after="0" w:line="258" w:lineRule="auto"/>
        <w:rPr>
          <w:sz w:val="20"/>
          <w:szCs w:val="20"/>
          <w:color w:val="auto"/>
        </w:rPr>
      </w:pPr>
      <w:r>
        <w:rPr>
          <w:rFonts w:ascii="Times New Roman" w:cs="Times New Roman" w:eastAsia="Times New Roman" w:hAnsi="Times New Roman"/>
          <w:sz w:val="18"/>
          <w:szCs w:val="18"/>
          <w:color w:val="auto"/>
        </w:rPr>
        <w:t>Gross margin as a percentage of net sales increased to 40.7% in 2004 from 32.6% in 2003, primarily as a result of higher margins in the semiconductor equipment business. Within the semiconductor equipment segment, margins increased in 2004, primarily as a result of changes in product mix and increased business volume. Cohu computes the majority of its excess and obsolete inventory reserve requirements using a one-year inventory usage forecast. During 2004 and 2003 we recorded net charges to cost of sales of approximately $4.5 million and $4.3 million, respectively, for excess and obsolete inventory.</w:t>
      </w:r>
    </w:p>
    <w:p>
      <w:pPr>
        <w:spacing w:after="0" w:line="143" w:lineRule="exact"/>
        <w:rPr>
          <w:sz w:val="20"/>
          <w:szCs w:val="20"/>
          <w:color w:val="auto"/>
        </w:rPr>
      </w:pPr>
    </w:p>
    <w:p>
      <w:pPr>
        <w:ind w:left="360" w:right="14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2004, our gross margin was favorably impacted by approximately $1.2 million, as a result of the sale of certain inventory that was written down in 2003.</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60" w:right="160"/>
        <w:spacing w:after="0" w:line="282" w:lineRule="auto"/>
        <w:rPr>
          <w:sz w:val="20"/>
          <w:szCs w:val="20"/>
          <w:color w:val="auto"/>
        </w:rPr>
      </w:pPr>
      <w:r>
        <w:rPr>
          <w:rFonts w:ascii="Times New Roman" w:cs="Times New Roman" w:eastAsia="Times New Roman" w:hAnsi="Times New Roman"/>
          <w:sz w:val="18"/>
          <w:szCs w:val="18"/>
          <w:color w:val="auto"/>
        </w:rPr>
        <w:t>R&amp;D expense as a percentage of net sales was 14.4% in 2004, compared to 18.5% in 2003, increasing in absolute dollars from $18.1 million in 2003 to $19.9 million in 2004. The increase in R&amp;D was primarily the result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120"/>
        <w:spacing w:after="0" w:line="282" w:lineRule="auto"/>
        <w:rPr>
          <w:sz w:val="20"/>
          <w:szCs w:val="20"/>
          <w:color w:val="auto"/>
        </w:rPr>
      </w:pPr>
      <w:r>
        <w:rPr>
          <w:rFonts w:ascii="Times New Roman" w:cs="Times New Roman" w:eastAsia="Times New Roman" w:hAnsi="Times New Roman"/>
          <w:sz w:val="18"/>
          <w:szCs w:val="18"/>
          <w:color w:val="auto"/>
        </w:rPr>
        <w:t>higher R&amp;D labor and material costs for product development in the semiconductor equipment and television camera businesses, offset by a decrease in expenditures in the metal detection and microwave communications businesses.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360" w:right="180"/>
        <w:spacing w:after="0" w:line="282" w:lineRule="auto"/>
        <w:rPr>
          <w:sz w:val="20"/>
          <w:szCs w:val="20"/>
          <w:color w:val="auto"/>
        </w:rPr>
      </w:pPr>
      <w:r>
        <w:rPr>
          <w:rFonts w:ascii="Times New Roman" w:cs="Times New Roman" w:eastAsia="Times New Roman" w:hAnsi="Times New Roman"/>
          <w:sz w:val="18"/>
          <w:szCs w:val="18"/>
          <w:color w:val="auto"/>
        </w:rPr>
        <w:t>SG&amp;A expense as a percentage of net sales decreased to 15.8% in 2004, from 18.7% in 2003, increasing in absolute dollars from $18.3 million in 2003 to $21.8 million in 2004. The increase in SG&amp;A expense was primarily related to increased business volume across all of Cohu’s businesses.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360" w:right="120"/>
        <w:spacing w:after="0" w:line="282" w:lineRule="auto"/>
        <w:rPr>
          <w:sz w:val="20"/>
          <w:szCs w:val="20"/>
          <w:color w:val="auto"/>
        </w:rPr>
      </w:pPr>
      <w:r>
        <w:rPr>
          <w:rFonts w:ascii="Times New Roman" w:cs="Times New Roman" w:eastAsia="Times New Roman" w:hAnsi="Times New Roman"/>
          <w:sz w:val="18"/>
          <w:szCs w:val="18"/>
          <w:color w:val="auto"/>
        </w:rPr>
        <w:t>Interest income was $1.3 million and $1.8 million in 2004 and 2003, respectively. The decrease in interest income was due to lower interest rates on our investments.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360" w:right="260"/>
        <w:spacing w:after="0" w:line="266" w:lineRule="auto"/>
        <w:rPr>
          <w:sz w:val="20"/>
          <w:szCs w:val="20"/>
          <w:color w:val="auto"/>
        </w:rPr>
      </w:pPr>
      <w:r>
        <w:rPr>
          <w:rFonts w:ascii="Times New Roman" w:cs="Times New Roman" w:eastAsia="Times New Roman" w:hAnsi="Times New Roman"/>
          <w:sz w:val="18"/>
          <w:szCs w:val="18"/>
          <w:color w:val="auto"/>
        </w:rPr>
        <w:t>The provision for income taxes expressed as a percentage of pre-tax income was 10.1% in 2004 and 22.1% in 2003. The provision for income taxes is based on the estimated effective tax rate for the entire year and in 2004 is lower than the U.S. federal statutory rate primarily due to the significant deferred tax valuation allowance recorded at December 31, 2003.</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89" w:lineRule="exact"/>
        <w:rPr>
          <w:sz w:val="20"/>
          <w:szCs w:val="20"/>
          <w:color w:val="auto"/>
        </w:rPr>
      </w:pPr>
    </w:p>
    <w:p>
      <w:pPr>
        <w:ind w:left="360" w:right="80"/>
        <w:spacing w:after="0" w:line="266" w:lineRule="auto"/>
        <w:rPr>
          <w:sz w:val="20"/>
          <w:szCs w:val="20"/>
          <w:color w:val="auto"/>
        </w:rPr>
      </w:pPr>
      <w:r>
        <w:rPr>
          <w:rFonts w:ascii="Times New Roman" w:cs="Times New Roman" w:eastAsia="Times New Roman" w:hAnsi="Times New Roman"/>
          <w:sz w:val="18"/>
          <w:szCs w:val="18"/>
          <w:color w:val="auto"/>
        </w:rPr>
        <w:t>On April 10, 2003, Cohu announced that its Delta Design subsidiary was relocating its Littleton, Massachusetts operation to its headquarters facility in Poway, California. The consolidation was substantially complete by March 31, 2004. Cohu incurred charges of approximately $0.3 million in the second quarter of 2003 and $0.2 million in the first quarter of 2004, for severance and other related exit costs.</w:t>
      </w:r>
    </w:p>
    <w:p>
      <w:pPr>
        <w:spacing w:after="0" w:line="149" w:lineRule="exact"/>
        <w:rPr>
          <w:sz w:val="20"/>
          <w:szCs w:val="20"/>
          <w:color w:val="auto"/>
        </w:rPr>
      </w:pPr>
    </w:p>
    <w:p>
      <w:pPr>
        <w:ind w:left="360" w:right="180"/>
        <w:spacing w:after="0" w:line="281" w:lineRule="auto"/>
        <w:rPr>
          <w:sz w:val="20"/>
          <w:szCs w:val="20"/>
          <w:color w:val="auto"/>
        </w:rPr>
      </w:pPr>
      <w:r>
        <w:rPr>
          <w:rFonts w:ascii="Times New Roman" w:cs="Times New Roman" w:eastAsia="Times New Roman" w:hAnsi="Times New Roman"/>
          <w:sz w:val="17"/>
          <w:szCs w:val="17"/>
          <w:color w:val="auto"/>
        </w:rPr>
        <w:t>In April 2003, Cohu’s Delta Design subsidiary completed the relocation of its Columbus, Ohio operations to its headquarters facility in Poway, California. The consolidation reduced costs without impacting the revenue generating activities of Delta Design. We recorded charges to operations in the quarter ended March 31, 2003, totaling $0.6 million for severance and one-time termination benefits and $0.1 million for contract termination costs primarily related to the leased facility. Exit-related costs charged to operations subsequent to the quarter ended March 31, 2003 were not significant.</w:t>
      </w:r>
    </w:p>
    <w:p>
      <w:pPr>
        <w:spacing w:after="0" w:line="124" w:lineRule="exact"/>
        <w:rPr>
          <w:sz w:val="20"/>
          <w:szCs w:val="20"/>
          <w:color w:val="auto"/>
        </w:rPr>
      </w:pPr>
    </w:p>
    <w:p>
      <w:pPr>
        <w:ind w:left="360" w:right="60"/>
        <w:spacing w:after="0" w:line="261" w:lineRule="auto"/>
        <w:rPr>
          <w:sz w:val="20"/>
          <w:szCs w:val="20"/>
          <w:color w:val="auto"/>
        </w:rPr>
      </w:pPr>
      <w:r>
        <w:rPr>
          <w:rFonts w:ascii="Times New Roman" w:cs="Times New Roman" w:eastAsia="Times New Roman" w:hAnsi="Times New Roman"/>
          <w:sz w:val="18"/>
          <w:szCs w:val="18"/>
          <w:color w:val="auto"/>
        </w:rPr>
        <w:t>On April 25, 2003, Cohu sold twelve acres of land in Poway, California held for future development for $8.8 million in net cash proceeds resulting in a pretax gain of approximately $7.9 million. Additionally, in the quarter ended June 30, 2003, Cohu wrote off an equity investment in a privately-held company and recorded a $2.5 million charge to operating results as the investment was deemed impaired and such impairment was considered other than temporary, pursuant to APB No. 18.</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a result of the factors set forth above, our net income was $14.2 million in 2004, compared to net income of $2.1 million in 2003.</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360"/>
        <w:spacing w:after="0" w:line="257" w:lineRule="auto"/>
        <w:rPr>
          <w:sz w:val="20"/>
          <w:szCs w:val="20"/>
          <w:color w:val="auto"/>
        </w:rPr>
      </w:pPr>
      <w:r>
        <w:rPr>
          <w:rFonts w:ascii="Times New Roman" w:cs="Times New Roman" w:eastAsia="Times New Roman" w:hAnsi="Times New Roman"/>
          <w:sz w:val="18"/>
          <w:szCs w:val="18"/>
          <w:color w:val="auto"/>
        </w:rPr>
        <w:t>Our net cash flows provided from operating activities in the first nine months of 2004 totaled $2.0 million. The major components of cash flows provided by operating activities were net income of $14.2 million, offset by the net change in current assets and liabilities totaling $15.2 million, and depreciation and amortization of $3.0 million. The net change in current assets and liabilities included increases in accounts receivable and inventories of</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$16.3 million and $9.9 million, respectively. These increases were primarily attributable to the improved business conditions in the semiconductor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equipment business that drove higher sales and order activity during the first six months of 2004. Net cash used for investing activities included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$4.6 million for the purchase of short-term investments, less sales and maturities, and purchases of property, plant and equipment and other assets 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100"/>
        <w:spacing w:after="0" w:line="261" w:lineRule="auto"/>
        <w:rPr>
          <w:sz w:val="20"/>
          <w:szCs w:val="20"/>
          <w:color w:val="auto"/>
        </w:rPr>
      </w:pPr>
      <w:r>
        <w:rPr>
          <w:rFonts w:ascii="Times New Roman" w:cs="Times New Roman" w:eastAsia="Times New Roman" w:hAnsi="Times New Roman"/>
          <w:sz w:val="18"/>
          <w:szCs w:val="18"/>
          <w:color w:val="auto"/>
        </w:rPr>
        <w:t>$1.8 million offset by a $9.0 million payment received on a note receivable. The purchases of property, plant and equipment were primarily made to support activities in the semiconductor equipment business and consisted of software and equipment used in manufacturing and other related functions. Cash used for financing activities included $2.0 million received from the issuance of stock upon the exercise of stock options offset by $3.2 million for the payment of dividends.</w:t>
      </w:r>
    </w:p>
    <w:p>
      <w:pPr>
        <w:spacing w:after="0" w:line="140" w:lineRule="exact"/>
        <w:rPr>
          <w:sz w:val="20"/>
          <w:szCs w:val="20"/>
          <w:color w:val="auto"/>
        </w:rPr>
      </w:pPr>
    </w:p>
    <w:p>
      <w:pPr>
        <w:ind w:left="360" w:right="60"/>
        <w:spacing w:after="0" w:line="256" w:lineRule="auto"/>
        <w:rPr>
          <w:sz w:val="20"/>
          <w:szCs w:val="20"/>
          <w:color w:val="auto"/>
        </w:rPr>
      </w:pPr>
      <w:r>
        <w:rPr>
          <w:rFonts w:ascii="Times New Roman" w:cs="Times New Roman" w:eastAsia="Times New Roman" w:hAnsi="Times New Roman"/>
          <w:sz w:val="18"/>
          <w:szCs w:val="18"/>
          <w:color w:val="auto"/>
        </w:rPr>
        <w:t>In June 2004, Cohu renewed its $5.0 million line of credit, which provides working capital. The line of credit requires us to maintain specified minimum levels of net worth, limits the amount of capital expenditures and to meet certain other financial covenants. We are currently in compliance with these covenants. Approximately $2.5 million of the line of credit has been allocated to outstanding standby letters of credit, and Cohu had approximately $2.5 million available for borrowing on September 30, 2004. We expect that we will continue to make capital expenditures to support our business and we anticipate that present working capital and available borrowings under the line of credit will be sufficient to meet our operating requirements for at least the next twelve months.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02"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Cohu provides standby letters of credit instruments to certain parties as required. As of September 30, 2004, the maximum potential amount of future payments that Cohu could be required to make under these standby letters of credit was approximately $2.5 million. Cohu has not recorded any liability in connection with these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TRENDS, RISKS AND UNCERTAINTIES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we serve is highly volatile and unpredictable.</w:t>
      </w:r>
    </w:p>
    <w:p>
      <w:pPr>
        <w:spacing w:after="0" w:line="202"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2003 and late 2004.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2003, 2002 and 2001, we recorded pretax inventory-related charges of approximately $4.6 million, $4.1 million and $15.9 million, respectively, primarily as a result of changes in customer forecasts.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substantial percentage of our net sales.</w:t>
      </w:r>
    </w:p>
    <w:p>
      <w:pPr>
        <w:spacing w:after="0" w:line="189"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auto"/>
        </w:rPr>
        <w:t>We rely on a limited number of customers for a substantial percentage of our net sales. In the year ended December 31, 2003, two customers of the semiconductor equipment segment accounted for 57% (53% in 2002, and 44% in 2001)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spacing w:after="0" w:line="281" w:lineRule="auto"/>
        <w:rPr>
          <w:sz w:val="20"/>
          <w:szCs w:val="20"/>
          <w:color w:val="auto"/>
        </w:rPr>
      </w:pPr>
      <w:r>
        <w:rPr>
          <w:rFonts w:ascii="Times New Roman" w:cs="Times New Roman" w:eastAsia="Times New Roman" w:hAnsi="Times New Roman"/>
          <w:sz w:val="17"/>
          <w:szCs w:val="17"/>
          <w:color w:val="auto"/>
        </w:rPr>
        <w:t>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in general and the test handler market in particular, is highly competitive.</w:t>
      </w:r>
    </w:p>
    <w:p>
      <w:pPr>
        <w:spacing w:after="0" w:line="189" w:lineRule="exact"/>
        <w:rPr>
          <w:sz w:val="20"/>
          <w:szCs w:val="20"/>
          <w:color w:val="auto"/>
        </w:rPr>
      </w:pPr>
    </w:p>
    <w:p>
      <w:pPr>
        <w:ind w:left="360" w:right="20"/>
        <w:spacing w:after="0" w:line="252" w:lineRule="auto"/>
        <w:rPr>
          <w:sz w:val="20"/>
          <w:szCs w:val="20"/>
          <w:color w:val="auto"/>
        </w:rPr>
      </w:pPr>
      <w:r>
        <w:rPr>
          <w:rFonts w:ascii="Times New Roman" w:cs="Times New Roman" w:eastAsia="Times New Roman" w:hAnsi="Times New Roman"/>
          <w:sz w:val="18"/>
          <w:szCs w:val="18"/>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66" w:lineRule="exact"/>
        <w:rPr>
          <w:sz w:val="20"/>
          <w:szCs w:val="20"/>
          <w:color w:val="auto"/>
        </w:rPr>
      </w:pPr>
    </w:p>
    <w:p>
      <w:pPr>
        <w:ind w:left="3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18" w:lineRule="exact"/>
        <w:rPr>
          <w:sz w:val="20"/>
          <w:szCs w:val="20"/>
          <w:color w:val="auto"/>
        </w:rPr>
      </w:pPr>
    </w:p>
    <w:p>
      <w:pPr>
        <w:ind w:left="360" w:right="80"/>
        <w:spacing w:after="0" w:line="254" w:lineRule="auto"/>
        <w:rPr>
          <w:sz w:val="20"/>
          <w:szCs w:val="20"/>
          <w:color w:val="auto"/>
        </w:rPr>
      </w:pPr>
      <w:r>
        <w:rPr>
          <w:rFonts w:ascii="Times New Roman" w:cs="Times New Roman" w:eastAsia="Times New Roman" w:hAnsi="Times New Roman"/>
          <w:sz w:val="18"/>
          <w:szCs w:val="18"/>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Times New Roman" w:cs="Times New Roman" w:eastAsia="Times New Roman" w:hAnsi="Times New Roman"/>
          <w:sz w:val="18"/>
          <w:szCs w:val="18"/>
          <w:b w:val="1"/>
          <w:bCs w:val="1"/>
          <w:i w:val="1"/>
          <w:iCs w:val="1"/>
          <w:color w:val="auto"/>
        </w:rPr>
        <w:t>EDGE</w:t>
      </w:r>
      <w:r>
        <w:rPr>
          <w:rFonts w:ascii="Times New Roman" w:cs="Times New Roman" w:eastAsia="Times New Roman" w:hAnsi="Times New Roman"/>
          <w:sz w:val="18"/>
          <w:szCs w:val="18"/>
          <w:color w:val="auto"/>
        </w:rPr>
        <w:t>™ handler, may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2003. Future inventory write-offs and increased inventory reserve requirements could have a material adverse impact on our results of operations and financial condition.</w:t>
      </w:r>
    </w:p>
    <w:p>
      <w:pPr>
        <w:spacing w:after="0" w:line="149"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160"/>
        <w:spacing w:after="0" w:line="256" w:lineRule="auto"/>
        <w:rPr>
          <w:sz w:val="20"/>
          <w:szCs w:val="20"/>
          <w:color w:val="auto"/>
        </w:rPr>
      </w:pPr>
      <w:r>
        <w:rPr>
          <w:rFonts w:ascii="Times New Roman" w:cs="Times New Roman" w:eastAsia="Times New Roman" w:hAnsi="Times New Roman"/>
          <w:sz w:val="18"/>
          <w:szCs w:val="18"/>
          <w:color w:val="auto"/>
        </w:rPr>
        <w:t>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47"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 xml:space="preserve">The transition from product development to the manufacture of new semiconductor equipment is a difficult process and delays in product introductions and problems in manufacturing such equipment are common. We have in the past and continue to experience difficulties in manufacturing and volume production of our new test handlers including our latest product offering, the Delta </w:t>
      </w:r>
      <w:r>
        <w:rPr>
          <w:rFonts w:ascii="Times New Roman" w:cs="Times New Roman" w:eastAsia="Times New Roman" w:hAnsi="Times New Roman"/>
          <w:sz w:val="18"/>
          <w:szCs w:val="18"/>
          <w:b w:val="1"/>
          <w:bCs w:val="1"/>
          <w:i w:val="1"/>
          <w:iCs w:val="1"/>
          <w:color w:val="auto"/>
        </w:rPr>
        <w:t>EDGE</w:t>
      </w:r>
      <w:r>
        <w:rPr>
          <w:rFonts w:ascii="Times New Roman" w:cs="Times New Roman" w:eastAsia="Times New Roman" w:hAnsi="Times New Roman"/>
          <w:sz w:val="18"/>
          <w:szCs w:val="18"/>
          <w:color w:val="auto"/>
        </w:rPr>
        <w:t>™.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acquisitions and investments</w:t>
      </w:r>
      <w:r>
        <w:rPr>
          <w:rFonts w:ascii="Times New Roman" w:cs="Times New Roman" w:eastAsia="Times New Roman" w:hAnsi="Times New Roman"/>
          <w:sz w:val="18"/>
          <w:szCs w:val="18"/>
          <w:i w:val="1"/>
          <w:iCs w:val="1"/>
          <w:color w:val="auto"/>
        </w:rPr>
        <w:t>.</w:t>
      </w:r>
    </w:p>
    <w:p>
      <w:pPr>
        <w:spacing w:after="0" w:line="202"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40" w:lineRule="exact"/>
        <w:rPr>
          <w:sz w:val="20"/>
          <w:szCs w:val="20"/>
          <w:color w:val="auto"/>
        </w:rPr>
      </w:pPr>
    </w:p>
    <w:p>
      <w:pPr>
        <w:ind w:left="360" w:right="220"/>
        <w:spacing w:after="0" w:line="255" w:lineRule="auto"/>
        <w:rPr>
          <w:sz w:val="20"/>
          <w:szCs w:val="20"/>
          <w:color w:val="auto"/>
        </w:rPr>
      </w:pPr>
      <w:r>
        <w:rPr>
          <w:rFonts w:ascii="Times New Roman" w:cs="Times New Roman" w:eastAsia="Times New Roman" w:hAnsi="Times New Roman"/>
          <w:sz w:val="18"/>
          <w:szCs w:val="18"/>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acquisitions and investments are inherently risky and the inability to effectively manage these risks could materially and adversely affect Cohu’s business, financial condition and results of operations.</w:t>
      </w:r>
    </w:p>
    <w:p>
      <w:pPr>
        <w:spacing w:after="0" w:line="145" w:lineRule="exact"/>
        <w:rPr>
          <w:sz w:val="20"/>
          <w:szCs w:val="20"/>
          <w:color w:val="auto"/>
        </w:rPr>
      </w:pPr>
    </w:p>
    <w:p>
      <w:pPr>
        <w:ind w:left="36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taken remedial measures to address previous slowdowns in the semiconductor equipment industry that may affect our ability to be competitive.</w:t>
      </w:r>
    </w:p>
    <w:p>
      <w:pPr>
        <w:spacing w:after="0" w:line="132" w:lineRule="exact"/>
        <w:rPr>
          <w:sz w:val="20"/>
          <w:szCs w:val="20"/>
          <w:color w:val="auto"/>
        </w:rPr>
      </w:pPr>
    </w:p>
    <w:p>
      <w:pPr>
        <w:ind w:left="360" w:right="40"/>
        <w:spacing w:after="0" w:line="258" w:lineRule="auto"/>
        <w:rPr>
          <w:sz w:val="20"/>
          <w:szCs w:val="20"/>
          <w:color w:val="auto"/>
        </w:rPr>
      </w:pPr>
      <w:r>
        <w:rPr>
          <w:rFonts w:ascii="Times New Roman" w:cs="Times New Roman" w:eastAsia="Times New Roman" w:hAnsi="Times New Roman"/>
          <w:sz w:val="18"/>
          <w:szCs w:val="18"/>
          <w:color w:val="auto"/>
        </w:rPr>
        <w:t>In the past, we have taken remedial measures to address the slowdown in the market for our products. In particular, we reduced our workforce, including reductions in September and October 2002 and January and March 2003, delayed salary increases, reduced senior executives’ pay, implemented furloughs, reduced expense budgets and consolidated facility consolidations including the consolidation of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Our backlog is limited and may not accurately reflect future business activity.</w:t>
      </w:r>
    </w:p>
    <w:p>
      <w:pPr>
        <w:spacing w:after="0" w:line="189" w:lineRule="exact"/>
        <w:rPr>
          <w:sz w:val="20"/>
          <w:szCs w:val="20"/>
          <w:color w:val="auto"/>
        </w:rPr>
      </w:pPr>
    </w:p>
    <w:p>
      <w:pPr>
        <w:ind w:left="360" w:right="140"/>
        <w:spacing w:after="0" w:line="282" w:lineRule="auto"/>
        <w:rPr>
          <w:sz w:val="20"/>
          <w:szCs w:val="20"/>
          <w:color w:val="auto"/>
        </w:rPr>
      </w:pPr>
      <w:r>
        <w:rPr>
          <w:rFonts w:ascii="Times New Roman" w:cs="Times New Roman" w:eastAsia="Times New Roman" w:hAnsi="Times New Roman"/>
          <w:sz w:val="18"/>
          <w:szCs w:val="18"/>
          <w:color w:val="auto"/>
        </w:rPr>
        <w:t>Our order backlog has historically represented approximately three months of revenue and as a result our visibility of future business activity is limited. Due to the possibility of customer changes in delivery schedules, cancellation of</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September 30, 2004, may not be a reliable indicator of revenues in future periods due to delayed delivery dates or customer requested changes to delivery schedules, order cancellations and delays in recognizing revenue due to accounting requirements.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equipment industry places enormous demands on our employees, operations and infrastructure.</w:t>
      </w:r>
    </w:p>
    <w:p>
      <w:pPr>
        <w:spacing w:after="0" w:line="189" w:lineRule="exact"/>
        <w:rPr>
          <w:sz w:val="20"/>
          <w:szCs w:val="20"/>
          <w:color w:val="auto"/>
        </w:rPr>
      </w:pPr>
    </w:p>
    <w:p>
      <w:pPr>
        <w:ind w:left="360"/>
        <w:spacing w:after="0" w:line="252" w:lineRule="auto"/>
        <w:rPr>
          <w:sz w:val="20"/>
          <w:szCs w:val="20"/>
          <w:color w:val="auto"/>
        </w:rPr>
      </w:pPr>
      <w:r>
        <w:rPr>
          <w:rFonts w:ascii="Times New Roman" w:cs="Times New Roman" w:eastAsia="Times New Roman" w:hAnsi="Times New Roman"/>
          <w:sz w:val="18"/>
          <w:szCs w:val="18"/>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and January and March, 2003. We recently consolidated Delta Design’s Columbus, Ohio and Littleton, Massachusetts operations into our Poway, California facility. In 2004 we have increased our workforce, particularly in manufacturing, to meet increased demand. However, our orders declined significantly in the third quarter of 2004 and business conditions in the semiconductor equipment industry have weakened.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a significant decline in gravity-feed test handler sales to DRAM customers.</w:t>
      </w:r>
    </w:p>
    <w:p>
      <w:pPr>
        <w:spacing w:after="0" w:line="189"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8"/>
          <w:szCs w:val="18"/>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Pick-and-place IC handlers used in DRAM applications account for a significant portion of the worldwide IC handler market and Cohu’s market share in the DRAM segment is negligible. Cohu’s share of the gravity-feed handler market for the last five years has also been negligible, and with the announced closure of our Littleton, Massachusetts operations, we no longer plan to sell gravity feed test handlers. Such handlers are used in numerous non DRAM applications and continue to represent a significant portion of the worldwide test handler market. Because we do not participate in the DRAM and/or gravity-feed market segments, our total available sales market is limited and as a result our business and results of operations may be negatively impacted.</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202" w:lineRule="exact"/>
        <w:rPr>
          <w:sz w:val="20"/>
          <w:szCs w:val="20"/>
          <w:color w:val="auto"/>
        </w:rPr>
      </w:pPr>
    </w:p>
    <w:p>
      <w:pPr>
        <w:ind w:left="360" w:right="160"/>
        <w:spacing w:after="0" w:line="266" w:lineRule="auto"/>
        <w:rPr>
          <w:sz w:val="20"/>
          <w:szCs w:val="20"/>
          <w:color w:val="auto"/>
        </w:rPr>
      </w:pPr>
      <w:r>
        <w:rPr>
          <w:rFonts w:ascii="Times New Roman" w:cs="Times New Roman" w:eastAsia="Times New Roman" w:hAnsi="Times New Roman"/>
          <w:sz w:val="18"/>
          <w:szCs w:val="18"/>
          <w:color w:val="auto"/>
        </w:rPr>
        <w:t>Cohu has operations located in various parts of the world to support our sales and services to the global semiconductor industry. In the fourth quarter of 2003, we established a small manufacturing operation near Manila in the Philippines. Managing geographically dispersed operations presents difficult challenges associated with, among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right="320"/>
        <w:spacing w:after="0" w:line="261" w:lineRule="auto"/>
        <w:rPr>
          <w:sz w:val="20"/>
          <w:szCs w:val="20"/>
          <w:color w:val="auto"/>
        </w:rPr>
      </w:pPr>
      <w:r>
        <w:rPr>
          <w:rFonts w:ascii="Times New Roman" w:cs="Times New Roman" w:eastAsia="Times New Roman" w:hAnsi="Times New Roman"/>
          <w:sz w:val="18"/>
          <w:szCs w:val="18"/>
          <w:color w:val="auto"/>
        </w:rPr>
        <w:t>other things, organizational alignment and infrastructure, communications and information technology, inventory control, customer relationship management, terrorist threats and related security matters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Failure of critical suppliers to deliver sufficient quantities of parts in a timely and cost-effective manner could adversely impact our operations.</w:t>
      </w:r>
    </w:p>
    <w:p>
      <w:pPr>
        <w:spacing w:after="0" w:line="189"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violate our proprietary rights or accuse us of infringing upon their proprietary rights.</w:t>
      </w:r>
    </w:p>
    <w:p>
      <w:pPr>
        <w:spacing w:after="0" w:line="189" w:lineRule="exact"/>
        <w:rPr>
          <w:sz w:val="20"/>
          <w:szCs w:val="20"/>
          <w:color w:val="auto"/>
        </w:rPr>
      </w:pPr>
    </w:p>
    <w:p>
      <w:pPr>
        <w:ind w:left="360" w:right="60"/>
        <w:spacing w:after="0" w:line="256" w:lineRule="auto"/>
        <w:rPr>
          <w:sz w:val="20"/>
          <w:szCs w:val="20"/>
          <w:color w:val="auto"/>
        </w:rPr>
      </w:pPr>
      <w:r>
        <w:rPr>
          <w:rFonts w:ascii="Times New Roman" w:cs="Times New Roman" w:eastAsia="Times New Roman" w:hAnsi="Times New Roman"/>
          <w:sz w:val="18"/>
          <w:szCs w:val="18"/>
          <w:color w:val="auto"/>
        </w:rPr>
        <w:t>Cohu relies on patent, copyright, trademark and trade secret laws to establish and maintain proprietary rights in our technology and products. Any of our proprietary rights may be challenged, invalidated or circumvented,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43" w:lineRule="exact"/>
        <w:rPr>
          <w:sz w:val="20"/>
          <w:szCs w:val="20"/>
          <w:color w:val="auto"/>
        </w:rPr>
      </w:pPr>
    </w:p>
    <w:p>
      <w:pPr>
        <w:ind w:left="3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32"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2003, 61% of our total net sales were exported to foreign countries, including 72% of the sales in the semiconductor equipment segment. The majority of our export sales are made to destinations in Asia. Political or economic instability,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adversely impact our business.</w:t>
      </w:r>
    </w:p>
    <w:p>
      <w:pPr>
        <w:spacing w:after="0" w:line="189" w:lineRule="exact"/>
        <w:rPr>
          <w:sz w:val="20"/>
          <w:szCs w:val="20"/>
          <w:color w:val="auto"/>
        </w:rPr>
      </w:pPr>
    </w:p>
    <w:p>
      <w:pPr>
        <w:ind w:left="360" w:right="140"/>
        <w:spacing w:after="0" w:line="255" w:lineRule="auto"/>
        <w:rPr>
          <w:sz w:val="20"/>
          <w:szCs w:val="20"/>
          <w:color w:val="auto"/>
        </w:rPr>
      </w:pPr>
      <w:r>
        <w:rPr>
          <w:rFonts w:ascii="Times New Roman" w:cs="Times New Roman" w:eastAsia="Times New Roman" w:hAnsi="Times New Roman"/>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Our non-semiconductor equipment businesses have experienced little or no growth and are not profitable.</w:t>
      </w:r>
    </w:p>
    <w:p>
      <w:pPr>
        <w:spacing w:after="0" w:line="189"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rules may impact our future operating results.</w:t>
      </w:r>
    </w:p>
    <w:p>
      <w:pPr>
        <w:spacing w:after="0" w:line="200"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 xml:space="preserve">During March 2004, the FASB issued an exposure draft of a new standard entitled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xml:space="preserve">, which would amend SFAS No. 123, </w:t>
      </w:r>
      <w:r>
        <w:rPr>
          <w:rFonts w:ascii="Times New Roman" w:cs="Times New Roman" w:eastAsia="Times New Roman" w:hAnsi="Times New Roman"/>
          <w:sz w:val="18"/>
          <w:szCs w:val="18"/>
          <w:i w:val="1"/>
          <w:iCs w:val="1"/>
          <w:color w:val="auto"/>
        </w:rPr>
        <w:t>Accounting for Stock Based Compensation</w:t>
      </w:r>
      <w:r>
        <w:rPr>
          <w:rFonts w:ascii="Times New Roman" w:cs="Times New Roman" w:eastAsia="Times New Roman" w:hAnsi="Times New Roman"/>
          <w:sz w:val="18"/>
          <w:szCs w:val="18"/>
          <w:color w:val="auto"/>
        </w:rPr>
        <w:t>, and SFAS No. 95,</w:t>
      </w:r>
      <w:r>
        <w:rPr>
          <w:rFonts w:ascii="Times New Roman" w:cs="Times New Roman" w:eastAsia="Times New Roman" w:hAnsi="Times New Roman"/>
          <w:sz w:val="18"/>
          <w:szCs w:val="18"/>
          <w:i w:val="1"/>
          <w:iCs w:val="1"/>
          <w:color w:val="auto"/>
        </w:rPr>
        <w:t xml:space="preserve"> Statement of Cash Flows</w:t>
      </w:r>
      <w:r>
        <w:rPr>
          <w:rFonts w:ascii="Times New Roman" w:cs="Times New Roman" w:eastAsia="Times New Roman" w:hAnsi="Times New Roman"/>
          <w:sz w:val="18"/>
          <w:szCs w:val="18"/>
          <w:color w:val="auto"/>
        </w:rPr>
        <w:t>. Among other items, the new standard would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expensing, in the financial statements, of stock options issued by the Company. The new standard, as proposed, would be effective for periods beginning after June 15, 2005.</w:t>
      </w:r>
    </w:p>
    <w:p>
      <w:pPr>
        <w:spacing w:after="0" w:line="142" w:lineRule="exact"/>
        <w:rPr>
          <w:sz w:val="20"/>
          <w:szCs w:val="20"/>
          <w:color w:val="auto"/>
        </w:rPr>
      </w:pPr>
    </w:p>
    <w:p>
      <w:pPr>
        <w:ind w:left="360" w:right="60"/>
        <w:spacing w:after="0" w:line="261" w:lineRule="auto"/>
        <w:rPr>
          <w:sz w:val="20"/>
          <w:szCs w:val="20"/>
          <w:color w:val="auto"/>
        </w:rPr>
      </w:pPr>
      <w:r>
        <w:rPr>
          <w:rFonts w:ascii="Times New Roman" w:cs="Times New Roman" w:eastAsia="Times New Roman" w:hAnsi="Times New Roman"/>
          <w:sz w:val="18"/>
          <w:szCs w:val="18"/>
          <w:color w:val="auto"/>
        </w:rPr>
        <w:t>Throughout most of 2004, the FASB has continued to deliberate on different aspects of a new standard, and currently expects to issue a final standard in the fourth quarter 2004. Although the Company has not yet completed an analysis to quantify the exact impact the new standard will have on its future financial performance, the disclosures in Note 1 provide detail as to the Company’s financial performance as if the Company had applied the fair value based method and recognition provisions of SFAS No. 123 to stock-based employee compensation to the current reporting periods.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volatility in our stock price.</w:t>
      </w:r>
    </w:p>
    <w:p>
      <w:pPr>
        <w:spacing w:after="0" w:line="202" w:lineRule="exact"/>
        <w:rPr>
          <w:sz w:val="20"/>
          <w:szCs w:val="20"/>
          <w:color w:val="auto"/>
        </w:rPr>
      </w:pPr>
    </w:p>
    <w:p>
      <w:pPr>
        <w:ind w:left="360" w:right="160"/>
        <w:spacing w:after="0" w:line="255" w:lineRule="auto"/>
        <w:rPr>
          <w:sz w:val="20"/>
          <w:szCs w:val="20"/>
          <w:color w:val="auto"/>
        </w:rPr>
      </w:pPr>
      <w:r>
        <w:rPr>
          <w:rFonts w:ascii="Times New Roman" w:cs="Times New Roman" w:eastAsia="Times New Roman" w:hAnsi="Times New Roman"/>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$29.70 to $9.99.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Recently enacted and proposed changes in securities laws and regulations are likely to increase our costs.</w:t>
      </w:r>
    </w:p>
    <w:p>
      <w:pPr>
        <w:spacing w:after="0" w:line="189"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The Sarbanes-Oxley Act of 2002 (“SOX”) that became law in July 2002 requires changes in some of our corporate governance and securities disclosure or compliance practices. The SEC has promulgated new rules on a variety of subjects and Nasdaq has issued revisions to its requirements for companies that are Nasdaq-listed. In June 2003 the SEC adopted certain rules as directed by Section 404 of SOX. These rules require that publicly held companies, including Cohu, include in their annual report to shareholders a report of management on the company’s internal control over financial reporting. Our independent auditors will be required to attest to management’s assessment of internal controls over financial reporting. Cohu will be required to comply with this new requirement in its annual report for the year ending December 31, 2004. If our financial reporting controls are not deemed effective, there will be an adverse impact on our reputation that could negatively impact our stock price.</w:t>
      </w:r>
    </w:p>
    <w:p>
      <w:pPr>
        <w:spacing w:after="0" w:line="162" w:lineRule="exact"/>
        <w:rPr>
          <w:sz w:val="20"/>
          <w:szCs w:val="20"/>
          <w:color w:val="auto"/>
        </w:rPr>
      </w:pPr>
    </w:p>
    <w:p>
      <w:pPr>
        <w:ind w:left="360" w:right="40"/>
        <w:spacing w:after="0" w:line="266" w:lineRule="auto"/>
        <w:rPr>
          <w:sz w:val="20"/>
          <w:szCs w:val="20"/>
          <w:color w:val="auto"/>
        </w:rPr>
      </w:pPr>
      <w:r>
        <w:rPr>
          <w:rFonts w:ascii="Times New Roman" w:cs="Times New Roman" w:eastAsia="Times New Roman" w:hAnsi="Times New Roman"/>
          <w:sz w:val="18"/>
          <w:szCs w:val="18"/>
          <w:color w:val="auto"/>
        </w:rPr>
        <w:t>We also expect these developments to increase our legal and accounting compliance costs, and to make some activities more difficult, such as stockholder approval of new stock option plans. We also expect these developments to make it more difficult and expensive for us to obtain director and officer liability insurance, and we may be required to accept reduced coverage or incur substantially higher costs to obtain coverage. These</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2004</w:t>
      </w:r>
    </w:p>
    <w:p>
      <w:pPr>
        <w:spacing w:after="0" w:line="180" w:lineRule="exact"/>
        <w:rPr>
          <w:sz w:val="20"/>
          <w:szCs w:val="20"/>
          <w:color w:val="auto"/>
        </w:rPr>
      </w:pPr>
    </w:p>
    <w:p>
      <w:pPr>
        <w:ind w:left="360"/>
        <w:spacing w:after="0" w:line="313" w:lineRule="auto"/>
        <w:rPr>
          <w:sz w:val="20"/>
          <w:szCs w:val="20"/>
          <w:color w:val="auto"/>
        </w:rPr>
      </w:pPr>
      <w:r>
        <w:rPr>
          <w:rFonts w:ascii="Times New Roman" w:cs="Times New Roman" w:eastAsia="Times New Roman" w:hAnsi="Times New Roman"/>
          <w:sz w:val="17"/>
          <w:szCs w:val="17"/>
          <w:color w:val="auto"/>
        </w:rPr>
        <w:t>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94" w:lineRule="exact"/>
        <w:rPr>
          <w:sz w:val="20"/>
          <w:szCs w:val="20"/>
          <w:color w:val="auto"/>
        </w:rPr>
      </w:pPr>
    </w:p>
    <w:p>
      <w:pPr>
        <w:ind w:left="3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outbreak of SARS and bird flu in Asia and geopolitical instability caused by terrorist attacks and threats may adversely impact our operations and sales.</w:t>
      </w:r>
    </w:p>
    <w:p>
      <w:pPr>
        <w:spacing w:after="0" w:line="118" w:lineRule="exact"/>
        <w:rPr>
          <w:sz w:val="20"/>
          <w:szCs w:val="20"/>
          <w:color w:val="auto"/>
        </w:rPr>
      </w:pPr>
    </w:p>
    <w:p>
      <w:pPr>
        <w:ind w:left="360" w:right="60"/>
        <w:spacing w:after="0" w:line="255" w:lineRule="auto"/>
        <w:rPr>
          <w:sz w:val="20"/>
          <w:szCs w:val="20"/>
          <w:color w:val="auto"/>
        </w:rPr>
      </w:pPr>
      <w:r>
        <w:rPr>
          <w:rFonts w:ascii="Times New Roman" w:cs="Times New Roman" w:eastAsia="Times New Roman" w:hAnsi="Times New Roman"/>
          <w:sz w:val="18"/>
          <w:szCs w:val="18"/>
          <w:color w:val="auto"/>
        </w:rPr>
        <w:t>Our Asian sales and service headquarters is located in Singapore and the majority of our sales are made to destinations in Asia. In addition, we recently organized a business in the Philippines to fabricate certain component parts used in our semiconductor test handlers. Our operations and sales in this region may be adversely impacted by Severe Acute Respiratory Syndrome, or SARS, or the outbreak of Asian bird flu, if our business or the businesses of our customers are disrupted by travel restrictions or the illness and quarantine of employees. Furthermore, Cohu’s Broadcast Microwave Services subsidiary is currently involved in a significant contract with the United Arab Emirates. Continued terrorist attacks or threats in this region may cause geopolitical instability that may have an adverse effect on our ability to successfully satisfy our delivery and installation requirements under the agreement, which would materially impact our business, results of operations and financial condition.</w:t>
      </w:r>
    </w:p>
    <w:p>
      <w:pPr>
        <w:spacing w:after="0" w:line="162" w:lineRule="exact"/>
        <w:rPr>
          <w:sz w:val="20"/>
          <w:szCs w:val="20"/>
          <w:color w:val="auto"/>
        </w:rPr>
      </w:pPr>
    </w:p>
    <w:p>
      <w:pPr>
        <w:ind w:left="360" w:right="40"/>
        <w:spacing w:after="0" w:line="258" w:lineRule="auto"/>
        <w:rPr>
          <w:sz w:val="20"/>
          <w:szCs w:val="20"/>
          <w:color w:val="auto"/>
        </w:rPr>
      </w:pPr>
      <w:r>
        <w:rPr>
          <w:rFonts w:ascii="Times New Roman" w:cs="Times New Roman" w:eastAsia="Times New Roman" w:hAnsi="Times New Roman"/>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2003 Annual Report on Form 10-K, that could cause actual results to differ materially from those projected or forecasted. Cohu undertakes no obligation to update the information, including the forward-looking statements, in this Form 10-Q.</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left="360" w:right="40"/>
        <w:spacing w:after="0" w:line="266" w:lineRule="auto"/>
        <w:rPr>
          <w:sz w:val="20"/>
          <w:szCs w:val="20"/>
          <w:color w:val="auto"/>
        </w:rPr>
      </w:pPr>
      <w:r>
        <w:rPr>
          <w:rFonts w:ascii="Times New Roman" w:cs="Times New Roman" w:eastAsia="Times New Roman" w:hAnsi="Times New Roman"/>
          <w:sz w:val="18"/>
          <w:szCs w:val="18"/>
          <w:color w:val="auto"/>
        </w:rPr>
        <w:t>At September 30, 2004 our investment portfolio includes fixed-income securities with a fair value of approximately $105.0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02" w:lineRule="exact"/>
        <w:rPr>
          <w:sz w:val="20"/>
          <w:szCs w:val="20"/>
          <w:color w:val="auto"/>
        </w:rPr>
      </w:pPr>
    </w:p>
    <w:p>
      <w:pPr>
        <w:jc w:val="both"/>
        <w:ind w:left="360" w:right="40"/>
        <w:spacing w:after="0" w:line="266" w:lineRule="auto"/>
        <w:rPr>
          <w:sz w:val="20"/>
          <w:szCs w:val="20"/>
          <w:color w:val="auto"/>
        </w:rPr>
      </w:pPr>
      <w:r>
        <w:rPr>
          <w:rFonts w:ascii="Times New Roman" w:cs="Times New Roman" w:eastAsia="Times New Roman" w:hAnsi="Times New Roman"/>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53"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47" w:lineRule="exact"/>
        <w:rPr>
          <w:sz w:val="20"/>
          <w:szCs w:val="20"/>
          <w:color w:val="auto"/>
        </w:rPr>
      </w:pPr>
    </w:p>
    <w:p>
      <w:pPr>
        <w:ind w:left="360" w:right="60"/>
        <w:spacing w:after="0" w:line="282" w:lineRule="auto"/>
        <w:rPr>
          <w:sz w:val="20"/>
          <w:szCs w:val="20"/>
          <w:color w:val="auto"/>
        </w:rPr>
      </w:pPr>
      <w:r>
        <w:rPr>
          <w:rFonts w:ascii="Times New Roman" w:cs="Times New Roman" w:eastAsia="Times New Roman" w:hAnsi="Times New Roman"/>
          <w:sz w:val="18"/>
          <w:szCs w:val="18"/>
          <w:color w:val="auto"/>
        </w:rPr>
        <w:t>During the last fiscal quarter, there have been no changes in the Company’s internal control over financial reporting that have materially affected, or are reasonably likely to materially affect, the Company’s internal control over financial reporting.</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Cohu, Inc. incorporated herein by reference</w:t>
            </w:r>
          </w:p>
        </w:tc>
      </w:tr>
      <w:tr>
        <w:trPr>
          <w:trHeight w:val="234"/>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Exhibit 3.1(a) from the Cohu, Inc. Form 10-Q for the quarterly period ended June 30, 1999</w:t>
            </w:r>
          </w:p>
        </w:tc>
      </w:tr>
      <w:tr>
        <w:trPr>
          <w:trHeight w:val="36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of Cohu, Inc.</w:t>
            </w:r>
          </w:p>
        </w:tc>
      </w:tr>
      <w:tr>
        <w:trPr>
          <w:trHeight w:val="234"/>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from the Cohu, Inc. Form S-8 filed June 30, 2000, Exhibit 4.1(a)</w:t>
            </w:r>
          </w:p>
        </w:tc>
      </w:tr>
      <w:tr>
        <w:trPr>
          <w:trHeight w:val="36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Amended and Restated Bylaws of Cohu, Inc. incorporated herein by reference to Exhibit 3.2 from</w:t>
            </w:r>
          </w:p>
        </w:tc>
      </w:tr>
      <w:tr>
        <w:trPr>
          <w:trHeight w:val="216"/>
        </w:trPr>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Cohu, Inc. Report on Form 8-K filed with the Securities and Exchange Commission on</w:t>
            </w:r>
          </w:p>
        </w:tc>
      </w:tr>
      <w:tr>
        <w:trPr>
          <w:trHeight w:val="234"/>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12, 1996</w:t>
            </w:r>
          </w:p>
        </w:tc>
      </w:tr>
      <w:tr>
        <w:trPr>
          <w:trHeight w:val="36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Agreement dated November 15, 1996, between Cohu, Inc. and ChaseMellon Shareholder</w:t>
            </w:r>
          </w:p>
        </w:tc>
      </w:tr>
      <w:tr>
        <w:trPr>
          <w:trHeight w:val="216"/>
        </w:trPr>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 L.L.C., incorporated herein by reference from the Cohu, Inc. Report on Form 8-K filed</w:t>
            </w:r>
          </w:p>
        </w:tc>
      </w:tr>
      <w:tr>
        <w:trPr>
          <w:trHeight w:val="234"/>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12, 1996, Exhibit 4.1</w:t>
            </w:r>
          </w:p>
        </w:tc>
      </w:tr>
      <w:tr>
        <w:trPr>
          <w:trHeight w:val="37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37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36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w:t>
            </w:r>
          </w:p>
        </w:tc>
      </w:tr>
      <w:tr>
        <w:trPr>
          <w:trHeight w:val="234"/>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2002</w:t>
            </w:r>
          </w:p>
        </w:tc>
      </w:tr>
      <w:tr>
        <w:trPr>
          <w:trHeight w:val="36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w:t>
            </w:r>
          </w:p>
        </w:tc>
      </w:tr>
      <w:tr>
        <w:trPr>
          <w:trHeight w:val="234"/>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2002</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COHU, INC.</w:t>
            </w:r>
          </w:p>
        </w:tc>
        <w:tc>
          <w:tcPr>
            <w:tcW w:w="3620" w:type="dxa"/>
            <w:vAlign w:val="bottom"/>
          </w:tcPr>
          <w:p>
            <w:pPr>
              <w:spacing w:after="0"/>
              <w:rPr>
                <w:sz w:val="20"/>
                <w:szCs w:val="20"/>
                <w:color w:val="auto"/>
              </w:rPr>
            </w:pPr>
          </w:p>
        </w:tc>
      </w:tr>
      <w:tr>
        <w:trPr>
          <w:trHeight w:val="95"/>
        </w:trPr>
        <w:tc>
          <w:tcPr>
            <w:tcW w:w="41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3620" w:type="dxa"/>
            <w:vAlign w:val="bottom"/>
          </w:tcPr>
          <w:p>
            <w:pPr>
              <w:spacing w:after="0"/>
              <w:rPr>
                <w:sz w:val="8"/>
                <w:szCs w:val="8"/>
                <w:color w:val="auto"/>
              </w:rPr>
            </w:pPr>
          </w:p>
        </w:tc>
      </w:tr>
      <w:tr>
        <w:trPr>
          <w:trHeight w:val="299"/>
        </w:trPr>
        <w:tc>
          <w:tcPr>
            <w:tcW w:w="4120" w:type="dxa"/>
            <w:vAlign w:val="bottom"/>
          </w:tcPr>
          <w:p>
            <w:pPr>
              <w:spacing w:after="0"/>
              <w:rPr>
                <w:sz w:val="24"/>
                <w:szCs w:val="24"/>
                <w:color w:val="auto"/>
              </w:rPr>
            </w:pPr>
          </w:p>
        </w:tc>
        <w:tc>
          <w:tcPr>
            <w:tcW w:w="3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(Registrant)</w:t>
            </w:r>
          </w:p>
        </w:tc>
        <w:tc>
          <w:tcPr>
            <w:tcW w:w="362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2004</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James A. Donahue</w:t>
            </w:r>
          </w:p>
        </w:tc>
        <w:tc>
          <w:tcPr>
            <w:tcW w:w="3620" w:type="dxa"/>
            <w:vAlign w:val="bottom"/>
          </w:tcPr>
          <w:p>
            <w:pPr>
              <w:spacing w:after="0"/>
              <w:rPr>
                <w:sz w:val="20"/>
                <w:szCs w:val="20"/>
                <w:color w:val="auto"/>
              </w:rPr>
            </w:pPr>
          </w:p>
        </w:tc>
      </w:tr>
      <w:tr>
        <w:trPr>
          <w:trHeight w:val="95"/>
        </w:trPr>
        <w:tc>
          <w:tcPr>
            <w:tcW w:w="41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3620" w:type="dxa"/>
            <w:vAlign w:val="bottom"/>
          </w:tcPr>
          <w:p>
            <w:pPr>
              <w:spacing w:after="0"/>
              <w:rPr>
                <w:sz w:val="8"/>
                <w:szCs w:val="8"/>
                <w:color w:val="auto"/>
              </w:rPr>
            </w:pPr>
          </w:p>
        </w:tc>
      </w:tr>
      <w:tr>
        <w:trPr>
          <w:trHeight w:val="272"/>
        </w:trPr>
        <w:tc>
          <w:tcPr>
            <w:tcW w:w="412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3620" w:type="dxa"/>
            <w:vAlign w:val="bottom"/>
          </w:tcPr>
          <w:p>
            <w:pPr>
              <w:spacing w:after="0"/>
              <w:rPr>
                <w:sz w:val="23"/>
                <w:szCs w:val="23"/>
                <w:color w:val="auto"/>
              </w:rPr>
            </w:pPr>
          </w:p>
        </w:tc>
      </w:tr>
      <w:tr>
        <w:trPr>
          <w:trHeight w:val="216"/>
        </w:trPr>
        <w:tc>
          <w:tcPr>
            <w:tcW w:w="41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36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2004</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John H. Allen</w:t>
            </w:r>
          </w:p>
        </w:tc>
        <w:tc>
          <w:tcPr>
            <w:tcW w:w="3620" w:type="dxa"/>
            <w:vAlign w:val="bottom"/>
          </w:tcPr>
          <w:p>
            <w:pPr>
              <w:spacing w:after="0"/>
              <w:rPr>
                <w:sz w:val="20"/>
                <w:szCs w:val="20"/>
                <w:color w:val="auto"/>
              </w:rPr>
            </w:pPr>
          </w:p>
        </w:tc>
      </w:tr>
      <w:tr>
        <w:trPr>
          <w:trHeight w:val="95"/>
        </w:trPr>
        <w:tc>
          <w:tcPr>
            <w:tcW w:w="41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3620" w:type="dxa"/>
            <w:vAlign w:val="bottom"/>
          </w:tcPr>
          <w:p>
            <w:pPr>
              <w:spacing w:after="0"/>
              <w:rPr>
                <w:sz w:val="8"/>
                <w:szCs w:val="8"/>
                <w:color w:val="auto"/>
              </w:rPr>
            </w:pPr>
          </w:p>
        </w:tc>
      </w:tr>
      <w:tr>
        <w:trPr>
          <w:trHeight w:val="272"/>
        </w:trPr>
        <w:tc>
          <w:tcPr>
            <w:tcW w:w="412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John H. Allen</w:t>
            </w:r>
          </w:p>
        </w:tc>
        <w:tc>
          <w:tcPr>
            <w:tcW w:w="3620" w:type="dxa"/>
            <w:vAlign w:val="bottom"/>
          </w:tcPr>
          <w:p>
            <w:pPr>
              <w:spacing w:after="0"/>
              <w:rPr>
                <w:sz w:val="23"/>
                <w:szCs w:val="23"/>
                <w:color w:val="auto"/>
              </w:rPr>
            </w:pPr>
          </w:p>
        </w:tc>
      </w:tr>
      <w:tr>
        <w:trPr>
          <w:trHeight w:val="234"/>
        </w:trPr>
        <w:tc>
          <w:tcPr>
            <w:tcW w:w="41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&amp; Chief Financial Officer</w:t>
            </w:r>
          </w:p>
        </w:tc>
        <w:tc>
          <w:tcPr>
            <w:tcW w:w="3620" w:type="dxa"/>
            <w:vAlign w:val="bottom"/>
          </w:tcPr>
          <w:p>
            <w:pPr>
              <w:spacing w:after="0"/>
              <w:rPr>
                <w:sz w:val="20"/>
                <w:szCs w:val="20"/>
                <w:color w:val="auto"/>
              </w:rPr>
            </w:pPr>
          </w:p>
        </w:tc>
      </w:tr>
      <w:tr>
        <w:trPr>
          <w:trHeight w:val="392"/>
        </w:trPr>
        <w:tc>
          <w:tcPr>
            <w:tcW w:w="4120" w:type="dxa"/>
            <w:vAlign w:val="bottom"/>
          </w:tcPr>
          <w:p>
            <w:pPr>
              <w:spacing w:after="0"/>
              <w:rPr>
                <w:sz w:val="24"/>
                <w:szCs w:val="24"/>
                <w:color w:val="auto"/>
              </w:rPr>
            </w:pPr>
          </w:p>
        </w:tc>
        <w:tc>
          <w:tcPr>
            <w:tcW w:w="36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29</w:t>
            </w:r>
          </w:p>
        </w:tc>
        <w:tc>
          <w:tcPr>
            <w:tcW w:w="3620" w:type="dxa"/>
            <w:vAlign w:val="bottom"/>
          </w:tcPr>
          <w:p>
            <w:pPr>
              <w:spacing w:after="0"/>
              <w:rPr>
                <w:sz w:val="24"/>
                <w:szCs w:val="24"/>
                <w:color w:val="auto"/>
              </w:rPr>
            </w:pPr>
          </w:p>
        </w:tc>
      </w:tr>
      <w:tr>
        <w:trPr>
          <w:trHeight w:val="226"/>
        </w:trPr>
        <w:tc>
          <w:tcPr>
            <w:tcW w:w="41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7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80" w:type="dxa"/>
            <w:vAlign w:val="bottom"/>
          </w:tcPr>
          <w:p>
            <w:pPr>
              <w:spacing w:after="0"/>
              <w:rPr>
                <w:sz w:val="24"/>
                <w:szCs w:val="24"/>
                <w:color w:val="auto"/>
              </w:rPr>
            </w:pPr>
          </w:p>
        </w:tc>
        <w:tc>
          <w:tcPr>
            <w:tcW w:w="10120" w:type="dxa"/>
            <w:vAlign w:val="bottom"/>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1"/>
        </w:trPr>
        <w:tc>
          <w:tcPr>
            <w:tcW w:w="7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10120" w:type="dxa"/>
            <w:vAlign w:val="bottom"/>
            <w:tcBorders>
              <w:bottom w:val="single" w:sz="8" w:color="808080"/>
            </w:tcBorders>
          </w:tcPr>
          <w:p>
            <w:pPr>
              <w:spacing w:after="0"/>
              <w:rPr>
                <w:sz w:val="4"/>
                <w:szCs w:val="4"/>
                <w:color w:val="auto"/>
              </w:rPr>
            </w:pPr>
          </w:p>
        </w:tc>
      </w:tr>
      <w:tr>
        <w:trPr>
          <w:trHeight w:val="27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3"/>
                <w:szCs w:val="23"/>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Cohu, Inc. incorporated herein by reference to Exhibit 3.1(a) from the Cohu, Inc.</w:t>
            </w:r>
          </w:p>
        </w:tc>
      </w:tr>
      <w:tr>
        <w:trPr>
          <w:trHeight w:val="234"/>
        </w:trPr>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Form 10-Q for the quarterly period ended June 30, 1999</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of Cohu, Inc. incorporated herein by reference from the</w:t>
            </w:r>
          </w:p>
        </w:tc>
      </w:tr>
      <w:tr>
        <w:trPr>
          <w:trHeight w:val="234"/>
        </w:trPr>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Cohu, Inc. Form S-8 filed June 30, 2000, Exhibit 4.1(a)</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Cohu, Inc. incorporated herein by reference to Exhibit 3.2 from the Cohu, Inc. Report on Form 8-K filed</w:t>
            </w:r>
          </w:p>
        </w:tc>
      </w:tr>
      <w:tr>
        <w:trPr>
          <w:trHeight w:val="234"/>
        </w:trPr>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with the Securities and Exchange Commission on December 12, 1996</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Rights Agreement dated November 15, 1996, between Cohu, Inc. and ChaseMellon Shareholder Services, L.L.C., incorporated herein by</w:t>
            </w:r>
          </w:p>
        </w:tc>
      </w:tr>
      <w:tr>
        <w:trPr>
          <w:trHeight w:val="234"/>
        </w:trPr>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reference from the Cohu, Inc. Report on Form 8-K filed December 12, 1996, Exhibit 4.1</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5" w:right="239" w:bottom="144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1"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280" w:right="1879" w:hanging="640"/>
        <w:spacing w:after="0" w:line="274"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1" w:lineRule="exact"/>
        <w:rPr>
          <w:rFonts w:ascii="Courier New" w:cs="Courier New" w:eastAsia="Courier New" w:hAnsi="Courier New"/>
          <w:sz w:val="18"/>
          <w:szCs w:val="18"/>
          <w:color w:val="auto"/>
        </w:rPr>
      </w:pPr>
    </w:p>
    <w:p>
      <w:pPr>
        <w:ind w:left="1700" w:right="1779" w:hanging="7"/>
        <w:spacing w:after="0" w:line="298" w:lineRule="auto"/>
        <w:tabs>
          <w:tab w:leader="none" w:pos="212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Courier New" w:cs="Courier New" w:eastAsia="Courier New" w:hAnsi="Courier New"/>
          <w:sz w:val="16"/>
          <w:szCs w:val="16"/>
          <w:color w:val="auto"/>
        </w:rPr>
      </w:pPr>
    </w:p>
    <w:p>
      <w:pPr>
        <w:ind w:left="1700" w:right="1999" w:hanging="7"/>
        <w:spacing w:after="0" w:line="265" w:lineRule="auto"/>
        <w:tabs>
          <w:tab w:leader="none" w:pos="212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Courier New" w:cs="Courier New" w:eastAsia="Courier New" w:hAnsi="Courier New"/>
          <w:sz w:val="18"/>
          <w:szCs w:val="18"/>
          <w:color w:val="auto"/>
        </w:rPr>
      </w:pPr>
    </w:p>
    <w:p>
      <w:pPr>
        <w:ind w:left="1700" w:right="1879" w:hanging="7"/>
        <w:spacing w:after="0" w:line="256" w:lineRule="auto"/>
        <w:tabs>
          <w:tab w:leader="none" w:pos="212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Courier New" w:cs="Courier New" w:eastAsia="Courier New" w:hAnsi="Courier New"/>
          <w:sz w:val="18"/>
          <w:szCs w:val="18"/>
          <w:color w:val="auto"/>
        </w:rPr>
      </w:pPr>
    </w:p>
    <w:p>
      <w:pPr>
        <w:ind w:left="1280" w:right="1999" w:hanging="640"/>
        <w:spacing w:after="0" w:line="26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1700" w:right="1779" w:hanging="7"/>
        <w:spacing w:after="0" w:line="265" w:lineRule="auto"/>
        <w:tabs>
          <w:tab w:leader="none" w:pos="212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Courier New" w:cs="Courier New" w:eastAsia="Courier New" w:hAnsi="Courier New"/>
          <w:sz w:val="18"/>
          <w:szCs w:val="18"/>
          <w:color w:val="auto"/>
        </w:rPr>
      </w:pPr>
    </w:p>
    <w:p>
      <w:pPr>
        <w:ind w:left="1700" w:right="1779" w:hanging="7"/>
        <w:spacing w:after="0" w:line="292" w:lineRule="auto"/>
        <w:tabs>
          <w:tab w:leader="none" w:pos="212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28,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2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312" w:right="1440" w:bottom="1440" w:gutter="0" w:footer="0" w:header="0"/>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1"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280" w:right="1879" w:hanging="640"/>
        <w:spacing w:after="0" w:line="274"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1" w:lineRule="exact"/>
        <w:rPr>
          <w:rFonts w:ascii="Courier New" w:cs="Courier New" w:eastAsia="Courier New" w:hAnsi="Courier New"/>
          <w:sz w:val="18"/>
          <w:szCs w:val="18"/>
          <w:color w:val="auto"/>
        </w:rPr>
      </w:pPr>
    </w:p>
    <w:p>
      <w:pPr>
        <w:ind w:left="1700" w:right="1779" w:hanging="7"/>
        <w:spacing w:after="0" w:line="298" w:lineRule="auto"/>
        <w:tabs>
          <w:tab w:leader="none" w:pos="212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Courier New" w:cs="Courier New" w:eastAsia="Courier New" w:hAnsi="Courier New"/>
          <w:sz w:val="16"/>
          <w:szCs w:val="16"/>
          <w:color w:val="auto"/>
        </w:rPr>
      </w:pPr>
    </w:p>
    <w:p>
      <w:pPr>
        <w:ind w:left="1700" w:right="1999" w:hanging="7"/>
        <w:spacing w:after="0" w:line="265" w:lineRule="auto"/>
        <w:tabs>
          <w:tab w:leader="none" w:pos="212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Courier New" w:cs="Courier New" w:eastAsia="Courier New" w:hAnsi="Courier New"/>
          <w:sz w:val="18"/>
          <w:szCs w:val="18"/>
          <w:color w:val="auto"/>
        </w:rPr>
      </w:pPr>
    </w:p>
    <w:p>
      <w:pPr>
        <w:ind w:left="1700" w:right="1879" w:hanging="7"/>
        <w:spacing w:after="0" w:line="256" w:lineRule="auto"/>
        <w:tabs>
          <w:tab w:leader="none" w:pos="212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Courier New" w:cs="Courier New" w:eastAsia="Courier New" w:hAnsi="Courier New"/>
          <w:sz w:val="18"/>
          <w:szCs w:val="18"/>
          <w:color w:val="auto"/>
        </w:rPr>
      </w:pPr>
    </w:p>
    <w:p>
      <w:pPr>
        <w:ind w:left="1280" w:right="1999" w:hanging="640"/>
        <w:spacing w:after="0" w:line="26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1700" w:right="1779" w:hanging="7"/>
        <w:spacing w:after="0" w:line="265" w:lineRule="auto"/>
        <w:tabs>
          <w:tab w:leader="none" w:pos="212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Courier New" w:cs="Courier New" w:eastAsia="Courier New" w:hAnsi="Courier New"/>
          <w:sz w:val="18"/>
          <w:szCs w:val="18"/>
          <w:color w:val="auto"/>
        </w:rPr>
      </w:pPr>
    </w:p>
    <w:p>
      <w:pPr>
        <w:ind w:left="1700" w:right="1779" w:hanging="7"/>
        <w:spacing w:after="0" w:line="292" w:lineRule="auto"/>
        <w:tabs>
          <w:tab w:leader="none" w:pos="212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28,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2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15"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SARBANES-OXLEY ACT SECTION 906</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1"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31" w:lineRule="exact"/>
        <w:rPr>
          <w:sz w:val="20"/>
          <w:szCs w:val="20"/>
          <w:color w:val="auto"/>
        </w:rPr>
      </w:pPr>
    </w:p>
    <w:p>
      <w:pPr>
        <w:ind w:left="1160" w:right="2099" w:firstLine="7"/>
        <w:spacing w:after="0" w:line="318" w:lineRule="auto"/>
        <w:tabs>
          <w:tab w:leader="none" w:pos="1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52" w:lineRule="exact"/>
        <w:rPr>
          <w:rFonts w:ascii="Courier New" w:cs="Courier New" w:eastAsia="Courier New" w:hAnsi="Courier New"/>
          <w:sz w:val="16"/>
          <w:szCs w:val="16"/>
          <w:color w:val="auto"/>
        </w:rPr>
      </w:pPr>
    </w:p>
    <w:p>
      <w:pPr>
        <w:ind w:left="1160" w:right="1879" w:firstLine="7"/>
        <w:spacing w:after="0" w:line="292" w:lineRule="auto"/>
        <w:tabs>
          <w:tab w:leader="none" w:pos="158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Registrant.</w:t>
      </w:r>
    </w:p>
    <w:p>
      <w:pPr>
        <w:sectPr>
          <w:pgSz w:w="11900" w:h="16838" w:orient="portrait"/>
          <w:cols w:equalWidth="0" w:num="1">
            <w:col w:w="10219"/>
          </w:cols>
          <w:pgMar w:left="240" w:top="51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October 28, 2004</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James A. Donahue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James A. Donahue</w:t>
      </w:r>
    </w:p>
    <w:p>
      <w:pPr>
        <w:ind w:left="100"/>
        <w:spacing w:after="0"/>
        <w:rPr>
          <w:sz w:val="20"/>
          <w:szCs w:val="20"/>
          <w:color w:val="auto"/>
        </w:rPr>
      </w:pPr>
      <w:r>
        <w:rPr>
          <w:rFonts w:ascii="Courier New" w:cs="Courier New" w:eastAsia="Courier New" w:hAnsi="Courier New"/>
          <w:sz w:val="18"/>
          <w:szCs w:val="18"/>
          <w:color w:val="auto"/>
        </w:rPr>
        <w:t>President &amp; Chief Executive Officer</w:t>
      </w:r>
    </w:p>
    <w:p>
      <w:pPr>
        <w:sectPr>
          <w:pgSz w:w="11900" w:h="16838" w:orient="portrait"/>
          <w:cols w:equalWidth="0" w:num="2">
            <w:col w:w="3720" w:space="720"/>
            <w:col w:w="5779"/>
          </w:cols>
          <w:pgMar w:left="240" w:top="515" w:right="1440" w:bottom="1440" w:gutter="0" w:footer="0" w:header="0"/>
          <w:type w:val="continuous"/>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SARBANES-OXLEY ACT SECTION 906</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66" w:lineRule="exact"/>
        <w:rPr>
          <w:sz w:val="20"/>
          <w:szCs w:val="20"/>
          <w:color w:val="auto"/>
        </w:rPr>
      </w:pPr>
    </w:p>
    <w:p>
      <w:pPr>
        <w:ind w:left="1160" w:right="2099" w:firstLine="7"/>
        <w:spacing w:after="0" w:line="318" w:lineRule="auto"/>
        <w:tabs>
          <w:tab w:leader="none" w:pos="1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52" w:lineRule="exact"/>
        <w:rPr>
          <w:rFonts w:ascii="Courier New" w:cs="Courier New" w:eastAsia="Courier New" w:hAnsi="Courier New"/>
          <w:sz w:val="16"/>
          <w:szCs w:val="16"/>
          <w:color w:val="auto"/>
        </w:rPr>
      </w:pPr>
    </w:p>
    <w:p>
      <w:pPr>
        <w:ind w:left="1160" w:right="1879" w:firstLine="7"/>
        <w:spacing w:after="0" w:line="292" w:lineRule="auto"/>
        <w:tabs>
          <w:tab w:leader="none" w:pos="158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Registrant.</w:t>
      </w:r>
    </w:p>
    <w:p>
      <w:pPr>
        <w:sectPr>
          <w:pgSz w:w="11900" w:h="16838" w:orient="portrait"/>
          <w:cols w:equalWidth="0" w:num="1">
            <w:col w:w="10219"/>
          </w:cols>
          <w:pgMar w:left="240" w:top="51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October 28, 2004</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John H. Allen</w:t>
      </w:r>
    </w:p>
    <w:p>
      <w:pPr>
        <w:ind w:left="100"/>
        <w:spacing w:after="0" w:line="238" w:lineRule="auto"/>
        <w:rPr>
          <w:sz w:val="20"/>
          <w:szCs w:val="20"/>
          <w:color w:val="auto"/>
        </w:rPr>
      </w:pPr>
      <w:r>
        <w:rPr>
          <w:rFonts w:ascii="Courier New" w:cs="Courier New" w:eastAsia="Courier New" w:hAnsi="Courier New"/>
          <w:sz w:val="18"/>
          <w:szCs w:val="18"/>
          <w:color w:val="auto"/>
        </w:rPr>
        <w:t>Vice President Finance &amp;</w:t>
      </w:r>
    </w:p>
    <w:p>
      <w:pPr>
        <w:ind w:left="10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340" w:space="720"/>
        <w:col w:w="5159"/>
      </w:cols>
      <w:pgMar w:left="240" w:top="5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ü]"/>
      <w:numFmt w:val="bullet"/>
      <w:start w:val="1"/>
    </w:lvl>
  </w:abstractNum>
  <w:abstractNum w:abstractNumId="1">
    <w:nsid w:val="46E87CCD"/>
    <w:multiLevelType w:val="hybridMultilevel"/>
    <w:lvl w:ilvl="0">
      <w:lvlJc w:val="left"/>
      <w:lvlText w:val="%1."/>
      <w:numFmt w:val="decimal"/>
      <w:start w:val="12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2019-12-12T22:53:39Z</dcterms:created>
  <dcterms:modified xsi:type="dcterms:W3CDTF">2019-12-12T22:53:39Z</dcterms:modified>
</cp:coreProperties>
</file>