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 C. 20549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22" w:lineRule="exact"/>
        <w:rPr>
          <w:sz w:val="20"/>
          <w:szCs w:val="20"/>
          <w:color w:val="auto"/>
        </w:rPr>
      </w:pPr>
    </w:p>
    <w:p>
      <w:pPr>
        <w:ind w:left="1380" w:hanging="1055"/>
        <w:spacing w:after="0"/>
        <w:tabs>
          <w:tab w:leader="none" w:pos="13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auto"/>
        </w:rPr>
        <w:t>For the fiscal year ended December 25, 2010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21" w:lineRule="exact"/>
        <w:rPr>
          <w:sz w:val="20"/>
          <w:szCs w:val="20"/>
          <w:color w:val="auto"/>
        </w:rPr>
      </w:pPr>
    </w:p>
    <w:p>
      <w:pPr>
        <w:ind w:left="1380" w:right="400" w:hanging="1016"/>
        <w:spacing w:after="0" w:line="267" w:lineRule="auto"/>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Commission file number 1-4298</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COHU,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(Exact name of registrant as specified in its charter)</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236"/>
        </w:trPr>
        <w:tc>
          <w:tcPr>
            <w:tcW w:w="5100" w:type="dxa"/>
            <w:vAlign w:val="bottom"/>
          </w:tcPr>
          <w:p>
            <w:pPr>
              <w:jc w:val="center"/>
              <w:ind w:right="1241"/>
              <w:spacing w:after="0"/>
              <w:rPr>
                <w:sz w:val="20"/>
                <w:szCs w:val="20"/>
                <w:color w:val="auto"/>
              </w:rPr>
            </w:pPr>
            <w:r>
              <w:rPr>
                <w:rFonts w:ascii="Arial" w:cs="Arial" w:eastAsia="Arial" w:hAnsi="Arial"/>
                <w:sz w:val="20"/>
                <w:szCs w:val="20"/>
                <w:b w:val="1"/>
                <w:bCs w:val="1"/>
                <w:color w:val="auto"/>
                <w:w w:val="91"/>
              </w:rPr>
              <w:t>Delaware</w:t>
            </w:r>
          </w:p>
        </w:tc>
        <w:tc>
          <w:tcPr>
            <w:tcW w:w="4180" w:type="dxa"/>
            <w:vAlign w:val="bottom"/>
          </w:tcPr>
          <w:p>
            <w:pPr>
              <w:jc w:val="center"/>
              <w:ind w:left="1261"/>
              <w:spacing w:after="0"/>
              <w:rPr>
                <w:sz w:val="20"/>
                <w:szCs w:val="20"/>
                <w:color w:val="auto"/>
              </w:rPr>
            </w:pPr>
            <w:r>
              <w:rPr>
                <w:rFonts w:ascii="Arial" w:cs="Arial" w:eastAsia="Arial" w:hAnsi="Arial"/>
                <w:sz w:val="20"/>
                <w:szCs w:val="20"/>
                <w:b w:val="1"/>
                <w:bCs w:val="1"/>
                <w:color w:val="auto"/>
                <w:w w:val="88"/>
              </w:rPr>
              <w:t>95-1934119</w:t>
            </w:r>
          </w:p>
        </w:tc>
      </w:tr>
      <w:tr>
        <w:trPr>
          <w:trHeight w:val="230"/>
        </w:trPr>
        <w:tc>
          <w:tcPr>
            <w:tcW w:w="5100" w:type="dxa"/>
            <w:vAlign w:val="bottom"/>
          </w:tcPr>
          <w:p>
            <w:pPr>
              <w:jc w:val="center"/>
              <w:ind w:right="1241"/>
              <w:spacing w:after="0"/>
              <w:rPr>
                <w:sz w:val="20"/>
                <w:szCs w:val="20"/>
                <w:color w:val="auto"/>
              </w:rPr>
            </w:pPr>
            <w:r>
              <w:rPr>
                <w:rFonts w:ascii="Arial" w:cs="Arial" w:eastAsia="Arial" w:hAnsi="Arial"/>
                <w:sz w:val="20"/>
                <w:szCs w:val="20"/>
                <w:i w:val="1"/>
                <w:iCs w:val="1"/>
                <w:color w:val="auto"/>
                <w:w w:val="92"/>
              </w:rPr>
              <w:t>(State or other jurisdiction of</w:t>
            </w:r>
          </w:p>
        </w:tc>
        <w:tc>
          <w:tcPr>
            <w:tcW w:w="4180" w:type="dxa"/>
            <w:vAlign w:val="bottom"/>
          </w:tcPr>
          <w:p>
            <w:pPr>
              <w:jc w:val="center"/>
              <w:ind w:left="1241"/>
              <w:spacing w:after="0"/>
              <w:rPr>
                <w:sz w:val="20"/>
                <w:szCs w:val="20"/>
                <w:color w:val="auto"/>
              </w:rPr>
            </w:pPr>
            <w:r>
              <w:rPr>
                <w:rFonts w:ascii="Arial" w:cs="Arial" w:eastAsia="Arial" w:hAnsi="Arial"/>
                <w:sz w:val="20"/>
                <w:szCs w:val="20"/>
                <w:i w:val="1"/>
                <w:iCs w:val="1"/>
                <w:color w:val="auto"/>
                <w:w w:val="92"/>
              </w:rPr>
              <w:t>(I.R.S. Employer Identification No.)</w:t>
            </w:r>
          </w:p>
        </w:tc>
      </w:tr>
      <w:tr>
        <w:trPr>
          <w:trHeight w:val="250"/>
        </w:trPr>
        <w:tc>
          <w:tcPr>
            <w:tcW w:w="5100" w:type="dxa"/>
            <w:vAlign w:val="bottom"/>
          </w:tcPr>
          <w:p>
            <w:pPr>
              <w:jc w:val="center"/>
              <w:ind w:right="1261"/>
              <w:spacing w:after="0"/>
              <w:rPr>
                <w:sz w:val="20"/>
                <w:szCs w:val="20"/>
                <w:color w:val="auto"/>
              </w:rPr>
            </w:pPr>
            <w:r>
              <w:rPr>
                <w:rFonts w:ascii="Arial" w:cs="Arial" w:eastAsia="Arial" w:hAnsi="Arial"/>
                <w:sz w:val="20"/>
                <w:szCs w:val="20"/>
                <w:i w:val="1"/>
                <w:iCs w:val="1"/>
                <w:color w:val="auto"/>
                <w:w w:val="94"/>
              </w:rPr>
              <w:t>Incorporation or Organization)</w:t>
            </w:r>
          </w:p>
        </w:tc>
        <w:tc>
          <w:tcPr>
            <w:tcW w:w="4180" w:type="dxa"/>
            <w:vAlign w:val="bottom"/>
          </w:tcPr>
          <w:p>
            <w:pPr>
              <w:spacing w:after="0"/>
              <w:rPr>
                <w:sz w:val="21"/>
                <w:szCs w:val="21"/>
                <w:color w:val="auto"/>
              </w:rPr>
            </w:pPr>
          </w:p>
        </w:tc>
      </w:tr>
      <w:tr>
        <w:trPr>
          <w:trHeight w:val="438"/>
        </w:trPr>
        <w:tc>
          <w:tcPr>
            <w:tcW w:w="5100" w:type="dxa"/>
            <w:vAlign w:val="bottom"/>
          </w:tcPr>
          <w:p>
            <w:pPr>
              <w:jc w:val="center"/>
              <w:ind w:right="1241"/>
              <w:spacing w:after="0"/>
              <w:rPr>
                <w:sz w:val="20"/>
                <w:szCs w:val="20"/>
                <w:color w:val="auto"/>
              </w:rPr>
            </w:pPr>
            <w:r>
              <w:rPr>
                <w:rFonts w:ascii="Arial" w:cs="Arial" w:eastAsia="Arial" w:hAnsi="Arial"/>
                <w:sz w:val="20"/>
                <w:szCs w:val="20"/>
                <w:b w:val="1"/>
                <w:bCs w:val="1"/>
                <w:color w:val="auto"/>
                <w:w w:val="90"/>
              </w:rPr>
              <w:t>12367 Crosthwaite Circle, Poway, California</w:t>
            </w:r>
          </w:p>
        </w:tc>
        <w:tc>
          <w:tcPr>
            <w:tcW w:w="4180" w:type="dxa"/>
            <w:vAlign w:val="bottom"/>
          </w:tcPr>
          <w:p>
            <w:pPr>
              <w:jc w:val="center"/>
              <w:ind w:left="1241"/>
              <w:spacing w:after="0"/>
              <w:rPr>
                <w:sz w:val="20"/>
                <w:szCs w:val="20"/>
                <w:color w:val="auto"/>
              </w:rPr>
            </w:pPr>
            <w:r>
              <w:rPr>
                <w:rFonts w:ascii="Arial" w:cs="Arial" w:eastAsia="Arial" w:hAnsi="Arial"/>
                <w:sz w:val="20"/>
                <w:szCs w:val="20"/>
                <w:b w:val="1"/>
                <w:bCs w:val="1"/>
                <w:color w:val="auto"/>
                <w:w w:val="89"/>
              </w:rPr>
              <w:t>92064-6817</w:t>
            </w:r>
          </w:p>
        </w:tc>
      </w:tr>
      <w:tr>
        <w:trPr>
          <w:trHeight w:val="250"/>
        </w:trPr>
        <w:tc>
          <w:tcPr>
            <w:tcW w:w="5100" w:type="dxa"/>
            <w:vAlign w:val="bottom"/>
          </w:tcPr>
          <w:p>
            <w:pPr>
              <w:jc w:val="center"/>
              <w:ind w:right="1261"/>
              <w:spacing w:after="0"/>
              <w:rPr>
                <w:sz w:val="20"/>
                <w:szCs w:val="20"/>
                <w:color w:val="auto"/>
              </w:rPr>
            </w:pPr>
            <w:r>
              <w:rPr>
                <w:rFonts w:ascii="Arial" w:cs="Arial" w:eastAsia="Arial" w:hAnsi="Arial"/>
                <w:sz w:val="20"/>
                <w:szCs w:val="20"/>
                <w:i w:val="1"/>
                <w:iCs w:val="1"/>
                <w:color w:val="auto"/>
                <w:w w:val="90"/>
              </w:rPr>
              <w:t>(Address of principal executive offices)</w:t>
            </w:r>
          </w:p>
        </w:tc>
        <w:tc>
          <w:tcPr>
            <w:tcW w:w="4180" w:type="dxa"/>
            <w:vAlign w:val="bottom"/>
          </w:tcPr>
          <w:p>
            <w:pPr>
              <w:jc w:val="center"/>
              <w:ind w:left="1261"/>
              <w:spacing w:after="0"/>
              <w:rPr>
                <w:sz w:val="20"/>
                <w:szCs w:val="20"/>
                <w:color w:val="auto"/>
              </w:rPr>
            </w:pPr>
            <w:r>
              <w:rPr>
                <w:rFonts w:ascii="Arial" w:cs="Arial" w:eastAsia="Arial" w:hAnsi="Arial"/>
                <w:sz w:val="20"/>
                <w:szCs w:val="20"/>
                <w:i w:val="1"/>
                <w:iCs w:val="1"/>
                <w:color w:val="auto"/>
                <w:w w:val="90"/>
              </w:rPr>
              <w:t>(Zip Code)</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191"/>
        </w:trPr>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$1.00 par value</w:t>
            </w:r>
          </w:p>
        </w:tc>
        <w:tc>
          <w:tcPr>
            <w:tcW w:w="580" w:type="dxa"/>
            <w:vAlign w:val="bottom"/>
          </w:tcPr>
          <w:p>
            <w:pPr>
              <w:spacing w:after="0"/>
              <w:rPr>
                <w:sz w:val="16"/>
                <w:szCs w:val="16"/>
                <w:color w:val="auto"/>
              </w:rPr>
            </w:pPr>
          </w:p>
        </w:tc>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Preferred Share Purchase Rights, $1.00 par value</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70" w:lineRule="exact"/>
        <w:rPr>
          <w:sz w:val="20"/>
          <w:szCs w:val="20"/>
          <w:color w:val="auto"/>
        </w:rPr>
      </w:pPr>
    </w:p>
    <w:p>
      <w:pPr>
        <w:ind w:left="240" w:right="158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22" w:right="239" w:bottom="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80" w:space="720"/>
            <w:col w:w="1500" w:space="720"/>
            <w:col w:w="3580" w:space="720"/>
            <w:col w:w="2100"/>
          </w:cols>
          <w:pgMar w:left="240" w:top="122" w:right="239" w:bottom="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100" w:space="140"/>
            <w:col w:w="3180"/>
          </w:cols>
          <w:pgMar w:left="240" w:top="122" w:right="239" w:bottom="0" w:gutter="0" w:footer="0" w:header="0"/>
          <w:type w:val="continuous"/>
        </w:sectPr>
      </w:pPr>
    </w:p>
    <w:p>
      <w:pPr>
        <w:ind w:right="340" w:firstLine="222"/>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$195,000,000 based on the closing stock price as reported by the NASDAQ Stock Market LLC as of June 25, 2010.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January 21, 2011 the Registrant had 24,002,993 shares of its $1.00 par value common stock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920" w:firstLine="225"/>
        <w:spacing w:after="0" w:line="342" w:lineRule="auto"/>
        <w:rPr>
          <w:sz w:val="20"/>
          <w:szCs w:val="20"/>
          <w:color w:val="auto"/>
        </w:rPr>
      </w:pPr>
      <w:r>
        <w:rPr>
          <w:rFonts w:ascii="Arial" w:cs="Arial" w:eastAsia="Arial" w:hAnsi="Arial"/>
          <w:sz w:val="16"/>
          <w:szCs w:val="16"/>
          <w:color w:val="auto"/>
        </w:rPr>
        <w:t>Portions of the Proxy Statement for Cohu, Inc.’s 2011 Annual Meeting of Stockholders to be held on May 11, 2011, and to be filed pursuant to Regulation 14A within 120 days after registrant’s fiscal year ended December 25, 2010,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60" w:type="dxa"/>
            <w:vAlign w:val="bottom"/>
            <w:gridSpan w:val="6"/>
          </w:tcPr>
          <w:p>
            <w:pPr>
              <w:jc w:val="center"/>
              <w:ind w:right="4640"/>
              <w:spacing w:after="0"/>
              <w:rPr>
                <w:sz w:val="20"/>
                <w:szCs w:val="20"/>
                <w:color w:val="auto"/>
              </w:rPr>
            </w:pPr>
            <w:r>
              <w:rPr>
                <w:rFonts w:ascii="Arial" w:cs="Arial" w:eastAsia="Arial" w:hAnsi="Arial"/>
                <w:sz w:val="18"/>
                <w:szCs w:val="18"/>
                <w:b w:val="1"/>
                <w:bCs w:val="1"/>
                <w:color w:val="auto"/>
              </w:rPr>
              <w:t>COHU, INC.</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00" w:type="dxa"/>
            <w:vAlign w:val="bottom"/>
            <w:gridSpan w:val="11"/>
          </w:tcPr>
          <w:p>
            <w:pPr>
              <w:jc w:val="center"/>
              <w:ind w:right="2300"/>
              <w:spacing w:after="0"/>
              <w:rPr>
                <w:sz w:val="20"/>
                <w:szCs w:val="20"/>
                <w:color w:val="auto"/>
              </w:rPr>
            </w:pPr>
            <w:r>
              <w:rPr>
                <w:rFonts w:ascii="Arial" w:cs="Arial" w:eastAsia="Arial" w:hAnsi="Arial"/>
                <w:sz w:val="18"/>
                <w:szCs w:val="18"/>
                <w:b w:val="1"/>
                <w:bCs w:val="1"/>
                <w:color w:val="auto"/>
                <w:w w:val="99"/>
              </w:rPr>
              <w:t>FORM 10-K FOR THE FISCAL YEAR ENDED DECEMBER 25, 2010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80" w:type="dxa"/>
            <w:vAlign w:val="bottom"/>
            <w:gridSpan w:val="7"/>
          </w:tcPr>
          <w:p>
            <w:pPr>
              <w:jc w:val="center"/>
              <w:ind w:right="432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0420" w:type="dxa"/>
            <w:vAlign w:val="bottom"/>
            <w:gridSpan w:val="24"/>
            <w:vMerge w:val="restart"/>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vMerge w:val="continue"/>
          </w:tcPr>
          <w:p>
            <w:pPr>
              <w:spacing w:after="0"/>
              <w:rPr>
                <w:sz w:val="13"/>
                <w:szCs w:val="13"/>
                <w:color w:val="auto"/>
              </w:rPr>
            </w:pPr>
          </w:p>
        </w:tc>
        <w:tc>
          <w:tcPr>
            <w:tcW w:w="10420" w:type="dxa"/>
            <w:vAlign w:val="bottom"/>
            <w:gridSpan w:val="24"/>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02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1A. Risk Factors</w:t>
              </w:r>
            </w:hyperlink>
          </w:p>
        </w:tc>
        <w:tc>
          <w:tcPr>
            <w:tcW w:w="942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20" w:type="dxa"/>
            <w:vAlign w:val="bottom"/>
            <w:gridSpan w:val="2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1B. Unresolved Staff Comments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8"/>
          </w:tcPr>
          <w:p>
            <w:pPr>
              <w:spacing w:after="0"/>
              <w:rPr>
                <w:sz w:val="24"/>
                <w:szCs w:val="24"/>
                <w:color w:val="auto"/>
              </w:rPr>
            </w:pPr>
          </w:p>
        </w:tc>
        <w:tc>
          <w:tcPr>
            <w:tcW w:w="830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3. Legal Proceedings</w:t>
              </w:r>
            </w:hyperlink>
          </w:p>
        </w:tc>
        <w:tc>
          <w:tcPr>
            <w:tcW w:w="912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24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4. (Removed and Reserved)</w:t>
              </w:r>
            </w:hyperlink>
          </w:p>
        </w:tc>
        <w:tc>
          <w:tcPr>
            <w:tcW w:w="86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1020" w:type="dxa"/>
            <w:vAlign w:val="bottom"/>
            <w:gridSpan w:val="2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5. Market for Registrant’s Common Equity, Related Stockholder Matters and Issuer Purchases of Equity Securities</w:t>
              </w:r>
            </w:hyperlink>
          </w:p>
        </w:tc>
        <w:tc>
          <w:tcPr>
            <w:tcW w:w="23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2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6. Selected Financial Data</w:t>
              </w:r>
            </w:hyperlink>
          </w:p>
        </w:tc>
        <w:tc>
          <w:tcPr>
            <w:tcW w:w="874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1020" w:type="dxa"/>
            <w:vAlign w:val="bottom"/>
            <w:gridSpan w:val="2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7.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506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24"/>
                <w:szCs w:val="24"/>
                <w:color w:val="auto"/>
              </w:rPr>
            </w:pPr>
          </w:p>
        </w:tc>
        <w:tc>
          <w:tcPr>
            <w:tcW w:w="40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3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8. Financial Statements and Supplementary Data</w:t>
              </w:r>
            </w:hyperlink>
          </w:p>
        </w:tc>
        <w:tc>
          <w:tcPr>
            <w:tcW w:w="712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1020" w:type="dxa"/>
            <w:vAlign w:val="bottom"/>
            <w:gridSpan w:val="2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9. Changes in and Disagreements with Accountants on Accounting and Financial Disclosure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4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9A. Controls and Procedures</w:t>
              </w:r>
            </w:hyperlink>
          </w:p>
        </w:tc>
        <w:tc>
          <w:tcPr>
            <w:tcW w:w="4560" w:type="dxa"/>
            <w:vAlign w:val="bottom"/>
            <w:tcBorders>
              <w:top w:val="single" w:sz="8" w:color="0000EE"/>
            </w:tcBorders>
            <w:gridSpan w:val="9"/>
          </w:tcPr>
          <w:p>
            <w:pPr>
              <w:spacing w:after="0"/>
              <w:rPr>
                <w:sz w:val="24"/>
                <w:szCs w:val="24"/>
                <w:color w:val="auto"/>
              </w:rPr>
            </w:pPr>
          </w:p>
        </w:tc>
        <w:tc>
          <w:tcPr>
            <w:tcW w:w="39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0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Item 9B. Other Information</w:t>
              </w:r>
            </w:hyperlink>
          </w:p>
        </w:tc>
        <w:tc>
          <w:tcPr>
            <w:tcW w:w="90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III</w:t>
              </w:r>
            </w:hyperlink>
          </w:p>
        </w:tc>
        <w:tc>
          <w:tcPr>
            <w:tcW w:w="10260" w:type="dxa"/>
            <w:vAlign w:val="bottom"/>
            <w:gridSpan w:val="21"/>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2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10. 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24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6"/>
          </w:tcPr>
          <w:p>
            <w:pPr>
              <w:spacing w:after="0"/>
              <w:rPr>
                <w:sz w:val="24"/>
                <w:szCs w:val="24"/>
                <w:color w:val="auto"/>
              </w:rPr>
            </w:pPr>
          </w:p>
        </w:tc>
        <w:tc>
          <w:tcPr>
            <w:tcW w:w="628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102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12. Security Ownership of Certain Beneficial Owners and Management and Related Stockholder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7940" w:type="dxa"/>
            <w:vAlign w:val="bottom"/>
            <w:tcBorders>
              <w:top w:val="single" w:sz="8" w:color="0000EE"/>
            </w:tcBorders>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13. Certain Relationships and Related Transactions, and Director Independence</w:t>
              </w:r>
            </w:hyperlink>
          </w:p>
        </w:tc>
        <w:tc>
          <w:tcPr>
            <w:tcW w:w="30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6100" w:type="dxa"/>
            <w:vAlign w:val="bottom"/>
            <w:tcBorders>
              <w:top w:val="single" w:sz="8" w:color="0000EE"/>
            </w:tcBorders>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14. Principal Accounting Fees and Services</w:t>
              </w:r>
            </w:hyperlink>
          </w:p>
        </w:tc>
        <w:tc>
          <w:tcPr>
            <w:tcW w:w="492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352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IV</w:t>
              </w:r>
            </w:hyperlink>
          </w:p>
        </w:tc>
        <w:tc>
          <w:tcPr>
            <w:tcW w:w="750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12"/>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15. Exhibits, Financial Statement Schedules</w:t>
              </w:r>
            </w:hyperlink>
          </w:p>
        </w:tc>
        <w:tc>
          <w:tcPr>
            <w:tcW w:w="74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1020" w:type="dxa"/>
            <w:vAlign w:val="bottom"/>
            <w:gridSpan w:val="2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three reportable segments: semiconductor equipment, mobile microwave communication systems and video cameras. Our semiconductor equipment segment is comprised of our wholly owned subsidiaries Delta Design, Inc. (“Delta”) and Rasco GmbH (“Rasco”). Delta develops, manufactures and sells pick-and-place semiconductor test handlers, burn-in related equipment and thermal sub-systems to semiconductor manufacturers and semiconductor test subcontractors throughout the world. Rasco develops, manufactures and sells gravity-feed and test-in-strip semiconductor test handling equipment used in final test operations by semiconductor manufacturers and test subcontractors. Our microwave communication systems segment is comprised of our wholly owned subsidiary Broadcast Microwave Services, Inc. (“BMS”). BMS develops, manufactures and sells microwave communications equipment to government agencies, law enforcement and public safety organizations, unmanned air vehicle program contractors, television broadcasters, entertainment companies, professional sports teams and other commercial entities. Our video camera segment (“Electronics Division”) develops, manufactures and sells a wide selection of video cameras and related products, specializing in video solutions for security, surveillance and traffic monitoring. Customers for these products are distributed among security, surveillance, traffic control/management, scientific imaging and machine vision.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Semiconductor equipment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Microwave communications</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Video cameras</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vMerge w:val="continue"/>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in Note 7, “Segment and Related Information” in part IV, Item 15(a) of this Form 10-K.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a worldwide supplier of semiconductor test handling systems, micro electro mechanical systems (“MEMS”) test modules, burn-in equipment and thermal sub-systems. Our semiconductor equipment companies develop, manufacture, sell and service a broad line of equipment capable of handling a wide range of integrated circuit packages. Test handlers are electromechanical systems used to automate testing of the packaged integrated circuit in the “backend” of the semiconductor manufacturing process. Testing determines the quality and performance of the integrated circuit prior to shipment to customers. Testers are designed to verify the performance of the integrated circuit, such as microprocessors, logic, DRAM or mixed signal devices. Handlers are engineered to thermally condition and present for testing the packages that protect the integrated circuit. The majority of test handlers use either pick-and-place, gravity-feed or test-in-strip technologies. The integrated circuit package type normally determines the appropriate handling approach. Gravity-feed handling is the predominant solution for temperature testing of small outline leaded and non-leaded packages, as well as for packages with leads on only two sides. In gravity-feed handlers, integrated circuits are unloaded from plastic tubes, metal magazines or a bowl at the top of the machine and flow through the system, from top to bottom, propelled by the force of gravity. After testing, the integrated circuits are sorted and reloaded into tubes, magazines, bulk or tape for additional process steps or for shipment.</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Integrated circuits with leads on all four sides, such as the quad flat pack, or with balls or pads on the bottom or sides of the package, such as ball grid array packages, and quad flat no-lead packages as well as certain low profile integrated circuits with leads on two sides, such as the thin small outline package, are predominately handled in pick-and-place systems. Pick-and-place handlers use robotic mechanisms to move integrated circuits from waffle-like trays and place them in precision transport boats or carriers for processing through the system. After testing, integrated circuits are sorted and reloaded into designated trays, based on test results.</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Test-in-strip handlers test integrated circuits in strips or panels prior to the final singulation step in the semiconductor manufacturing process flow and are typically used for high-parallel testing applications. MEMS test modules are independent physical stimuli assemblies for testing of sensor integrated circuits typically used in the automotive and consumer electronics industries. These MEMS modules can be integrated to our gravity-feed, pick &amp; place, or test-in-strip handlers for testing a variety of integrated circuits, including pressure sensors, acoustic sensors, magnetic field hall effect sensors, optical sensors and others.</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ensure quality, semiconductor manufacturers typically test integrated circuits at hot and/or cold temperatures, which can accelerate failures. Our test handler products are designed to provide a precisely controlled test environment, often over the range of -60 degrees Celsius to +175 degrees Celsius. In recent years, the speed and power of certain integrated circuits, such as microprocessors has increased, resulting in a substantial increase in the amount of heat that is generated within these high performance integrated circuits during the test process.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cost, handling speed, flexibility, parallel test capability, system size and reliability.</w:t>
      </w:r>
    </w:p>
    <w:p>
      <w:pPr>
        <w:spacing w:after="0" w:line="5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Delta provides thermal sub-systems for use in advanced burn-in applications. These thermal sub-systems maintain and control the temperature of the integrated circuit during the burn-in testing process. Burn-in stresses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handling and burn-in equipment. The availability of trained technical support personnel is an important competitive factor in the marketplace. Our semiconductor equipment companies deploy service engineers worldwide, often within customer production facilities, who work with customer personnel to maintain, repair and continuously improve the performance of our equipment.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Semiconductor Equipment Products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offer products for the pick-and-place, gravity-feed, and strip semiconductor test handler, and burn-in markets. We currently sell the following products in the semiconductor equipment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Pick-and-place</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Castle</w:t>
      </w:r>
      <w:r>
        <w:rPr>
          <w:rFonts w:ascii="Arial" w:cs="Arial" w:eastAsia="Arial" w:hAnsi="Arial"/>
          <w:sz w:val="18"/>
          <w:szCs w:val="18"/>
          <w:color w:val="auto"/>
        </w:rPr>
        <w:t xml:space="preserve"> is a pick-and-place test handler capable of thermally conditioning devices from - -60 degrees Celsius to +160 degrees Celsius. The Castle can position from one to nine devices for testing. Its large thermal soak chamber provides a continuous flow of thermally conditioned devices to the test site allowing the handler to process parts at high speed when running at temperature. The Castle incorporates an innovative vertical tray storage system that saves space on the test floor by minimizing the handler’s footprint.</w:t>
      </w:r>
    </w:p>
    <w:p>
      <w:pPr>
        <w:spacing w:after="0" w:line="7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(processing speed of the contactor placement mechanism).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is designed to meet the needs of integrated circuit manufacturers and subcontractors who test at ambient and hot temperatures.</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MATRiX</w:t>
      </w:r>
      <w:r>
        <w:rPr>
          <w:rFonts w:ascii="Arial" w:cs="Arial" w:eastAsia="Arial" w:hAnsi="Arial"/>
          <w:sz w:val="18"/>
          <w:szCs w:val="18"/>
          <w:color w:val="auto"/>
        </w:rPr>
        <w:t xml:space="preserve"> is a high performance pick-and-place handler capable of thermally conditioning devices from -60 degrees Celsius to +175 degrees Celsius. It provides increased productivity in several dimensions of performance: up to three times higher throughput and four times higher parallelism than our previous generation products, and active thermal control per test site. With an adjustable test site configuration, customers can reuse existing load-boards, including those made for gravity handlers. The system also provides flexibility with field upgradeable options including a chamberless tri-temperature test site and auto contactor cleaning.</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Summit</w:t>
      </w:r>
      <w:r>
        <w:rPr>
          <w:rFonts w:ascii="Arial" w:cs="Arial" w:eastAsia="Arial" w:hAnsi="Arial"/>
          <w:sz w:val="18"/>
          <w:szCs w:val="18"/>
          <w:color w:val="auto"/>
        </w:rPr>
        <w:t xml:space="preserve"> series of pick-and-place thermal handlers are designed to meet the requirements of manufacturers of microprocessors, graphic processors and other high speed, high power integrated circuits. The Summit handlers incorporate Delta’s proprietary thermal control technology. The Summit PTC, or Passive Thermal Control, and ATC, or Active Thermal Control, models dissipate the heat generated during test enabling the integrated circuit to be tested successfully at its maximum speed and performance.</w:t>
      </w:r>
    </w:p>
    <w:p>
      <w:pPr>
        <w:spacing w:after="0" w:line="7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Pyramid</w:t>
      </w:r>
      <w:r>
        <w:rPr>
          <w:rFonts w:ascii="Arial" w:cs="Arial" w:eastAsia="Arial" w:hAnsi="Arial"/>
          <w:sz w:val="18"/>
          <w:szCs w:val="18"/>
          <w:color w:val="auto"/>
        </w:rPr>
        <w:t xml:space="preserve"> is our next generation thermal handler providing high throughput / high parallel test capabilities for microprocessors and graphics processors. The system is highly configurable and is capable of adapting to various customer requirements ranging from small netbook microprocessor testing up to high-end server product testing.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Gravity-Feed</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SO1x00</w:t>
      </w:r>
      <w:r>
        <w:rPr>
          <w:rFonts w:ascii="Arial" w:cs="Arial" w:eastAsia="Arial" w:hAnsi="Arial"/>
          <w:sz w:val="18"/>
          <w:szCs w:val="18"/>
          <w:color w:val="auto"/>
        </w:rPr>
        <w:t xml:space="preserve"> is a high throughput gravity-feed platform that provides an economical solution for testing up to 8 devices in parallel. These handlers can be configured for tube-to-tube or metal magazine input and output, ambient-hot or tri-temperature testing and are easily kit-able for a wide range of integrated circuit packages.</w:t>
      </w:r>
    </w:p>
    <w:p>
      <w:pPr>
        <w:spacing w:after="0" w:line="6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SO2x00</w:t>
      </w:r>
      <w:r>
        <w:rPr>
          <w:rFonts w:ascii="Arial" w:cs="Arial" w:eastAsia="Arial" w:hAnsi="Arial"/>
          <w:sz w:val="18"/>
          <w:szCs w:val="18"/>
          <w:color w:val="auto"/>
        </w:rPr>
        <w:t xml:space="preserve"> is a modular platform that offers a reliable solution for testing small integrated circuit packages and up to 8 devices in parallel. The base platform can be configured with various input and output modules: tube, metal magazine, bowl, bulk, tape and reel, and an optional laser marking unit. These handlers can be configured for ambient-hot or tri-temperature testing.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Test-in-strip</w:t>
      </w:r>
    </w:p>
    <w:p>
      <w:pPr>
        <w:spacing w:after="0" w:line="11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color w:val="auto"/>
        </w:rPr>
        <w:t xml:space="preserve">Rasco’s </w:t>
      </w:r>
      <w:r>
        <w:rPr>
          <w:rFonts w:ascii="Arial" w:cs="Arial" w:eastAsia="Arial" w:hAnsi="Arial"/>
          <w:sz w:val="17"/>
          <w:szCs w:val="17"/>
          <w:b w:val="1"/>
          <w:bCs w:val="1"/>
          <w:color w:val="auto"/>
        </w:rPr>
        <w:t>SO3000</w:t>
      </w:r>
      <w:r>
        <w:rPr>
          <w:rFonts w:ascii="Arial" w:cs="Arial" w:eastAsia="Arial" w:hAnsi="Arial"/>
          <w:sz w:val="17"/>
          <w:szCs w:val="17"/>
          <w:color w:val="auto"/>
        </w:rPr>
        <w:t>, test-in-strip handler, can process an entire strip at once or index the strip for single/multiple device testing. The system has tri-temperature capability, accommodates either stacked or slotted input/output media and can be configured with optional, automated vision alignment.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Electro Mechanical Systems (“MEMS”)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SO7000</w:t>
      </w:r>
      <w:r>
        <w:rPr>
          <w:rFonts w:ascii="Arial" w:cs="Arial" w:eastAsia="Arial" w:hAnsi="Arial"/>
          <w:sz w:val="18"/>
          <w:szCs w:val="18"/>
          <w:color w:val="auto"/>
        </w:rPr>
        <w:t xml:space="preserve"> MEMS series are modules that generate a physical stimuli for testing of sensor integrated circuits typically used in the automotive (tire pressure, airbag sensors) and consumer electronics (tilt, motion and light sensors) industries. The SO7000 modules are stand-alone units that can be integrated into Delta’s or Rasco’s pick-and-place, test-in-strip, or gravity-feed handlers.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Burn-in</w:t>
      </w:r>
    </w:p>
    <w:p>
      <w:pPr>
        <w:spacing w:after="0" w:line="11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VTS300</w:t>
      </w:r>
      <w:r>
        <w:rPr>
          <w:rFonts w:ascii="Arial" w:cs="Arial" w:eastAsia="Arial" w:hAnsi="Arial"/>
          <w:sz w:val="18"/>
          <w:szCs w:val="18"/>
          <w:color w:val="auto"/>
        </w:rPr>
        <w:t>, is an automated burn-in system that supports asynchronous loading and unloading of devices without system interruption to transform the burn-in process from a traditional batch-oriented process to a more efficient continuous-flow process.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Thermal Sub-Systems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Delta has developed custom thermal sub-systems that incorporate our proprietary thermal control technology which are used by integrated circuit manufacturers in high performance burn-in and system level test. These thermal sub-system products maintain and control the temperature of the integrated circuit during the testing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Delta and Rasco provide consumable and non-consumable items that are used to maintain, sustain or otherwise enable purchased equipment to meet or exceed its performance, availability and production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Tooling (kits)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Delta and Rasco design and manufacture a wide range of device dedication kits that enable their handler products to process different semiconductor packages.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Validation and Characterization</w:t>
      </w:r>
    </w:p>
    <w:p>
      <w:pPr>
        <w:spacing w:after="0" w:line="11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ETC 2000</w:t>
      </w:r>
      <w:r>
        <w:rPr>
          <w:rFonts w:ascii="Arial" w:cs="Arial" w:eastAsia="Arial" w:hAnsi="Arial"/>
          <w:sz w:val="18"/>
          <w:szCs w:val="18"/>
          <w:color w:val="auto"/>
        </w:rPr>
        <w:t xml:space="preserve"> is used in engineering and device characterization applications. The ETC 2000 conditions semiconductors to desired test temperature and maintains temperature set point by efficiently dissipating the heat generated during device test.</w:t>
      </w:r>
    </w:p>
    <w:p>
      <w:pPr>
        <w:spacing w:after="0" w:line="5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ETC 3000</w:t>
      </w:r>
      <w:r>
        <w:rPr>
          <w:rFonts w:ascii="Arial" w:cs="Arial" w:eastAsia="Arial" w:hAnsi="Arial"/>
          <w:sz w:val="18"/>
          <w:szCs w:val="18"/>
          <w:color w:val="auto"/>
        </w:rPr>
        <w:t xml:space="preserve"> is our next generation engineering and device characterization system. The ETC 3000 features fast and accurate thermal control technology for high precision characterization of high-power logic devices such as microprocessors and graphics processing units. The ETC 3000 uses the same thermal control technology as the Pyramid handler.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by Product Line</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December, 2008 we purchased Rasco, which expanded our product line to include gravity-feed and test-in-strip semiconductor test handling equipment. During the year ended December 25, 2010, sales of our semiconductor equipment segment were distributed as follows: semiconductor test handler systems - 64%; thermal sub-systems and burn-in equipment - 1%; and spares, tooling (kits) and service - 35%. During the same period semiconductor test handler system sales were comprised of approximately 63% pick-and-place handlers with the balance attributed to gravity-feed and test-in-strip products. For the year ended December 26, 2009, sales of our semiconductor equipment segment were distributed as follows: semiconductor test handler systems - 24%; thermal sub-systems and burn-in equipment - 8%; and spares, tooling (kits) and service - 68%. During the same period semiconductor test handler system sales were comprised of approximately 76% pick-and-place handlers with the balance attributed to gravity-feed products and test-in-strip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BMS develops, manufactures and sells microwave communications equipment, antenna systems and associated equipment. These products are used in the transmission of video, audio and telemetry. Applications for these microwave data-links include unmanned aerial vehicles (UAVs), law enforcement, security and surveillance and electronic news gathering. Customers include government agencies, law enforcement and public safety organizations, unmanned air vehicle program contractors, television broadcasters, entertainment companies, professional sports teams and other commercial entities.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Cameras</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Electronics Division has developed, manufactured and sold closed circuit video or CCTV cameras, equipment and systems for over 50 years. The customer base for these products is distributed among traffic control and management, scientific imaging, security/surveillance and machine vision. The product line consists of a wide selection of video cameras and related products, specializing in video solutions for security, surveillance and traffic monitoring. Its products are high-performance, high-resolution cameras that meet the most demanding performance requirements and are resistant to harsh environments. To support its camera products, the Electronics Division also offers accessories including monitors, lenses and camera test equipment.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Our customers include semiconductor manufacturers and subcontractors that perform test services for semiconductor manufacturers. Repeat sales to existing customers represent a significant portion of our sales. We rely on a limited number of customers for a substantial percentage of our net sales. During the last three years, two customers from our semiconductor equipment segment have comprised 10% or greater of our consolidated net sales as follows: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488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2009</w:t>
            </w: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2008</w:t>
            </w: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Intel</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26%</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Texas Instruments</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w w:val="94"/>
              </w:rPr>
              <w:t>14%</w:t>
            </w:r>
          </w:p>
        </w:tc>
        <w:tc>
          <w:tcPr>
            <w:tcW w:w="9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Micro Devices</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188595</wp:posOffset>
            </wp:positionV>
            <wp:extent cx="1269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44" w:lineRule="exact"/>
        <w:rPr>
          <w:sz w:val="20"/>
          <w:szCs w:val="20"/>
          <w:color w:val="auto"/>
        </w:rPr>
      </w:pPr>
    </w:p>
    <w:p>
      <w:pPr>
        <w:ind w:left="800" w:hanging="450"/>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 of net sales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7, “Segment and Related Information” in part IV, Item 15(a)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customer base for microwave communications equipment is diverse and includes government agencies, law enforcement and public safety organizations, unmanned air vehicle program contractors, television broadcasters, entertainment companies, professional sports teams and other commercial entities throughout the world. No single customer of this segment accounted for 10% or more of our consolidated net sales in 2010, 2009 or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 Cameras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customer base in the video camera industry segment is also diverse and includes end-users, government agencies, original equipment manufacturers, contractors and value-added resellers. No single customer of this segment accounted for 10% or more of our consolidated net sales in 2010, 2009 or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market our products worldwide through a combination of a direct sales force and independent sales representatives. In geographic areas where we believe there is sufficient sales potential, we generally employ our own personnel. The U.S. sales office for our semiconductor equipment businesses is located at Delta’s Poway, California facility. In 1993, a foreign subsidiary was formed in Singapore to handle the sales and service of our test handling products to customers located in Southeast Asia. In 1995, a branch of the Singapore sales and service subsidiary was opened in Taipei, Taiwan. As a result of our acquisition of Rasco in December 2008 we have a direct sales force in Europe. Sales in Japan and Korea are made primarily through independent sales representatives.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and there are a large number of competitors for a relatively small worldwide market. The Japanese and Korean markets for test handling equipment are large and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in the U.S. or throughout the world.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 and Video Camera</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products in the microwave communications and video camera segments are sold in highly competitive markets throughout the world, where competition is on the basis of price, product performance and integration with customer requirements, service,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by segment, at December 25, 2010 and December 26, 2009,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0" w:type="dxa"/>
            <w:vAlign w:val="bottom"/>
            <w:tcBorders>
              <w:bottom w:val="single" w:sz="8" w:color="auto"/>
            </w:tcBorders>
          </w:tcPr>
          <w:p>
            <w:pPr>
              <w:spacing w:after="0"/>
              <w:rPr>
                <w:sz w:val="15"/>
                <w:szCs w:val="15"/>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Semiconductor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Microwave communications</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Video cameras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23"/>
        </w:trPr>
        <w:tc>
          <w:tcPr>
            <w:tcW w:w="5100" w:type="dxa"/>
            <w:vAlign w:val="bottom"/>
          </w:tcPr>
          <w:p>
            <w:pPr>
              <w:ind w:left="220"/>
              <w:spacing w:after="0"/>
              <w:rPr>
                <w:sz w:val="20"/>
                <w:szCs w:val="20"/>
                <w:color w:val="auto"/>
              </w:rPr>
            </w:pPr>
            <w:r>
              <w:rPr>
                <w:rFonts w:ascii="Arial" w:cs="Arial" w:eastAsia="Arial" w:hAnsi="Arial"/>
                <w:sz w:val="18"/>
                <w:szCs w:val="18"/>
                <w:color w:val="auto"/>
              </w:rPr>
              <w:t>Total consolidated backlog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u w:val="single" w:color="auto"/>
                <w:color w:val="auto"/>
              </w:rPr>
              <w:t>1</w:t>
            </w:r>
          </w:p>
        </w:tc>
        <w:tc>
          <w:tcPr>
            <w:tcW w:w="6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and the inability to recognize revenue under accounting requirements. Furthermore, many orders are subject to cancellation or rescheduling by the customer with limited or no penalty. A reduction in backlog during any particular period could have a material adverse effect on our business, financial condition and results of operations. There is no significant seasonal aspect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manufacturing operations are currently located in Poway, California (BMS, Delta and Electronics Division); Tijuana, B.C. Mexico (Delta); Laguna, the Philippines (Delta); Kolbermoor, Germany (Rasco); and Kemel, Germany (BMS). Our microwave communications and video camera businesses perform internal assembly, final integration and test. Rasco relies on contract manufacturers for sub-assemblies while performing final integration and test in their Kolbermoor facility and Delta is in the process of transitioning certain portions of its handler manufacturing model to an outsourced model that utilizes contract manufacturers.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of the components and subassemblies we utilize are standard products, although certain items are made to our specifications. Certain components, particularly in our semiconductor equipment businesses,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of the markets in which we compete, particularly the semiconductor equipment industry, are characterized by rapid technological change. Research and development activities are carried on in our various subsidiaries and division and are directed toward development of new products and equipment, as well as enhancements to existing products and equipment. Our total research and development expense was $36.2 million in 2010, $32.0 million in 2009 and $38.1 million in 2008.</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which have been enacted or adopted regulating the discharge of materials into the environment or otherwise relating to the protection of the environment and the prevention of climate change have not had a material effect and is not expected to have a material effect upon the capital expenditures, results of operations or our competitive position. However, future changes in regulations may require expenditures that could adversely impact earnings in future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11, 2011. Executive Officers serve at the discretion of the Board of Directors, until their successors are appointed.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480" w:type="dxa"/>
            <w:vAlign w:val="bottom"/>
            <w:gridSpan w:val="2"/>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Cohu:</w:t>
            </w: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James A. Donahue</w:t>
            </w: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62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Jeffrey D. Jones</w:t>
            </w: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49</w:t>
            </w: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Finance and Chief Financial Officer</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Cohu wholly owned subsidiaries: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41</w:t>
            </w: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President – Cohu Semiconductor Equipment Group</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James G. McFarlane</w:t>
            </w: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60</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Senior Vice President – Delta Design</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Roger J. Hopkins</w:t>
            </w: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61</w:t>
            </w: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Sales and Service – Delta – Rasco</w:t>
            </w: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Thomas G. Lightner</w:t>
            </w: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66</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Vice President, Operations – Delta Design</w:t>
            </w:r>
          </w:p>
        </w:tc>
      </w:tr>
    </w:tbl>
    <w:p>
      <w:pPr>
        <w:spacing w:after="0" w:line="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Mr. Donahue has been employed by Delta Design since 1978 and has been President of Delta Design since May, 1983. In October, 1999, Mr. Donahue was named to the position of President and Chief Operating Officer of Cohu and was appointed to Cohu’s Board of Directors. In June, 2000, Mr. Donahue was promoted to Chief Executive Officer.</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Mr. Jones joined Delta Design in 2005 as Vice President Finance. In November 2007, Mr. Jones was named to the position of Vice President, Finance and Chief Financial Officer of Cohu. Prior to joining Delta Design, Mr. Jones, was a consultant from 2004 to June, 2005 and Vice President and General Manager of the Systems Group at SBS Technologies, Inc., a designer and manufacturer of embedded computer products, from 1998 to 2003.</w:t>
      </w:r>
    </w:p>
    <w:p>
      <w:pPr>
        <w:spacing w:after="0" w:line="5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Mr. Müller joined Delta Design in 2005 as Director of Engineering. In July 2008, Mr. Müller was promoted to the position of Vice President of the High Speed Handling Group for Delta Design and in January 2009 he was named Managing Director of Rasco GmbH. In January 2011, Mr. Müller was appointed President of Cohu’s newly-formed Semiconductor Equipment Group which encompasses Cohu subsidiaries Delta Design, Inc. and Rasco GmbH.</w:t>
      </w:r>
    </w:p>
    <w:p>
      <w:pPr>
        <w:spacing w:after="0" w:line="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McFarlane has been employed by Delta Design since 1989. He was Director of Engineering from 1992 to 1998 and was promoted to Vice President of Engineering in 1998. In 2000, Mr. McFarlane was promoted to Senior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Hopkins has been employed by Delta Design since April 2008 as Vice President, Sales and Service. Prior to joining Delta, from January, 2003 until April, 2008 Mr. Hopkins was the Asian and Western Regional Manager at Aetrium, Incorporated, a supplier of semiconductor test handlers and reliability test systems. Additionally, Mr. Hopkins worked as Delta’s Director of Sales from April, 2001 until December, 2002.</w:t>
      </w:r>
    </w:p>
    <w:p>
      <w:pPr>
        <w:spacing w:after="0" w:line="7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Mr. Lightner was promoted to Vice President, Operations of Delta in January 2011 and has been employed by Delta Design since July 2000 and has served as Delta’s Vice President, Manufacturing from April 2001 to October 2007, Vice President, Operations, of BMS, Inc., the Company’s wholly-owned microwave communications subsidiary from October 2007 to June 2010 and as Delta’s Vice President, Quality from June 2010 to January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At December 25, 2010, we had approximately 1,100 employees. Our employee headcount has fluctuated in the last five years primarily due to the volatile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auto"/>
        </w:rPr>
        <w:t>www.cohu.com</w:t>
      </w:r>
      <w:r>
        <w:rPr>
          <w:rFonts w:ascii="Arial" w:cs="Arial" w:eastAsia="Arial" w:hAnsi="Arial"/>
          <w:sz w:val="16"/>
          <w:szCs w:val="16"/>
          <w:color w:val="auto"/>
        </w:rPr>
        <w:t xml:space="preserve">.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t>
      </w:r>
      <w:r>
        <w:rPr>
          <w:rFonts w:ascii="Arial" w:cs="Arial" w:eastAsia="Arial" w:hAnsi="Arial"/>
          <w:sz w:val="16"/>
          <w:szCs w:val="16"/>
          <w:u w:val="single" w:color="auto"/>
          <w:color w:val="auto"/>
        </w:rPr>
        <w:t>www.cohu.com/investors/corporategovernance</w:t>
      </w:r>
      <w:r>
        <w:rPr>
          <w:rFonts w:ascii="Arial" w:cs="Arial" w:eastAsia="Arial" w:hAnsi="Arial"/>
          <w:sz w:val="16"/>
          <w:szCs w:val="16"/>
          <w:color w:val="auto"/>
        </w:rPr>
        <w:t>. Information contained on our web site is not deemed part of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1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2010, 2009 and 2008, we recorded pre-tax inventory-related charges of approximately $1.7 million, $4.4 million, and $6.2 million, respectively, primarily as a result of changes in customer forecasts.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Some of our competitors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25, 2010. Future inventory write-offs and increased inventory reserve requirements could have a material adverse impact on our results of operations and financial condition.</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46"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small number of customers historically have been responsible for a significant portion of our net sales. In the year ended December 25, 2010, two customers of the semiconductor equipment segment each represented more than 10% of our consolidated net sales and, combined, they accounted for 40% (41% in 2009, and 45% in 2008)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participate in the DRAM test handler market.</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Pick-and-place handlers used in DRAM applications account for a significant portion of the worldwide test handler market. We do not participate in the DRAM market segment; therefore our total available sales market is limited.</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area, where the majority of our personnel are located, is very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Certain products and services that we offer require compliance with United States export and other regulations. Compliance with complex U.S.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73"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costs and difficulties in staffing and managing international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difficulties in enforcing contractual and intellectual property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local political and economic conditions;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 which can affect demand and increase our costs.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utilize contract manufacturers and changes to those relationships, expected or unexpected, may result in delays or disruptions that could cause us to lose revenue and damage our customer relationships.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reliance on contract manufacturers gives us less control over the manufacturing process and exposes us to significant risks, including limited control over capacity, late delivery, quality and costs. In addition, it is time consuming and costly to qualify and implement additional contract manufacturer relationships. Therefore, if we should fail to effectively manage our contract manufacturer relationships or if one or more of them should experience delays, disruptions or quality control problems, or if we had to change or add additional contract manufacturers or contract manufacturing sites, our ability to ship products to our customers could be delayed. Also, the addition of manufacturing locations or contract manufacturers may increase the complexity of our supply chain management. We cannot be certain that existing or future contract manufacturers will be able to manufacture our products on a timely and cost-effective basis, or to our quality and performance specifications. If our contract manufacturers are unable to meet our manufacturing requirements in a timely manner, our ability to ship products and to realize the related revenues when anticipated could be materially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62"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operational matters;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acquired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lack of synergy, or the inability to realize expected synergies, resulting from the acquisition;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failure to commercialize purchased technology;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December 25, 2010 we had goodwill and net purchased intangible assets balances of $58.5 million and $26.5 million, respectively.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other threats may adversely impact our operations and sales.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Asian sales and service headquarters is located in Singapore and the majority of our sales are made to destinations in Asia. In addition, we have a location in the Philippines which fabricates certain component parts used in our products.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we have customers throughout the Middle East and terrorist attacks or other threats in this region may cause geopolitical instability which may have an adverse impact on our business,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timing and amount of orders from customers and shipments to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recognize revenue due to accounting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inventory writedowns;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deliver solutions as expected by our customers;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intangible and deferred tax asset writedowns.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$7.00 to $20.52.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25, 2010, identified by business segment is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274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5"/>
              </w:rPr>
              <w:t>Approximate</w:t>
            </w: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274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9"/>
              </w:rPr>
              <w:t>Sq. Footage</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Poway, California (1) (2) (3) (4)</w:t>
            </w:r>
          </w:p>
        </w:tc>
        <w:tc>
          <w:tcPr>
            <w:tcW w:w="274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338,000</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Kolbermoor, Germany (1)</w:t>
            </w:r>
          </w:p>
        </w:tc>
        <w:tc>
          <w:tcPr>
            <w:tcW w:w="2740" w:type="dxa"/>
            <w:vAlign w:val="bottom"/>
            <w:gridSpan w:val="2"/>
          </w:tcPr>
          <w:p>
            <w:pPr>
              <w:jc w:val="right"/>
              <w:ind w:right="1700"/>
              <w:spacing w:after="0"/>
              <w:rPr>
                <w:sz w:val="20"/>
                <w:szCs w:val="20"/>
                <w:color w:val="auto"/>
              </w:rPr>
            </w:pPr>
            <w:r>
              <w:rPr>
                <w:rFonts w:ascii="Arial" w:cs="Arial" w:eastAsia="Arial" w:hAnsi="Arial"/>
                <w:sz w:val="18"/>
                <w:szCs w:val="18"/>
                <w:color w:val="auto"/>
              </w:rPr>
              <w:t>40,000</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Calamba City, Laguna, Philippines (1)</w:t>
            </w:r>
          </w:p>
        </w:tc>
        <w:tc>
          <w:tcPr>
            <w:tcW w:w="274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37,000</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Singapore (1)</w:t>
            </w:r>
          </w:p>
        </w:tc>
        <w:tc>
          <w:tcPr>
            <w:tcW w:w="2740" w:type="dxa"/>
            <w:vAlign w:val="bottom"/>
            <w:gridSpan w:val="2"/>
          </w:tcPr>
          <w:p>
            <w:pPr>
              <w:jc w:val="right"/>
              <w:ind w:right="1700"/>
              <w:spacing w:after="0"/>
              <w:rPr>
                <w:sz w:val="20"/>
                <w:szCs w:val="20"/>
                <w:color w:val="auto"/>
              </w:rPr>
            </w:pPr>
            <w:r>
              <w:rPr>
                <w:rFonts w:ascii="Arial" w:cs="Arial" w:eastAsia="Arial" w:hAnsi="Arial"/>
                <w:sz w:val="18"/>
                <w:szCs w:val="18"/>
                <w:color w:val="auto"/>
              </w:rPr>
              <w:t>24,000</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Chandler, Arizona (1)</w:t>
            </w:r>
          </w:p>
        </w:tc>
        <w:tc>
          <w:tcPr>
            <w:tcW w:w="274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10,000</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Heidenrod — Kemel, Germany (3)</w:t>
            </w:r>
          </w:p>
        </w:tc>
        <w:tc>
          <w:tcPr>
            <w:tcW w:w="2740" w:type="dxa"/>
            <w:vAlign w:val="bottom"/>
            <w:gridSpan w:val="2"/>
          </w:tcPr>
          <w:p>
            <w:pPr>
              <w:jc w:val="right"/>
              <w:ind w:right="1700"/>
              <w:spacing w:after="0"/>
              <w:rPr>
                <w:sz w:val="20"/>
                <w:szCs w:val="20"/>
                <w:color w:val="auto"/>
              </w:rPr>
            </w:pPr>
            <w:r>
              <w:rPr>
                <w:rFonts w:ascii="Arial" w:cs="Arial" w:eastAsia="Arial" w:hAnsi="Arial"/>
                <w:sz w:val="18"/>
                <w:szCs w:val="18"/>
                <w:color w:val="auto"/>
              </w:rPr>
              <w:t>5,000</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Video cameras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Microwave Communications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to the locations listed above, we lease other properties primarily for sales and service offices in various locations. We believe our facilities are suitable for their respective uses and are adequate for our present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(a) Market Information</w:t>
      </w:r>
    </w:p>
    <w:p>
      <w:pPr>
        <w:ind w:right="160"/>
        <w:spacing w:after="0" w:line="277" w:lineRule="auto"/>
        <w:rPr>
          <w:sz w:val="20"/>
          <w:szCs w:val="20"/>
          <w:color w:val="auto"/>
        </w:rPr>
      </w:pPr>
      <w:r>
        <w:rPr>
          <w:rFonts w:ascii="Arial" w:cs="Arial" w:eastAsia="Arial" w:hAnsi="Arial"/>
          <w:sz w:val="18"/>
          <w:szCs w:val="18"/>
          <w:color w:val="auto"/>
        </w:rPr>
        <w:t>Cohu, Inc. stock is traded on the NASDAQ Global Select Market under the symbol “COHU”. The following table sets forth the high and low sales prices as reported on the NASDAQ Global Select Market during the last two years.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Fiscal 2010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Fiscal 2009</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High</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Low</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High</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Low</w:t>
            </w:r>
          </w:p>
        </w:tc>
        <w:tc>
          <w:tcPr>
            <w:tcW w:w="80" w:type="dxa"/>
            <w:vAlign w:val="bottom"/>
          </w:tcPr>
          <w:p>
            <w:pPr>
              <w:spacing w:after="0"/>
              <w:rPr>
                <w:sz w:val="12"/>
                <w:szCs w:val="12"/>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17.11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12.56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7.00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16.30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11.86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10.80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February 11, 2011, Cohu had 647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paid consecutive quarterly dividends since 1977 and, as discussed below, expect to continue doing so. Cash dividends, per share, declared in 2010 and 2009 were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w w:val="97"/>
              </w:rPr>
              <w:t>Fiscal 2010</w:t>
            </w: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7"/>
              </w:rPr>
              <w:t>Fiscal 2009</w:t>
            </w:r>
          </w:p>
        </w:tc>
        <w:tc>
          <w:tcPr>
            <w:tcW w:w="8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r>
      <w:tr>
        <w:trPr>
          <w:trHeight w:val="27"/>
        </w:trPr>
        <w:tc>
          <w:tcPr>
            <w:tcW w:w="5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investments and acquisitions, legal risks and stock repurchases.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25, 2010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60" w:type="dxa"/>
            <w:vAlign w:val="bottom"/>
            <w:gridSpan w:val="3"/>
          </w:tcPr>
          <w:p>
            <w:pPr>
              <w:ind w:left="1120"/>
              <w:spacing w:after="0"/>
              <w:rPr>
                <w:sz w:val="20"/>
                <w:szCs w:val="20"/>
                <w:color w:val="auto"/>
              </w:rPr>
            </w:pPr>
            <w:r>
              <w:rPr>
                <w:rFonts w:ascii="Arial" w:cs="Arial" w:eastAsia="Arial" w:hAnsi="Arial"/>
                <w:sz w:val="14"/>
                <w:szCs w:val="14"/>
                <w:color w:val="auto"/>
              </w:rPr>
              <w:t>Number of securities</w:t>
            </w:r>
          </w:p>
        </w:tc>
        <w:tc>
          <w:tcPr>
            <w:tcW w:w="1380" w:type="dxa"/>
            <w:vAlign w:val="bottom"/>
            <w:gridSpan w:val="3"/>
          </w:tcPr>
          <w:p>
            <w:pPr>
              <w:spacing w:after="0"/>
              <w:rPr>
                <w:sz w:val="20"/>
                <w:szCs w:val="20"/>
                <w:color w:val="auto"/>
              </w:rPr>
            </w:pPr>
            <w:r>
              <w:rPr>
                <w:rFonts w:ascii="Arial" w:cs="Arial" w:eastAsia="Arial" w:hAnsi="Arial"/>
                <w:sz w:val="14"/>
                <w:szCs w:val="14"/>
                <w:color w:val="auto"/>
              </w:rPr>
              <w:t>Weighted average</w:t>
            </w:r>
          </w:p>
        </w:tc>
        <w:tc>
          <w:tcPr>
            <w:tcW w:w="1880" w:type="dxa"/>
            <w:vAlign w:val="bottom"/>
            <w:gridSpan w:val="2"/>
          </w:tcPr>
          <w:p>
            <w:pPr>
              <w:spacing w:after="0"/>
              <w:rPr>
                <w:sz w:val="20"/>
                <w:szCs w:val="20"/>
                <w:color w:val="auto"/>
              </w:rPr>
            </w:pPr>
            <w:r>
              <w:rPr>
                <w:rFonts w:ascii="Arial" w:cs="Arial" w:eastAsia="Arial" w:hAnsi="Arial"/>
                <w:sz w:val="14"/>
                <w:szCs w:val="14"/>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660" w:type="dxa"/>
            <w:vAlign w:val="bottom"/>
            <w:gridSpan w:val="3"/>
          </w:tcPr>
          <w:p>
            <w:pPr>
              <w:ind w:left="1120"/>
              <w:spacing w:after="0" w:line="149" w:lineRule="exact"/>
              <w:rPr>
                <w:sz w:val="20"/>
                <w:szCs w:val="20"/>
                <w:color w:val="auto"/>
              </w:rPr>
            </w:pPr>
            <w:r>
              <w:rPr>
                <w:rFonts w:ascii="Arial" w:cs="Arial" w:eastAsia="Arial" w:hAnsi="Arial"/>
                <w:sz w:val="14"/>
                <w:szCs w:val="14"/>
                <w:color w:val="auto"/>
              </w:rPr>
              <w:t>to be issued upon</w:t>
            </w:r>
          </w:p>
        </w:tc>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exercise price of</w:t>
            </w: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660" w:type="dxa"/>
            <w:vAlign w:val="bottom"/>
            <w:gridSpan w:val="3"/>
          </w:tcPr>
          <w:p>
            <w:pPr>
              <w:ind w:left="1120"/>
              <w:spacing w:after="0" w:line="149" w:lineRule="exact"/>
              <w:rPr>
                <w:sz w:val="20"/>
                <w:szCs w:val="20"/>
                <w:color w:val="auto"/>
              </w:rPr>
            </w:pPr>
            <w:r>
              <w:rPr>
                <w:rFonts w:ascii="Arial" w:cs="Arial" w:eastAsia="Arial" w:hAnsi="Arial"/>
                <w:sz w:val="14"/>
                <w:szCs w:val="14"/>
                <w:color w:val="auto"/>
              </w:rPr>
              <w:t>exercise of outstanding</w:t>
            </w:r>
          </w:p>
        </w:tc>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outstanding options,</w:t>
            </w: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660" w:type="dxa"/>
            <w:vAlign w:val="bottom"/>
            <w:gridSpan w:val="3"/>
          </w:tcPr>
          <w:p>
            <w:pPr>
              <w:ind w:left="1120"/>
              <w:spacing w:after="0" w:line="149" w:lineRule="exact"/>
              <w:rPr>
                <w:sz w:val="20"/>
                <w:szCs w:val="20"/>
                <w:color w:val="auto"/>
              </w:rPr>
            </w:pPr>
            <w:r>
              <w:rPr>
                <w:rFonts w:ascii="Arial" w:cs="Arial" w:eastAsia="Arial" w:hAnsi="Arial"/>
                <w:sz w:val="14"/>
                <w:szCs w:val="14"/>
                <w:color w:val="auto"/>
              </w:rPr>
              <w:t>options, warrants and</w:t>
            </w:r>
          </w:p>
        </w:tc>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warrants and rights</w:t>
            </w: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plans (excluding securities</w:t>
            </w:r>
          </w:p>
        </w:tc>
        <w:tc>
          <w:tcPr>
            <w:tcW w:w="0" w:type="dxa"/>
            <w:vAlign w:val="bottom"/>
          </w:tcPr>
          <w:p>
            <w:pPr>
              <w:spacing w:after="0"/>
              <w:rPr>
                <w:sz w:val="1"/>
                <w:szCs w:val="1"/>
                <w:color w:val="auto"/>
              </w:rPr>
            </w:pPr>
          </w:p>
        </w:tc>
      </w:tr>
      <w:tr>
        <w:trPr>
          <w:trHeight w:val="167"/>
        </w:trPr>
        <w:tc>
          <w:tcPr>
            <w:tcW w:w="550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2660" w:type="dxa"/>
            <w:vAlign w:val="bottom"/>
            <w:gridSpan w:val="3"/>
          </w:tcPr>
          <w:p>
            <w:pPr>
              <w:ind w:left="1120"/>
              <w:spacing w:after="0"/>
              <w:rPr>
                <w:sz w:val="20"/>
                <w:szCs w:val="20"/>
                <w:color w:val="auto"/>
              </w:rPr>
            </w:pPr>
            <w:r>
              <w:rPr>
                <w:rFonts w:ascii="Arial" w:cs="Arial" w:eastAsia="Arial" w:hAnsi="Arial"/>
                <w:sz w:val="14"/>
                <w:szCs w:val="14"/>
                <w:color w:val="auto"/>
              </w:rPr>
              <w:t>rights (a) (1)</w:t>
            </w:r>
          </w:p>
        </w:tc>
        <w:tc>
          <w:tcPr>
            <w:tcW w:w="560" w:type="dxa"/>
            <w:vAlign w:val="bottom"/>
          </w:tcPr>
          <w:p>
            <w:pPr>
              <w:spacing w:after="0"/>
              <w:rPr>
                <w:sz w:val="20"/>
                <w:szCs w:val="20"/>
                <w:color w:val="auto"/>
              </w:rPr>
            </w:pPr>
            <w:r>
              <w:rPr>
                <w:rFonts w:ascii="Arial" w:cs="Arial" w:eastAsia="Arial" w:hAnsi="Arial"/>
                <w:sz w:val="14"/>
                <w:szCs w:val="14"/>
                <w:color w:val="auto"/>
              </w:rPr>
              <w:t>(b) (2)</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reflected in column (a)) (c)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3,583</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3,583</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options and restricted stock units (RSUs) outstanding under Cohu’s equity incentive plans, as no stock warrants or other rights were outstanding as of December 25, 2010.</w:t>
      </w:r>
    </w:p>
    <w:p>
      <w:pPr>
        <w:spacing w:after="0" w:line="21"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into account as RSUs have a de minimus purchase price.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257,594 shares of common stock reserved for future issuance under the Cohu 1997 Employee Stock Purchase Plan.</w:t>
      </w:r>
    </w:p>
    <w:p>
      <w:pPr>
        <w:spacing w:after="0" w:line="117" w:lineRule="exact"/>
        <w:rPr>
          <w:sz w:val="20"/>
          <w:szCs w:val="20"/>
          <w:color w:val="auto"/>
        </w:rPr>
      </w:pPr>
    </w:p>
    <w:p>
      <w:pPr>
        <w:jc w:val="center"/>
        <w:ind w:right="340"/>
        <w:spacing w:after="0" w:line="481" w:lineRule="auto"/>
        <w:rPr>
          <w:sz w:val="20"/>
          <w:szCs w:val="20"/>
          <w:color w:val="auto"/>
        </w:rPr>
      </w:pPr>
      <w:r>
        <w:rPr>
          <w:rFonts w:ascii="Arial" w:cs="Arial" w:eastAsia="Arial" w:hAnsi="Arial"/>
          <w:sz w:val="18"/>
          <w:szCs w:val="18"/>
          <w:color w:val="auto"/>
        </w:rPr>
        <w:t>For further details regarding Cohu’s equity compensation plans, see Note 5, “Employee Benefit Plans”, included in Part IV, Item 15(a) of this Form 10-K.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a Peer Group Index and a NASDAQ Market Index over the same period (assuming the investment of $100 in Cohu’s common stock, Peer Group Index and NASDAQ Market Index on January 1, 2006 and reinvestment of all dividends). The Peer Group Index set forth on the Performance Graph is the index for Hemscott, Inc., Industry Group 834 “Semiconductor Equipment/Material”. Industry Group 834 is comprised of approximately 60 publicly-held semiconductor equipment and other related companies.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177800</wp:posOffset>
            </wp:positionV>
            <wp:extent cx="4845050" cy="2855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4505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vMerge w:val="restart"/>
          </w:tcPr>
          <w:p>
            <w:pPr>
              <w:ind w:left="1720"/>
              <w:spacing w:after="0"/>
              <w:rPr>
                <w:sz w:val="20"/>
                <w:szCs w:val="20"/>
                <w:color w:val="auto"/>
              </w:rPr>
            </w:pPr>
            <w:r>
              <w:rPr>
                <w:rFonts w:ascii="Arial" w:cs="Arial" w:eastAsia="Arial" w:hAnsi="Arial"/>
                <w:sz w:val="18"/>
                <w:szCs w:val="18"/>
                <w:color w:val="auto"/>
              </w:rPr>
              <w:t>Cohu, Inc.</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2010</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40" w:type="dxa"/>
            <w:vAlign w:val="bottom"/>
            <w:vMerge w:val="continue"/>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69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c>
          <w:tcPr>
            <w:tcW w:w="14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76</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720"/>
              <w:spacing w:after="0"/>
              <w:rPr>
                <w:sz w:val="20"/>
                <w:szCs w:val="20"/>
                <w:color w:val="auto"/>
              </w:rPr>
            </w:pPr>
            <w:r>
              <w:rPr>
                <w:rFonts w:ascii="Arial" w:cs="Arial" w:eastAsia="Arial" w:hAnsi="Arial"/>
                <w:sz w:val="18"/>
                <w:szCs w:val="18"/>
                <w:color w:val="auto"/>
              </w:rPr>
              <w:t>NASDAQ Index</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gridSpan w:val="2"/>
          </w:tcPr>
          <w:p>
            <w:pPr>
              <w:jc w:val="right"/>
              <w:ind w:right="17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040" w:type="dxa"/>
            <w:vAlign w:val="bottom"/>
          </w:tcPr>
          <w:p>
            <w:pPr>
              <w:ind w:left="1720"/>
              <w:spacing w:after="0"/>
              <w:rPr>
                <w:sz w:val="20"/>
                <w:szCs w:val="20"/>
                <w:color w:val="auto"/>
              </w:rPr>
            </w:pPr>
            <w:r>
              <w:rPr>
                <w:rFonts w:ascii="Arial" w:cs="Arial" w:eastAsia="Arial" w:hAnsi="Arial"/>
                <w:sz w:val="18"/>
                <w:szCs w:val="18"/>
                <w:color w:val="auto"/>
              </w:rPr>
              <w:t>Peer Group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selected financial data should be read in conjunction with Cohu’s Consolidated Financial Statements and Notes thereto included in Part IV, Item 15(a) and with Management’s Discussion and Analysis of Financial Condition and Results of Operations, included in Part II, Item 7. In December, 2008, we purchased Rasco. The results of Rasco’s operations have been included in our consolidated financial statements since that date. In March, 2007, we purchased Tandberg Television AVS GmbH (“AVS”). The results of AVS’ operations have been included in our consolidated financial statements since that date. In May 2006, we sold substantially all the assets of FRL, Incorporated (“FRL”), which comprised our metal detection equipment segment. As a result of the divestiture of FRL, we are reporting FRL as a discontinued operation for all periods presented. In March, 2006, we purchased certain intellectual property, fixed assets, inventory and a customer contract of Unisys’ Unigen operation (“Unigen”). The results of Unigen’s operations have been included in our consolidated financial statements since that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Dec. 25</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w w:val="91"/>
              </w:rPr>
              <w:t>Dec. 26</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Dec. 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Dec. 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Dec. 30</w:t>
            </w:r>
          </w:p>
        </w:tc>
        <w:tc>
          <w:tcPr>
            <w:tcW w:w="0" w:type="dxa"/>
            <w:vAlign w:val="bottom"/>
          </w:tcPr>
          <w:p>
            <w:pPr>
              <w:spacing w:after="0"/>
              <w:rPr>
                <w:sz w:val="1"/>
                <w:szCs w:val="1"/>
                <w:color w:val="auto"/>
              </w:rPr>
            </w:pPr>
          </w:p>
        </w:tc>
      </w:tr>
      <w:tr>
        <w:trPr>
          <w:trHeight w:val="174"/>
        </w:trPr>
        <w:tc>
          <w:tcPr>
            <w:tcW w:w="61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Statement of Operations Data:</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322,667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171,261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199,659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241,389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270,106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15"/>
                <w:szCs w:val="15"/>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(28,168)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20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24,644</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(28,168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 per common share — basic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200"/>
              <w:spacing w:after="0"/>
              <w:rPr>
                <w:sz w:val="20"/>
                <w:szCs w:val="20"/>
                <w:color w:val="auto"/>
              </w:rPr>
            </w:pPr>
            <w:r>
              <w:rPr>
                <w:rFonts w:ascii="Arial" w:cs="Arial" w:eastAsia="Arial" w:hAnsi="Arial"/>
                <w:sz w:val="18"/>
                <w:szCs w:val="18"/>
                <w:color w:val="auto"/>
              </w:rPr>
              <w:t>Income (loss) from continuing operations per common share — diluted</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per common share — basic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200"/>
              <w:spacing w:after="0"/>
              <w:rPr>
                <w:sz w:val="20"/>
                <w:szCs w:val="20"/>
                <w:color w:val="auto"/>
              </w:rPr>
            </w:pPr>
            <w:r>
              <w:rPr>
                <w:rFonts w:ascii="Arial" w:cs="Arial" w:eastAsia="Arial" w:hAnsi="Arial"/>
                <w:sz w:val="18"/>
                <w:szCs w:val="18"/>
                <w:color w:val="auto"/>
              </w:rPr>
              <w:t>Net income (loss) per common share — diluted</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paid quarterly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Consolidated Balance Sheet Data:</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consolidated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366,043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330,118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344,169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340,379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326,339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168,683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139,597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155,589</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234,345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225,520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6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year ended December 26, 2009 includes a charge of $19.6 million for an increase in the valuation allowance against our deferred tax assets. The year ended December 27, 2008 includes a charge for excess inventory of $5.5 million at Delta and a charge of $2.6 million for acquired in-process research and development from the acquisition of Rasco.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Cohu operates in three business segments. Our primary business is the development, manufacture, sale and servicing of test handling and burn-in related equipment, and thermal sub-systems for the global semiconductor industry through our wholly-owned subsidiaries, Delta Design, Inc. and Rasco GmbH. This business is significantly dependent on capital expenditures by semiconductor manufacturers and test subcontractors, which in turn is dependent on the current and anticipated market demand for semiconductors that is subject to cyclical trends. We expect that the semiconductor equipment industry will continue to be cyclical and volatile in part because consumer electronics, the principal end market for integrated circuits, is a highly dynamic industry and demand is difficult to accurately predict. Our other businesses produce mobile microwave communications equipment (Broadcast Microwave Services, Inc.) and video cameras and accessories (Cohu Electronics Division).</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Orders for semiconductor test and assembly equipment as reported by Semiconductor Equipment and Materials International (SEMI) declined in August, following seventeen months of sequential increases and continued to decline through November until increasing again in December. Despite the industry-wide slowdown in orders, industry analysts Gartner and VLSI believe that 2010 was the strongest growth year ever for the semiconductor equipment industry, following the biggest decline ever in 2009. Strong demand for our products driven by high rates of equipment utilization in customers’ test facilities resulted in record orders and sales levels in 2010. Our orders increased sequentially since the first quarter of fiscal 2009 and were at their highest level ever in the second quarter of fiscal 2010. After this period of rapid growth, we began to see indications of reduced near term demand from some customers and, as a result, orders for our semiconductor equipment decreased during the second half of fiscal 2010.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Inventory exposure is common in the semiconductor equipment industry due to the narrow customer base, the custom nature of the products we provide, and the shortened product life cycles that are caused by rapid changes in semiconductor manufacturing technology. Our operating results in the last three years have been impacted by charges to cost of sales related to excess, obsolete and lower of cost or market inventory issues. These charges totaled approximately $12.3 million during the three-year period ended December 25, 2010 and were primarily the result of decreases or frequent changes in customer forecasts and, to a lesser extent, changes in our sales product mix.</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non-semiconductor equipment businesses comprised approximately 21% of our consolidated revenues during the last three years (15% for the year ended December 25, 2010). Our microwave communications business develops, manufactures and sells mobile microwave communications equipment, antenna systems and associated equipment. These products are used in the transmission of video, audio, and telemetry. Applications for these microwave data-links include unmanned aerial vehicles (“UAVs”), public safety, security, surveillance, and electronic news gathering. Customers for these products are government agencies, public safety organizations, UAV program contractors, television broadcasters, and other commercial entities. Operating results for our microwave communications segment were strong again in 2010, and opportunities and prospects for this business continue to grow, especially in the law enforcement, government surveillance and combat tactical UAV markets.</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video camera segment develops, manufactures and sells a wide selection of video cameras and related products, specializing in video solutions for security, surveillance and traffic monitoring. Customers for these products are distributed among security, surveillance, traffic control/management, scientific imaging and machine vision. This business was profitable again in 2010 and we expect the future operating results of this segment to improve as we introduce our new High Definition, Internet Protocol (“IP”) cameras for the traffic and high end security and surveillance markets.</w:t>
      </w:r>
    </w:p>
    <w:p>
      <w:pPr>
        <w:spacing w:after="0" w:line="6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management team uses several performance metrics to manage our businesses. These metrics mainly focus on near-term forecasts due to the short-term nature of our backlog and include (i) orders and backlog for the most recently completed quarter and the forecast for the next quarter; (ii) inventory levels and related excess exposures typically based on the forecast for the next twelve months; (iii) gross margin and other operating expense trends; (iv) cash flow; (v) industry data and trends noted in various publicly available sources; and (vi) competitive factors and information. Due to the short-term nature of our order backlog that historically has represented about three months of business and the inherent volatility of the semiconductor equipment business, our past performance is frequently not indicative of future near term operating results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most critical accounting estimates that we believe are the most important to an investor’s understanding of our financial results and condition and require complex management judgment include:</w:t>
      </w:r>
    </w:p>
    <w:p>
      <w:pPr>
        <w:spacing w:after="0" w:line="74"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130"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75"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6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38"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We maintain an allowance for bad debts for estimated losses resulting from the inability of our customers to make required payments.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the financial condition of our customers deteriorates, resulting in an impairment of their ability to make payments, additional allowances may be required.</w:t>
      </w:r>
    </w:p>
    <w:p>
      <w:pPr>
        <w:spacing w:after="0" w:line="12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p>
    <w:p>
      <w:pPr>
        <w:spacing w:after="0" w:line="46" w:lineRule="exact"/>
        <w:rPr>
          <w:sz w:val="20"/>
          <w:szCs w:val="20"/>
          <w:color w:val="auto"/>
        </w:rPr>
      </w:pPr>
    </w:p>
    <w:p>
      <w:pPr>
        <w:ind w:right="20" w:firstLine="8"/>
        <w:spacing w:after="0" w:line="268" w:lineRule="auto"/>
        <w:tabs>
          <w:tab w:leader="none" w:pos="2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25, 2010 was approximately $29.1 million, with a valuation allowance of approximately $23.3 million. Our deferred tax assets consist primarily of reserves and accruals that are not yet deductible for tax and tax credit and net operating loss carryforwards.</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Goodwill, Purchased Intangible Assets and Other Long-lived Assets: </w:t>
      </w:r>
      <w:r>
        <w:rPr>
          <w:rFonts w:ascii="Arial" w:cs="Arial" w:eastAsia="Arial" w:hAnsi="Arial"/>
          <w:sz w:val="18"/>
          <w:szCs w:val="18"/>
          <w:color w:val="auto"/>
        </w:rPr>
        <w:t>We evaluate goodwill for impairment annually and when an event occurs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 We conduct our annual impairment test as of October 1 of each year, and have determined there to be no impairment. There were no events or circumstances from the date of our assessment through December 25, 2010 that would impact this conclusion. In a future period, should an event occur that leads us to determine that an interim goodwill impairment review is required, the facts and estimates utilized at that time may differ resulting in an impairment charge which could have a significant negative impact on our operating results.</w:t>
      </w:r>
    </w:p>
    <w:p>
      <w:pPr>
        <w:spacing w:after="0" w:line="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which require us to assess the likelihood that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stock options is recorded based on the fair value of the award on its grant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a description of accounting changes and recent accounting pronouncements, including the expected dates of adoption and estimated effects, if any, on our consolidated financial statements, see Note 1, “Recent Accounting Pronouncements” in Part IV, Item 15(a)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from continuing operations as a percentage of net sales in each of the last three years.</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2010</w:t>
            </w:r>
          </w:p>
        </w:tc>
        <w:tc>
          <w:tcPr>
            <w:tcW w:w="320" w:type="dxa"/>
            <w:vAlign w:val="bottom"/>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2009</w:t>
            </w:r>
          </w:p>
        </w:tc>
        <w:tc>
          <w:tcPr>
            <w:tcW w:w="40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(65.9)</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(69.4)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(18.7)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December 2008, we purchased Rasco. The results of Rasco’s operations have been included in our consolidated financial statements since that date. The portion of the purchase price allocated to in-process research and development (“IPR&amp;D”) was expensed immediately upon the closing of the acquisition and therefore, $2.6 million related to IPR&amp;D was included as an operating expense in our results of operations for the year ended December 27, 2008.</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Compared to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2010, our consolidated net sales were approximately $322.7 million, an increase of 88.4% from the prior year. Sales of semiconductor equipment increased 128.0% to $273.6 million and accounted for 84.8% of consolidated net sales in 2010 versus 70.1% in 2009. During fiscal 2010 the sales of our semiconductor equipment business improved significantly as a result of high rates of equipment utilization on customer test floors that required investment in additional capacity, market share gains, capacity additions on new test floors and the sales synergies of our broad product line.</w:t>
      </w:r>
    </w:p>
    <w:p>
      <w:pPr>
        <w:spacing w:after="0" w:line="6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Sales of microwave communications equipment accounted for approximately $31.7 million or 9.8% of consolidated net sales in 2010, a decrease of 7.0% when compared to 2009. The decrease during 2010 was primarily a result of lower sales to customers in the government surveillance market. Additionally, 2009 sales included approximately $4.6 million of revenue previously deferred compared to approximately $3.1 million of revenue deferred from 2010 to a future year, in accordance with our revenue recognition policy.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Sales of video cameras accounted for 5.4% of consolidated net sales in 2010 and increased $0.2 million or 1.3% when compared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increased to 34.1% in 2010 from 30.6% in 2009. While higher than 2009, due to the leverage generated by increased business volume and lower charges for excess and obsolete inventory, our gross margin in 2010 was impacted by higher costs due to the unforecasted production of our new test handlers in our Poway plant, rather than at lower cost subcontractors, to meet customer delivery requirements and other new product start-up costs.</w:t>
      </w:r>
    </w:p>
    <w:p>
      <w:pPr>
        <w:spacing w:after="0" w:line="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gross margin has been impacted by charges to cost of sales related to excess, obsolete and lower of cost or market inventory issues. We compute the majority of our excess and obsolete inventory reserve requirements using a one-year inventory usage forecast. During 2010 and 2009, we recorded net charges to cost of sales of approximately $1.7 million and $4.4 million, respectively, for excess and obsolete inventory. While we believe our reserves for excess and obsolete inventory and lower of cost or market concerns are adequate to cover known exposures at December 25, 2010, reductions in customer forecasts or continued modifications to products, as a result of our failure to meet specifications or other customer requirements, may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R&amp;D expense consists primarily of salaries and related costs of employees engaged in ongoing research, product design and development activities, costs of engineering materials and supplies, and professional consulting expenses. During 2010 R&amp;D expense as a percentage of net sales was 11.2% compared to 18.7% in 2009, increasing in absolute dollars from $32.0 million in 2009 to $36.2 million in 2010. During 2010, R&amp;D spending increased, primarily within our semiconductor equipment business, as a result of reinstating employee pay cuts that were in effect during 2009 and increased material costs related to product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expense consists primarily of salaries and benefit costs of employees, commission expense for independent sales representatives, product promotion and costs of professional services. SG&amp;A expense as a percentage of net sales decreased to 13.7% in 2010, from 20.7% in 2009, increasing in absolute dollars to $44.1 million in 2010 from $35.5 million in 2009 due primarily to higher variable selling expenses as a result of increased sales within our semiconductor equipment segment and reinstating employee pay cuts that were in effect through 2009. During 2009 SG&amp;A spending across all our segments was reduced as a result of lower business volume and through cost control measures implemented in response to the global economic crisis which included head count and pay reductions.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and other, net was approximately $0.6 million and $1.3 million in 2010 and 2009, respectively. Our interest income was lower in 2010 due to lower short-term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provision for income taxes expressed as a percentage of pre-tax income or loss was 18.5% in 2010 and 104.2% in 2009. The provision for income taxes for the year ended December 25, 2010 differs from the U.S. federal statutory rate primarily due to a decrease in the valuation allowance on our deferred tax assets, foreign income taxed at different rates and other factors. The provision for income taxes for the year ended December 26, 2009 differs from the U.S. federal statutory rate primarily due to an increase in the valuation allowance on our deferred tax assets.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8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the 2009 and 2010 fiscal year periods.</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After a review of the four sources of taxable income described above and in view of our three-year cumulative U.S. loss, we recorded an increase in our valuation allowance on U.S. DTAs, with a corresponding charge to our income tax provision, of approximately $19.6 million in the second quarter of fiscal 2009. Our valuation allowance on DTAs at December 25, 2010 and December 26, 2009 was approximately $23.3 million and $24.9 million, respectively. The remaining gross DTAs for which a valuation allowance was not recorded are realizable through future reversals of existing taxable temporary differences or loss carryback. As the realization of DTAs is determined by tax jurisdiction, the significant deferred tax liability recorded as part of the 2008 acquisition of Rasco, a German corporation, was not a source of taxable income in assessing the realization of our DTAs in the U.S.</w:t>
      </w:r>
    </w:p>
    <w:p>
      <w:pPr>
        <w:spacing w:after="0" w:line="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6, “Income Taxes”, included in Part IV, Item 15(a) of this Form 10-K, which is incorporated herein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$24.6 million in 2010, compared to a net loss of $28.2 million in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Compared to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2009, our consolidated net sales were approximately $171.3 million, a decrease of 14.2% from the prior year. Sales of semiconductor equipment decreased 21.1% to $120.0 million and accounted for 70.1% of consolidated net sales in 2009 versus 76.2% in 2008. Sales recorded by our semiconductor equipment segment during 2009 include twelve months of sales activity for Rasco. Total semiconductor equipment sales generated by Rasco, during 2009, were approximately $18.5 million. The 2009 worldwide demand for semiconductors was dramatically reduced due to the global recession resulting in significant idle capacity for semiconductor manufacturers and lower demand for semiconductor equipment which impacted our sales. During the second half of 2009 demand increased for semiconductor test handlers, device kits, spares, equipment upgrades and repairs, as our customers adjusted their production to respond to increased demand from their customers.</w:t>
      </w:r>
    </w:p>
    <w:p>
      <w:pPr>
        <w:spacing w:after="0" w:line="7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Sales of microwave communications equipment accounted for approximately $34.1 million or 19.9% of consolidated net sales in 2009, an increase of 16.7% when compared to 2008. The increase during 2009 was primarily a result of increased sales to unmanned air vehicle program contractors. Additionally, 2009 sales included the recognition of approximately $4.6 million of revenue previously deferred in accordance with our revenue recognition policy.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of video cameras accounted for 10.0% of consolidated net sales in 2009 and decreased $1.1 million or 6.2% when compared 2008. The decreased sales in 2009 were a result of delayed funding for certain state and local government projects as a result of the economic recession. Additionally, video camera sales in 2008 benefitted from the recognition of $0.5 million in deferred revenue upon the receipt of customer acceptance on a contract with a government subcontractor.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gross margin, as a percentage of net sales, decreased to 30.6% in 2009 from 32.5% in 2008 as a result of lower sales volume in our semiconductor equipment segment and increased costs from the initial production of next generation handler products in our California plant. During 2008 our gross margin was favorably impacted by approximately $4.5 million when we sold certain inventory for a semiconductor burn-in system that had been previously reserved due to a decline in customer forecasts.</w:t>
      </w:r>
    </w:p>
    <w:p>
      <w:pPr>
        <w:spacing w:after="0" w:line="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2009 and 2008, we recorded net charges to cost of sales of approximately $4.4 million and $6.2 million, respectively, for excess and obsolete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R&amp;D expense in 2009 includes twelve months of costs for Rasco. During 2009 R&amp;D expense as a percentage of net sales was 18.7% compared to 19.1% in 2008, decreasing from $38.1 million in 2008 to $32.0 million in 2009. During 2009, R&amp;D spending was reduced by approximately $10.1 million primarily within our semiconductor equipment business through cost control measures. Additionally, as our new pick-in-place test handler systems began to make the transition into production we incurred lower labor and material costs associated with product development. These reductions were partially offset by $4.0 million in incremental R&amp;D expense that resulted from the acquisition of Rasco.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SG&amp;A expense in 2009 includes twelve months of costs for Rasco. SG&amp;A expense as a percentage of net sales increased to 20.7% in 2009, from 18.3% in 2008 yet decreased, in absolute dollars, to $35.5 million in 2009 from $36.6 million in 2008. During 2009 SG&amp;A spending, across all our segments was reduced by approximately $6.6 million primarily as a result of lower business volume and through cost control measures implemented in response to the global economic crisis which included head count and pay reductions and suspension of the matching contribution to our 401(k) plan. These reductions were partially offset by $5.5 million in incremental SG&amp;A expense resulting from the acquisition of Rasco.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17"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Interest and other, net was approximately $1.3 million and $5.5 million in 2009 and 2008, respectively. Our interest income was lower in 2009 due to a decrease in our cash and investment balances as a result of the Rasco acquisition which occurred in December, 2008 and lower short-term interest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provision (benefit) for income taxes expressed as a percentage of pre-tax income was 104.2% in 2009 and (20.2)% in 2008. The provision for income taxes for the year ended December 26, 2009 differs from the U.S. federal statutory rate primarily due to an increase in the valuation allowance on our DTAs of approximately $19.6 million recorded in the second fiscal quarter. The benefit for income taxes for the year ended December 27, 2008 differs from the U.S. federal statutory rate primarily due to state taxes, research and development tax credits, settlement of prior year tax returns, IPR&amp;D with no tax benefit and changes in the valuation allowance on deferred tax assets and the liability for unrecognized tax benefits, by the effects of accounting guidance that does not allow deferred tax benefits to be initially recognized on compensation expense related to incentive stock options and employee stock purchase plans and interest expense recorded on unrecognized tax benefits.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$28.2 million in 2009, compared to a net loss of $5.4 million in 2008.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cyclical and volatile nature of demand for semiconductor equipment, our primary industry, makes estimates of future revenues, results of operations and net cash flows difficult.</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and to fund new products and product enhancements primarily through research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25, 2010 and December 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color w:val="auto"/>
                <w:w w:val="92"/>
              </w:rPr>
              <w:t>Percentage</w:t>
            </w:r>
          </w:p>
        </w:tc>
      </w:tr>
      <w:tr>
        <w:trPr>
          <w:trHeight w:val="174"/>
        </w:trPr>
        <w:tc>
          <w:tcPr>
            <w:tcW w:w="5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Pr>
          <w:p>
            <w:pPr>
              <w:spacing w:after="0"/>
              <w:rPr>
                <w:sz w:val="15"/>
                <w:szCs w:val="15"/>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5"/>
                <w:szCs w:val="15"/>
                <w:color w:val="auto"/>
              </w:rPr>
            </w:pPr>
          </w:p>
        </w:tc>
        <w:tc>
          <w:tcPr>
            <w:tcW w:w="920" w:type="dxa"/>
            <w:vAlign w:val="bottom"/>
          </w:tcPr>
          <w:p>
            <w:pPr>
              <w:jc w:val="right"/>
              <w:ind w:right="396"/>
              <w:spacing w:after="0"/>
              <w:rPr>
                <w:sz w:val="20"/>
                <w:szCs w:val="20"/>
                <w:color w:val="auto"/>
              </w:rPr>
            </w:pPr>
            <w:r>
              <w:rPr>
                <w:rFonts w:ascii="Arial" w:cs="Arial" w:eastAsia="Arial" w:hAnsi="Arial"/>
                <w:sz w:val="14"/>
                <w:szCs w:val="14"/>
                <w:color w:val="auto"/>
              </w:rPr>
              <w:t>2009</w:t>
            </w:r>
          </w:p>
        </w:tc>
        <w:tc>
          <w:tcPr>
            <w:tcW w:w="300" w:type="dxa"/>
            <w:vAlign w:val="bottom"/>
          </w:tcPr>
          <w:p>
            <w:pPr>
              <w:spacing w:after="0"/>
              <w:rPr>
                <w:sz w:val="15"/>
                <w:szCs w:val="15"/>
                <w:color w:val="auto"/>
              </w:rPr>
            </w:pPr>
          </w:p>
        </w:tc>
        <w:tc>
          <w:tcPr>
            <w:tcW w:w="900" w:type="dxa"/>
            <w:vAlign w:val="bottom"/>
          </w:tcPr>
          <w:p>
            <w:pPr>
              <w:jc w:val="right"/>
              <w:ind w:right="256"/>
              <w:spacing w:after="0"/>
              <w:rPr>
                <w:sz w:val="20"/>
                <w:szCs w:val="20"/>
                <w:color w:val="auto"/>
              </w:rPr>
            </w:pPr>
            <w:r>
              <w:rPr>
                <w:rFonts w:ascii="Arial" w:cs="Arial" w:eastAsia="Arial" w:hAnsi="Arial"/>
                <w:sz w:val="14"/>
                <w:szCs w:val="14"/>
                <w:color w:val="auto"/>
              </w:rPr>
              <w:t>Increase</w:t>
            </w:r>
          </w:p>
        </w:tc>
        <w:tc>
          <w:tcPr>
            <w:tcW w:w="840" w:type="dxa"/>
            <w:vAlign w:val="bottom"/>
          </w:tcPr>
          <w:p>
            <w:pPr>
              <w:jc w:val="right"/>
              <w:ind w:right="179"/>
              <w:spacing w:after="0"/>
              <w:rPr>
                <w:sz w:val="20"/>
                <w:szCs w:val="20"/>
                <w:color w:val="auto"/>
              </w:rPr>
            </w:pPr>
            <w:r>
              <w:rPr>
                <w:rFonts w:ascii="Arial" w:cs="Arial" w:eastAsia="Arial" w:hAnsi="Arial"/>
                <w:sz w:val="14"/>
                <w:szCs w:val="14"/>
                <w:color w:val="auto"/>
              </w:rPr>
              <w:t>Change</w:t>
            </w:r>
          </w:p>
        </w:tc>
      </w:tr>
      <w:tr>
        <w:trPr>
          <w:trHeight w:val="216"/>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6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98,175</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84,906</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Working capital</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168,683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139,597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29,086</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generated from operating activities consists of net income or loss, adjusted for non-cash expenses and changes in operating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Non-cash items include depreciation and amortization; share-based compensation expense; and deferred income taxes. Our net cash flows provided from operating activities in 2010 totaled $19.5 million compared to $2.8 million in 2009. The increase in cash provided by operating activities was primarily due to a significant increase in business volume and profitability, primarily within our semiconductor equipment segment, in 2010. Cash provided by operating activities was impacted by changes in current assets and liabilities and included increases in: accounts receivable of $23.4 million; inventories of $13.9 million; deferred profit of $9.5 million and income tax payable of $7.3 million. The increases in accounts receivable and inventories were driven primarily by our semiconductor equipment operations and resulted from increased business volume and inventory purchases made to support production requirements. The increase in deferred profit was primarily due to the deferral of revenue related to certain semiconductor test handlers and microwave communication equipment in accordance with our revenue recognition policy. The increase in income taxes payable is a result of increased profitability and the timing of tax payments.</w:t>
      </w:r>
    </w:p>
    <w:p>
      <w:pPr>
        <w:spacing w:after="0" w:line="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Investing cash flows consist primarily of cash used for capital expenditures in support of our businesses, proceeds from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and cash used for purchases of investments and business acquisitions. Our net cash used for investing activities in 2010 totaled $9.8 million and was primarily the result of $52.5 million in cash used for purchases of short-term investments, offset by $47.0 million in net proceeds from sales and maturities of short-term investments. We invest our excess cash, in an attempt to seek the highest available return while preserving capital, in short-term investments since excess cash is only temporarily available and may be required for a business-related purpose. Other expenditures in 2010 included purchases of property, plant and equipment of $4.6 million. The purchases of property, plant and equipment were primarily made to support activities in our semiconductor equipment and microwave communications equipment businesses and consisted primarily of equipment used in engineering, manufacturing and related functions.</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provided by financing activities consisted of net proceeds from the issuance of common stock under our equity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stock purchase plans, which totaled $3.6 million during 2010. We issue stock options and maintain an employee stock purchase plan as components of our overall employee compensation. Cash used in financing activities consisted of amounts distributed to our stockholders in the form of cash dividends. We declared and paid dividends totaling $5.7 million, or $0.24 per common share, during 2010. On January 26, 2011, we announced a cash dividend of $0.06 per share on our common stock, payable on, April 22, 2011 to stockholders of record as of March 8, 2011. We intend to continue to pay quarterly dividends subject to capital availability and periodic determinations by our Board of Directors that cash dividends are in the best interests of our stockholders.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As of December 25, 2010, we had approximately $0.7 million of standby letters of credit outstanding.</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following table summarizes our significant contractual obligations at December 25, 2010, and the effect such obligations are expected to have on our liquidity and cash flows in future periods. This table excludes amounts already recorded on our balance sheet as current liabilities at December 25, 2010. Amounts excluded include our liability for unrecognized tax benefits that totaled approximately $5.1 million at December 25, 2010. We are currently unable to provide a reasonably reliable estimate of the amount or periods cash settlement of this liability may occur.</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w w:val="96"/>
              </w:rPr>
              <w:t>2011</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2015</w:t>
            </w: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Thereafter</w:t>
            </w: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Total</w:t>
            </w: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Non-cancelable operating leases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796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427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285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175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Pr>
          <w:p>
            <w:pPr>
              <w:ind w:left="200"/>
              <w:spacing w:after="0"/>
              <w:rPr>
                <w:sz w:val="20"/>
                <w:szCs w:val="20"/>
                <w:color w:val="auto"/>
              </w:rPr>
            </w:pPr>
            <w:r>
              <w:rPr>
                <w:rFonts w:ascii="Arial" w:cs="Arial" w:eastAsia="Arial" w:hAnsi="Arial"/>
                <w:sz w:val="18"/>
                <w:szCs w:val="18"/>
                <w:color w:val="auto"/>
              </w:rPr>
              <w:t>—   $</w:t>
            </w:r>
          </w:p>
        </w:tc>
        <w:tc>
          <w:tcPr>
            <w:tcW w:w="700" w:type="dxa"/>
            <w:vAlign w:val="bottom"/>
          </w:tcPr>
          <w:p>
            <w:pPr>
              <w:jc w:val="right"/>
              <w:ind w:right="59"/>
              <w:spacing w:after="0"/>
              <w:rPr>
                <w:sz w:val="20"/>
                <w:szCs w:val="20"/>
                <w:color w:val="auto"/>
              </w:rPr>
            </w:pPr>
            <w:r>
              <w:rPr>
                <w:rFonts w:ascii="Arial" w:cs="Arial" w:eastAsia="Arial" w:hAnsi="Arial"/>
                <w:sz w:val="18"/>
                <w:szCs w:val="18"/>
                <w:color w:val="auto"/>
              </w:rPr>
              <w:t>1,683</w:t>
            </w:r>
          </w:p>
        </w:tc>
      </w:tr>
    </w:tbl>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 to time, we enter into commitments with our suppliers to purchase inventory and contract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manufacturers to provide manufacturing services for our products at fixed prices or in guaranteed quantities. During the normal course of business, we issue purchase orders with estimates of our requirements several months ahead of the delivery dates. However, our agreements with these suppliers usually allow us the option to reschedule or adjust our requirements based on our business needs. Typically purchase orders outstanding with delivery dates within 30 days are non-cancelable. We are not able to determine the aggregate amount of such purchase orders that represent contractual obligations, as purchase orders may represent authorizations to purchase rather than binding agreements. We typically do not have significant agreements for the purchase of raw materials or other goods specifying minimum quantities or set prices that exceed our expected requirements for the next six to twelve months.</w:t>
      </w:r>
    </w:p>
    <w:p>
      <w:pPr>
        <w:spacing w:after="0" w:line="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25, 2010, the maximum potential amount of future payments that we could be required to make under these standby letters of credit was approximately $0.7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At December 25, 2010, our investment portfolio included short-term, fixed-income investment securities with a fair value of approximately $52.3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25, 2010 we evaluated our investments with loss positions and determined that these losses were temporary.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conduct business on a global basis in a number of major international currencies. As such, we are exposed to adverse as well as beneficial movements in foreign currency exchange rates. The majority of our sales are denominated in U.S. dollars except for certain of our revenues that are denominated in Euros. Certain expenses incurred by our non-U.S. operations, such as employee payroll and benefits as well as some raw materials purchases and other expenses are denominated and paid in local currency.</w:t>
      </w:r>
    </w:p>
    <w:p>
      <w:pPr>
        <w:spacing w:after="0" w:line="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considered a hypothetical ten percent adverse movement in foreign exchange rates to the underlying exposures described above and believe that these hypothetical market movements would not have a material effect on our consolidated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25, 2010, the end of the period covered by this annual report.</w:t>
      </w:r>
    </w:p>
    <w:p>
      <w:pPr>
        <w:spacing w:after="0" w:line="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Management’s Annual Report on Internal Control Over Financial Reporting — </w:t>
      </w:r>
      <w:r>
        <w:rPr>
          <w:rFonts w:ascii="Arial" w:cs="Arial" w:eastAsia="Arial" w:hAnsi="Arial"/>
          <w:sz w:val="17"/>
          <w:szCs w:val="17"/>
          <w:color w:val="auto"/>
        </w:rPr>
        <w:t>Our management is responsible for establishing and maintaining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25, 2010.</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25, 2010, as stated in their report which is included herein.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Cohu, Inc.’s internal control over financial reporting as of December 25, 2010, based on criteria established in Internal Control—Integrated Framework issued by the Committee of Sponsoring Organizations of the Treadway Commission (the COSO criteria). Cohu,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80"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Cohu, Inc. maintained, in all material respects, effective internal control over financial reporting as of December 25, 2010, based on the COSO criteria.</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Cohu, Inc. as of December 25, 2010 and December 26, 2009, and the related consolidated statements of operations, stockholders’ equity, and cash flows for each of the three years in the period ended December 25, 2010 of Cohu, Inc. and our report dated February 23, 2011 expressed an unqualified opinion thereon.</w:t>
      </w:r>
    </w:p>
    <w:p>
      <w:pPr>
        <w:spacing w:after="0" w:line="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Changes in Internal Control Over Financial Reporting — </w:t>
      </w:r>
      <w:r>
        <w:rPr>
          <w:rFonts w:ascii="Arial" w:cs="Arial" w:eastAsia="Arial" w:hAnsi="Arial"/>
          <w:sz w:val="17"/>
          <w:szCs w:val="17"/>
          <w:color w:val="auto"/>
        </w:rPr>
        <w:t>There have been no changes in our internal control over financial reporting that occurred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fourth quarter of 2010 that have materially affected, or are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regarding Directors and Executive Officers of the Registrant, is hereby incorporated by reference to the Company’s definitive proxy statement, which will be filed with the Securities and Exchange Commission (“SEC”) within 120 days after the close of fiscal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regarding Certain Relationships and Related Transactions is hereby incorporated by reference to the Company’s definitive proxy statement, which will be filed with the SEC within 120 days after the close of fiscal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2010.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following Consolidated Financial Statements of Cohu, Inc., including the report thereon of Ernst &amp; Young LLP, are included in this</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Annual Report on Form 10-K beginning on page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Form 10-K</w:t>
            </w:r>
          </w:p>
        </w:tc>
      </w:tr>
      <w:tr>
        <w:trPr>
          <w:trHeight w:val="167"/>
        </w:trPr>
        <w:tc>
          <w:tcPr>
            <w:tcW w:w="1016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Description</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Page Number</w:t>
            </w:r>
          </w:p>
        </w:tc>
      </w:tr>
      <w:tr>
        <w:trPr>
          <w:trHeight w:val="169"/>
        </w:trPr>
        <w:tc>
          <w:tcPr>
            <w:tcW w:w="220" w:type="dxa"/>
            <w:vAlign w:val="bottom"/>
          </w:tcPr>
          <w:p>
            <w:pPr>
              <w:spacing w:after="0"/>
              <w:rPr>
                <w:sz w:val="14"/>
                <w:szCs w:val="14"/>
                <w:color w:val="auto"/>
              </w:rPr>
            </w:pPr>
          </w:p>
        </w:tc>
        <w:tc>
          <w:tcPr>
            <w:tcW w:w="5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Consolidated balance sheets at December 25, 2010 and December 26, 2009</w:t>
              </w:r>
            </w:hyperlink>
          </w:p>
        </w:tc>
        <w:tc>
          <w:tcPr>
            <w:tcW w:w="4520" w:type="dxa"/>
            <w:vAlign w:val="bottom"/>
            <w:gridSpan w:val="4"/>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8"/>
                <w:szCs w:val="18"/>
                <w:color w:val="auto"/>
              </w:rPr>
              <w:t>30</w:t>
            </w:r>
          </w:p>
        </w:tc>
      </w:tr>
      <w:tr>
        <w:trPr>
          <w:trHeight w:val="412"/>
        </w:trPr>
        <w:tc>
          <w:tcPr>
            <w:tcW w:w="22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statements of operations for each of the three years in the period ended December 25, 2010</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Consolidated statements of stockholders’ equity for each of the three years in the period ended December 25, 2010</w:t>
              </w:r>
            </w:hyperlink>
          </w:p>
        </w:tc>
        <w:tc>
          <w:tcPr>
            <w:tcW w:w="16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20" w:type="dxa"/>
            <w:vAlign w:val="bottom"/>
          </w:tcPr>
          <w:p>
            <w:pPr>
              <w:spacing w:after="0"/>
              <w:rPr>
                <w:sz w:val="24"/>
                <w:szCs w:val="24"/>
                <w:color w:val="auto"/>
              </w:rPr>
            </w:pPr>
          </w:p>
        </w:tc>
        <w:tc>
          <w:tcPr>
            <w:tcW w:w="75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cash flows for each of the three years in the period ended December 25, 2010</w:t>
              </w:r>
            </w:hyperlink>
          </w:p>
        </w:tc>
        <w:tc>
          <w:tcPr>
            <w:tcW w:w="2380" w:type="dxa"/>
            <w:vAlign w:val="bottom"/>
            <w:gridSpan w:val="2"/>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2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Notes to consolidated financial statements</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Public Accounting Firm</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453"/>
        </w:trPr>
        <w:tc>
          <w:tcPr>
            <w:tcW w:w="220" w:type="dxa"/>
            <w:vAlign w:val="bottom"/>
          </w:tcPr>
          <w:p>
            <w:pPr>
              <w:spacing w:after="0"/>
              <w:rPr>
                <w:sz w:val="24"/>
                <w:szCs w:val="24"/>
                <w:color w:val="auto"/>
              </w:rPr>
            </w:pPr>
          </w:p>
        </w:tc>
        <w:tc>
          <w:tcPr>
            <w:tcW w:w="4200" w:type="dxa"/>
            <w:vAlign w:val="bottom"/>
            <w:tcBorders>
              <w:top w:val="single" w:sz="8" w:color="0000EE"/>
            </w:tcBorders>
            <w:gridSpan w:val="3"/>
          </w:tcPr>
          <w:p>
            <w:pPr>
              <w:ind w:left="200"/>
              <w:spacing w:after="0"/>
              <w:rPr>
                <w:sz w:val="20"/>
                <w:szCs w:val="20"/>
                <w:color w:val="auto"/>
              </w:rPr>
            </w:pPr>
            <w:r>
              <w:rPr>
                <w:rFonts w:ascii="Arial" w:cs="Arial" w:eastAsia="Arial" w:hAnsi="Arial"/>
                <w:sz w:val="18"/>
                <w:szCs w:val="18"/>
                <w:color w:val="auto"/>
              </w:rPr>
              <w:t>(2)   Financial Statement Schedule</w:t>
            </w:r>
          </w:p>
        </w:tc>
        <w:tc>
          <w:tcPr>
            <w:tcW w:w="574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Schedule II — Valuation and Qualifying Accounts</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firstLine="215"/>
        <w:spacing w:after="0" w:line="34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25,</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45,921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52,254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66,801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Raw materials and purchased parts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34,922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17,470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63,224</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6,026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240,217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 and land improvements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31,117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41,630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84,804</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39,804</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58,498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26,523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366,043</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16,944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warranty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Customer advances</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profit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8,802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6,973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71,534</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13,853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$1 par value; 1,000 shares authorized, none issued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200"/>
              <w:spacing w:after="0" w:line="201" w:lineRule="exact"/>
              <w:rPr>
                <w:sz w:val="20"/>
                <w:szCs w:val="20"/>
                <w:color w:val="auto"/>
              </w:rPr>
            </w:pPr>
            <w:r>
              <w:rPr>
                <w:rFonts w:ascii="Arial" w:cs="Arial" w:eastAsia="Arial" w:hAnsi="Arial"/>
                <w:sz w:val="18"/>
                <w:szCs w:val="18"/>
                <w:color w:val="auto"/>
                <w:w w:val="90"/>
              </w:rPr>
              <w:t>Common stock, $1 par value; 60,000 shares authorized, 23,989 shares issued and outstanding in 2010 and 23,547 shares in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0" w:type="dxa"/>
            <w:vAlign w:val="bottom"/>
            <w:gridSpan w:val="2"/>
          </w:tcPr>
          <w:p>
            <w:pPr>
              <w:ind w:left="42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23,989</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71,799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179,134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160,193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274,725</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366,043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3"/>
              </w:rPr>
              <w:t>Years ended</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25,</w:t>
            </w: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December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322,667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171,261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Cost and expenses: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212,672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118,873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36,201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31,964</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35,519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292,990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186,356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211,964</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(15,095)</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30,238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(13,795)</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14,373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23,412</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231"/>
              <w:spacing w:after="0"/>
              <w:rPr>
                <w:sz w:val="20"/>
                <w:szCs w:val="20"/>
                <w:color w:val="auto"/>
              </w:rPr>
            </w:pPr>
            <w:r>
              <w:rPr>
                <w:rFonts w:ascii="Arial" w:cs="Arial" w:eastAsia="Arial" w:hAnsi="Arial"/>
                <w:sz w:val="14"/>
                <w:szCs w:val="14"/>
                <w:color w:val="auto"/>
                <w:w w:val="93"/>
              </w:rPr>
              <w:t>Accumulated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51"/>
              <w:spacing w:after="0" w:line="149" w:lineRule="exact"/>
              <w:rPr>
                <w:sz w:val="20"/>
                <w:szCs w:val="20"/>
                <w:color w:val="auto"/>
              </w:rPr>
            </w:pPr>
            <w:r>
              <w:rPr>
                <w:rFonts w:ascii="Arial" w:cs="Arial" w:eastAsia="Arial" w:hAnsi="Arial"/>
                <w:sz w:val="14"/>
                <w:szCs w:val="14"/>
                <w:color w:val="auto"/>
                <w:w w:val="91"/>
              </w:rPr>
              <w:t>Common</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31"/>
              <w:spacing w:after="0" w:line="149" w:lineRule="exact"/>
              <w:rPr>
                <w:sz w:val="20"/>
                <w:szCs w:val="20"/>
                <w:color w:val="auto"/>
              </w:rPr>
            </w:pPr>
            <w:r>
              <w:rPr>
                <w:rFonts w:ascii="Arial" w:cs="Arial" w:eastAsia="Arial" w:hAnsi="Arial"/>
                <w:sz w:val="14"/>
                <w:szCs w:val="14"/>
                <w:color w:val="auto"/>
                <w:w w:val="87"/>
              </w:rPr>
              <w:t>other</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71"/>
              <w:spacing w:after="0" w:line="149" w:lineRule="exact"/>
              <w:rPr>
                <w:sz w:val="20"/>
                <w:szCs w:val="20"/>
                <w:color w:val="auto"/>
              </w:rPr>
            </w:pPr>
            <w:r>
              <w:rPr>
                <w:rFonts w:ascii="Arial" w:cs="Arial" w:eastAsia="Arial" w:hAnsi="Arial"/>
                <w:sz w:val="14"/>
                <w:szCs w:val="14"/>
                <w:color w:val="auto"/>
                <w:w w:val="91"/>
              </w:rPr>
              <w:t>stock</w:t>
            </w:r>
          </w:p>
        </w:tc>
        <w:tc>
          <w:tcPr>
            <w:tcW w:w="240" w:type="dxa"/>
            <w:vAlign w:val="bottom"/>
          </w:tcPr>
          <w:p>
            <w:pPr>
              <w:spacing w:after="0"/>
              <w:rPr>
                <w:sz w:val="12"/>
                <w:szCs w:val="12"/>
                <w:color w:val="auto"/>
              </w:rPr>
            </w:pPr>
          </w:p>
        </w:tc>
        <w:tc>
          <w:tcPr>
            <w:tcW w:w="78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Paid-in</w:t>
            </w:r>
          </w:p>
        </w:tc>
        <w:tc>
          <w:tcPr>
            <w:tcW w:w="200" w:type="dxa"/>
            <w:vAlign w:val="bottom"/>
          </w:tcPr>
          <w:p>
            <w:pPr>
              <w:spacing w:after="0"/>
              <w:rPr>
                <w:sz w:val="12"/>
                <w:szCs w:val="12"/>
                <w:color w:val="auto"/>
              </w:rPr>
            </w:pPr>
          </w:p>
        </w:tc>
        <w:tc>
          <w:tcPr>
            <w:tcW w:w="840" w:type="dxa"/>
            <w:vAlign w:val="bottom"/>
          </w:tcPr>
          <w:p>
            <w:pPr>
              <w:jc w:val="right"/>
              <w:ind w:right="211"/>
              <w:spacing w:after="0" w:line="149" w:lineRule="exact"/>
              <w:rPr>
                <w:sz w:val="20"/>
                <w:szCs w:val="20"/>
                <w:color w:val="auto"/>
              </w:rPr>
            </w:pPr>
            <w:r>
              <w:rPr>
                <w:rFonts w:ascii="Arial" w:cs="Arial" w:eastAsia="Arial" w:hAnsi="Arial"/>
                <w:sz w:val="14"/>
                <w:szCs w:val="14"/>
                <w:color w:val="auto"/>
                <w:w w:val="92"/>
              </w:rPr>
              <w:t>Retained</w:t>
            </w:r>
          </w:p>
        </w:tc>
        <w:tc>
          <w:tcPr>
            <w:tcW w:w="1300" w:type="dxa"/>
            <w:vAlign w:val="bottom"/>
            <w:gridSpan w:val="2"/>
          </w:tcPr>
          <w:p>
            <w:pPr>
              <w:jc w:val="center"/>
              <w:ind w:right="51"/>
              <w:spacing w:after="0" w:line="149" w:lineRule="exact"/>
              <w:rPr>
                <w:sz w:val="20"/>
                <w:szCs w:val="20"/>
                <w:color w:val="auto"/>
              </w:rPr>
            </w:pPr>
            <w:r>
              <w:rPr>
                <w:rFonts w:ascii="Arial" w:cs="Arial" w:eastAsia="Arial" w:hAnsi="Arial"/>
                <w:sz w:val="14"/>
                <w:szCs w:val="14"/>
                <w:color w:val="auto"/>
                <w:w w:val="92"/>
              </w:rPr>
              <w:t>comprehensive</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right="71"/>
              <w:spacing w:after="0"/>
              <w:rPr>
                <w:sz w:val="20"/>
                <w:szCs w:val="20"/>
                <w:color w:val="auto"/>
              </w:rPr>
            </w:pPr>
            <w:r>
              <w:rPr>
                <w:rFonts w:ascii="Arial" w:cs="Arial" w:eastAsia="Arial" w:hAnsi="Arial"/>
                <w:sz w:val="14"/>
                <w:szCs w:val="14"/>
                <w:color w:val="auto"/>
                <w:w w:val="93"/>
              </w:rPr>
              <w:t>$1 par value</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capital</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96"/>
              </w:rPr>
              <w:t>earnings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color w:val="auto"/>
                <w:w w:val="93"/>
              </w:rPr>
              <w:t>income (loss)</w:t>
            </w: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2007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23,045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54,940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204,997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  283,468</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(5,443)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(5,443)</w:t>
            </w: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Changes in cumulative translation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6,929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6,929</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w w:val="93"/>
              </w:rPr>
              <w:t>Changes in unrealized gains and losses on investments, net of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(383)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(383)</w:t>
            </w: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Cash dividends — $0.24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(5,569)</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(5,569)</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1,566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1,699</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1,196</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Repurchase and retirement of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(496)</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3,949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3,949</w:t>
            </w:r>
          </w:p>
        </w:tc>
      </w:tr>
      <w:tr>
        <w:trPr>
          <w:trHeight w:val="223"/>
        </w:trPr>
        <w:tc>
          <w:tcPr>
            <w:tcW w:w="20" w:type="dxa"/>
            <w:vAlign w:val="bottom"/>
          </w:tcPr>
          <w:p>
            <w:pPr>
              <w:spacing w:after="0"/>
              <w:rPr>
                <w:sz w:val="19"/>
                <w:szCs w:val="19"/>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Tax benefit from equity awards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27, 2008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23,344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61,076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193,985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7,134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285,539</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(28,168)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(28,168)</w:t>
            </w: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Changes in cumulative translation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1,538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1,538</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(444)</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w w:val="93"/>
              </w:rPr>
              <w:t>Changes in unrealized gains and losses on investments, net of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434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(26,640)</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Cash dividends — $0.24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(5,624)</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(5,624)</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1,128</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3,378</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3,378</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deficiency from equity awards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Balance at December 26, 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23,547</w:t>
            </w:r>
          </w:p>
        </w:tc>
        <w:tc>
          <w:tcPr>
            <w:tcW w:w="24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64,847</w:t>
            </w:r>
          </w:p>
        </w:tc>
        <w:tc>
          <w:tcPr>
            <w:tcW w:w="20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160,193</w:t>
            </w:r>
          </w:p>
        </w:tc>
        <w:tc>
          <w:tcPr>
            <w:tcW w:w="18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8,662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257,249</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24,644</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24,644</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cumulative 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(7,270)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(7,270)</w:t>
            </w: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(1,506)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(1,506)</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Changes in unrealized gains and losses on investments,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r>
      <w:tr>
        <w:trPr>
          <w:trHeight w:val="223"/>
        </w:trPr>
        <w:tc>
          <w:tcPr>
            <w:tcW w:w="20" w:type="dxa"/>
            <w:vAlign w:val="bottom"/>
          </w:tcPr>
          <w:p>
            <w:pPr>
              <w:spacing w:after="0"/>
              <w:rPr>
                <w:sz w:val="19"/>
                <w:szCs w:val="19"/>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15,785</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$0.24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(5,703)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(5,703)</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2,606</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2,869</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1,101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1,213</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3,543</w:t>
            </w:r>
          </w:p>
        </w:tc>
        <w:tc>
          <w:tcPr>
            <w:tcW w:w="20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3,543</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equity awards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234</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Balance at December 25, 2010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23,989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71,799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179,134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(197) $</w:t>
            </w: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274,725</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6"/>
              </w:rPr>
              <w:t>Years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25,</w:t>
            </w:r>
          </w:p>
        </w:tc>
        <w:tc>
          <w:tcPr>
            <w:tcW w:w="104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9"/>
              </w:rPr>
              <w:t>December 26,</w:t>
            </w:r>
          </w:p>
        </w:tc>
        <w:tc>
          <w:tcPr>
            <w:tcW w:w="8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24,644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(28,168)</w:t>
            </w:r>
          </w:p>
        </w:tc>
        <w:tc>
          <w:tcPr>
            <w:tcW w:w="2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provided from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10,988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17,360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retiree benefits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Excess tax benefit from stock options exercised</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investment write-down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Acquired in-process research and development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current assets and liabilities, excluding effects from acquisitions and divestitures: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(23,434)</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(11,226)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10,757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Income taxes payable, including excess stock option exercise benefits</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Customer advances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Deferred profit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9,512</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compensation, warranty and other liabilities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Net cash provided from operating activities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 excluding effects from acquisitions and divestitures: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(52,491)</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(44,562)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for purchase of Rasco, net of cash received</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for) provided from investing activities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stock, net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Excess tax benefit from stock options exercised</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600"/>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77,281</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45,921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Cash refunded during the year for:</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4,201</w:t>
            </w:r>
          </w:p>
        </w:tc>
        <w:tc>
          <w:tcPr>
            <w:tcW w:w="2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2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declared but not yet paid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w:t>
            </w:r>
          </w:p>
        </w:tc>
        <w:tc>
          <w:tcPr>
            <w:tcW w:w="2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460" w:right="7560" w:hanging="452"/>
        <w:spacing w:after="0" w:line="385"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Cohu, Inc. (“Cohu”, “we”, “our” and “us”), through our wholly owned subsidiaries, is a provider of semiconductor test equipment, microwave communication systems and video cameras. Our Consolidated Financial Statements include the accounts of Cohu and our wholly owned subsidiaries. All significant intercompany balances and transactions have been eliminated in consolidation.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50" w:lineRule="exact"/>
        <w:rPr>
          <w:rFonts w:ascii="Arial" w:cs="Arial" w:eastAsia="Arial" w:hAnsi="Arial"/>
          <w:sz w:val="18"/>
          <w:szCs w:val="18"/>
          <w:b w:val="1"/>
          <w:bCs w:val="1"/>
          <w:color w:val="auto"/>
        </w:rPr>
      </w:pPr>
    </w:p>
    <w:p>
      <w:pPr>
        <w:ind w:left="460" w:right="2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fiscal years are based on a 52- or 53-week period ending on the last Saturday in December. Our current fiscal year ended on December 25, 2010 and consisted of 52 weeks. Our fiscal years ended December 26, 2009 and December 27, 2008 also consisted of 52 weeks.</w:t>
      </w:r>
    </w:p>
    <w:p>
      <w:pPr>
        <w:spacing w:after="0" w:line="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are subject to a number of risks and uncertainties that may significantly impact our future operating results. These risks and uncertainties are discussed under Part I, Item 1A. “Risk Factors” included in this Annual Report on Form 10-K. Understanding these risks and uncertainties is integral to the review of our consolidated financial statements.</w:t>
      </w:r>
    </w:p>
    <w:p>
      <w:pPr>
        <w:spacing w:after="0" w:line="6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Income (Loss) Per Share</w:t>
      </w:r>
    </w:p>
    <w:p>
      <w:pPr>
        <w:spacing w:after="0" w:line="134" w:lineRule="exact"/>
        <w:rPr>
          <w:rFonts w:ascii="Arial" w:cs="Arial" w:eastAsia="Arial" w:hAnsi="Arial"/>
          <w:sz w:val="18"/>
          <w:szCs w:val="18"/>
          <w:b w:val="1"/>
          <w:bCs w:val="1"/>
          <w:color w:val="auto"/>
        </w:rPr>
      </w:pPr>
    </w:p>
    <w:p>
      <w:pPr>
        <w:ind w:left="460" w:right="220"/>
        <w:spacing w:after="0" w:line="315" w:lineRule="auto"/>
        <w:rPr>
          <w:rFonts w:ascii="Arial" w:cs="Arial" w:eastAsia="Arial" w:hAnsi="Arial"/>
          <w:sz w:val="18"/>
          <w:szCs w:val="18"/>
          <w:b w:val="1"/>
          <w:bCs w:val="1"/>
          <w:color w:val="auto"/>
        </w:rPr>
      </w:pPr>
      <w:r>
        <w:rPr>
          <w:rFonts w:ascii="Arial" w:cs="Arial" w:eastAsia="Arial" w:hAnsi="Arial"/>
          <w:sz w:val="16"/>
          <w:szCs w:val="16"/>
          <w:color w:val="auto"/>
        </w:rPr>
        <w:t>Basic income (loss) per common share is computed by dividing net income (loss) by the weighted-average number of common shares outstanding during the reporting period. Diluted income (loss)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For the year ended December 25, 2010 approximately 1,724,000 shares of our common stock were excluded from the computation. The following table reconciles the denominators used in computing basic and diluted income (loss) per share:</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7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jc w:val="right"/>
              <w:ind w:right="94"/>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23,732</w:t>
            </w:r>
          </w:p>
        </w:tc>
        <w:tc>
          <w:tcPr>
            <w:tcW w:w="8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23,412</w:t>
            </w:r>
          </w:p>
        </w:tc>
        <w:tc>
          <w:tcPr>
            <w:tcW w:w="8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23,179</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24,097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23,179</w:t>
            </w: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135"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Highly liquid investments with insignificant interest rate risk and original maturities of three 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as a separate component of accumulated other comprehensive income in stockholders’ equity.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25, 2010 have been classified as current assets in the accompanying consolidated balance sheets.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35"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carrying amounts of our financial instruments, including cash and cash equivalents, short-term investments, accounts receivable, accounts payable and accrued expenses, approximate fair value due to the short maturities of these financial instruments.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35" w:lineRule="exact"/>
        <w:rPr>
          <w:sz w:val="20"/>
          <w:szCs w:val="20"/>
          <w:color w:val="auto"/>
        </w:rPr>
      </w:pPr>
    </w:p>
    <w:p>
      <w:pPr>
        <w:ind w:left="460" w:right="500"/>
        <w:spacing w:after="0" w:line="342" w:lineRule="auto"/>
        <w:rPr>
          <w:sz w:val="20"/>
          <w:szCs w:val="20"/>
          <w:color w:val="auto"/>
        </w:rPr>
      </w:pPr>
      <w:r>
        <w:rPr>
          <w:rFonts w:ascii="Arial" w:cs="Arial" w:eastAsia="Arial" w:hAnsi="Arial"/>
          <w:sz w:val="16"/>
          <w:szCs w:val="16"/>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Trade accounts receivable are presented net of allowance for doubtful accounts of $0.6 million at December 25, 2010 and $1.0 million at December 26, 2009. Our customers include semiconductor manufacturers and semiconductor test subcontractors and other customers located throughout many areas of the world. While we believe that our allowance for doubtful accounts is adequate and represents our best estimate at December 25, 2010, we will continue to monitor customer liquidity and other economic conditions, which may result in changes to our estimates regarding collectability.</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Inventories</w:t>
      </w:r>
    </w:p>
    <w:p>
      <w:pPr>
        <w:spacing w:after="0" w:line="135" w:lineRule="exact"/>
        <w:rPr>
          <w:sz w:val="20"/>
          <w:szCs w:val="20"/>
          <w:color w:val="auto"/>
        </w:rPr>
      </w:pPr>
    </w:p>
    <w:p>
      <w:pPr>
        <w:ind w:left="460" w:right="120"/>
        <w:spacing w:after="0" w:line="273" w:lineRule="auto"/>
        <w:rPr>
          <w:sz w:val="20"/>
          <w:szCs w:val="20"/>
          <w:color w:val="auto"/>
        </w:rPr>
      </w:pPr>
      <w:r>
        <w:rPr>
          <w:rFonts w:ascii="Arial" w:cs="Arial" w:eastAsia="Arial" w:hAnsi="Arial"/>
          <w:sz w:val="17"/>
          <w:szCs w:val="17"/>
          <w:color w:val="auto"/>
        </w:rPr>
        <w:t>Inventories are stated at the lower of cost, determined on a current average or first-in, first-out basis, or market. Cost includes labor, material 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Charges to cost of sales for excess and obsolete inventories aggregated $1.7 million, $4.4 million, and $6.2 million in 2010, 2009 and 2008, respectively. During 2008 we sold certain inventory that was reserved in 2006 and our gross margin was favorably impacted by approximately $4.5 million.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Plant and Equipment</w:t>
      </w:r>
    </w:p>
    <w:p>
      <w:pPr>
        <w:spacing w:after="0" w:line="135"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Depreciation and amortization of property, plant and equipment is calculated principally on the straight-line method based on estimated useful lives of thirty to forty years for buildings, five to fifteen years for building improvements and three to ten years for machinery, equipment and software.</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 Purchased Intangible Assets and Other Long-lived Assets</w:t>
      </w:r>
    </w:p>
    <w:p>
      <w:pPr>
        <w:spacing w:after="0" w:line="135"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 our annual impairment test as of October 1 of each year, and have determined there to be no impairment for any of the periods presented.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events or circumstances from the date of our assessment through December 25, 2010 that would impact this conclusion.</w:t>
      </w:r>
    </w:p>
    <w:p>
      <w:pPr>
        <w:spacing w:after="0" w:line="103" w:lineRule="exact"/>
        <w:rPr>
          <w:sz w:val="20"/>
          <w:szCs w:val="20"/>
          <w:color w:val="auto"/>
        </w:rPr>
      </w:pPr>
    </w:p>
    <w:p>
      <w:pPr>
        <w:ind w:left="460" w:right="40"/>
        <w:spacing w:after="0" w:line="273" w:lineRule="auto"/>
        <w:rPr>
          <w:sz w:val="20"/>
          <w:szCs w:val="20"/>
          <w:color w:val="auto"/>
        </w:rPr>
      </w:pPr>
      <w:r>
        <w:rPr>
          <w:rFonts w:ascii="Arial" w:cs="Arial" w:eastAsia="Arial" w:hAnsi="Arial"/>
          <w:sz w:val="17"/>
          <w:szCs w:val="17"/>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assets carrying amount and estimated fair value.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Product Warranty</w:t>
      </w:r>
    </w:p>
    <w:p>
      <w:pPr>
        <w:spacing w:after="0" w:line="13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Product warranty costs are accrued in the period sales are recognized. Our products are generally sold with standard warranty 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We assess our income tax positions and record tax benefits for all years subject to examination based upon management’s evaluation of 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has also been recognized and recorded, net of federal and state tax benefits, in income tax expense.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Contingencies and Litigation</w:t>
      </w:r>
    </w:p>
    <w:p>
      <w:pPr>
        <w:spacing w:after="0" w:line="135"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We assess the probability of adverse judgments in connection with current and threatened litigation. We would accrue the cost of an adverse judgment if, in our estimation, the adverse outcome is probable and we can reasonably estimate the ultimate cost.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Our net sales are derived from the sale of products and services and are adjusted for estimated returns and allowances, which historically 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80"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59"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at estimated fair value until delivery of the deferred elements.</w:t>
      </w:r>
    </w:p>
    <w:p>
      <w:pPr>
        <w:spacing w:after="0" w:line="79"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25, 2010, we had total deferred revenue of approximately $36.9 million and deferred profit of $14.8 million. At December 26, 2009, we had total deferred revenue of approximately $20.2 million and deferred profit of $5.3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Advertising Costs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Advertising costs are expensed as incurred and were not material for all periods presented.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left="460" w:right="300"/>
        <w:spacing w:after="0" w:line="297" w:lineRule="auto"/>
        <w:rPr>
          <w:sz w:val="20"/>
          <w:szCs w:val="20"/>
          <w:color w:val="auto"/>
        </w:rPr>
      </w:pPr>
      <w:r>
        <w:rPr>
          <w:rFonts w:ascii="Arial" w:cs="Arial" w:eastAsia="Arial" w:hAnsi="Arial"/>
          <w:sz w:val="16"/>
          <w:szCs w:val="16"/>
          <w:color w:val="auto"/>
        </w:rPr>
        <w:t>We measure and recognize all share-based compensation under the fair value method. Our estimate of share-based compensation expense requires a number of complex and subjective assumptions including our stock price volatility, employee exercise patterns (expected life of the options), future forfeitures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Translation</w:t>
      </w:r>
    </w:p>
    <w:p>
      <w:pPr>
        <w:spacing w:after="0" w:line="135"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color w:val="auto"/>
        </w:rPr>
        <w:t>Assets and liabilities of those subsidiaries that use the U.S. dollar as their functional currency are translated using exchange 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Gains and losses on foreign currency transactions are recognized as incurred. Our subsidiaries located in Germany, designated the Euro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 Foreign currency gains and losses were not significant in any period and are included in the consolidated statements of operations.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35"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color w:val="auto"/>
        </w:rPr>
        <w:t>In January 2010, the Financial Accounting Standards Board (“FASB”) issued Accounting Standards Update No. 2010-06, “Improving Disclosures about Fair Value Measurements (Topic 820)—Fair Value Measurements and Disclosures” to add additional disclosures about the different classes of assets and liabilities measured at fair value, the valuation techniques and inputs used, the activity in Level 3 fair value measurements, and the transfers between Levels 1, 2, and 3. Levels 1, 2 and 3 of fair value measurements are defined in Note 3 below. We adopted the accounting standards update on December 27, 2009, the first day of our 2010 fiscal year except for the provisions of this update that will not be effective until our fiscal 2011. The adoption of the accounting update did not have a material impact on our consolidated financial statements.</w:t>
      </w:r>
    </w:p>
    <w:p>
      <w:pPr>
        <w:spacing w:after="0" w:line="5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In June 2009, the FASB issued new accounting guidance on consolidation of variable interest entities, which include: (1) the elimination of the exemption for qualifying special purpose entities, (2) a new approach for determining who should consolidate a variable-interest entity, and (3) changes to when it is necessary to reassess who should consolidate a variable-interest entity. This new guidance was effective as of the beginning of interim and annual reporting periods that begin after November 15, 2009, which for us was December 27, 2009, the first day of our 2010 fiscal year. The adoption of this new guidance did not impact our consolidated financial position or results of operations or cash flows as we do not have any variable interest entities.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35"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In October 2009, the FASB amended the guidance for allocating revenue to multiple deliverables in a contract. This new guidance is effective as of the first day of our 2011 fiscal year, with early adoption permitted. In accordance with the amendment, companies can allocate consideration in a multiple element arrangement in a manner that better reflects the transaction economics. When vendor specific objective evidence or third party evidence for deliverables in an arrangement cannot be determined, companies will now be allowed to develop a best estimate of the selling price to separate deliverables and allocate arrangement consideration using the relative selling price method. Additionally, use of the residual method has been eliminated. Adoption of this new guidance is not expected to have a material impact on our consolidated financial position or results of operations.</w:t>
      </w:r>
    </w:p>
    <w:p>
      <w:pPr>
        <w:spacing w:after="0" w:line="5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October 2009, the FASB issued new accounting guidance for the accounting for certain revenue arrangements that include software elements. The new guidance amends the scope of pre-existing software revenue guidance by removing from the guidance non-software components of tangible products and certain software components of tangible products. The new guidance will be effective prospectively for revenue arrangements entered into or materially modified in fiscal years beginning on or after June 15, 2010, and will be effective for us in the first quarter of fiscal year 2011, however early adoption is permitted. Adoption of this new guidance is not expected to have a material impact on our consolidated financial position or results of operations.</w:t>
      </w:r>
    </w:p>
    <w:p>
      <w:pPr>
        <w:spacing w:after="0" w:line="81" w:lineRule="exact"/>
        <w:rPr>
          <w:sz w:val="20"/>
          <w:szCs w:val="20"/>
          <w:color w:val="auto"/>
        </w:rPr>
      </w:pPr>
    </w:p>
    <w:p>
      <w:pPr>
        <w:ind w:left="460" w:right="4960" w:hanging="452"/>
        <w:spacing w:after="0" w:line="378"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Strategic Technology Transactions, Goodwill and Purchased Intangible Assets </w:t>
      </w:r>
      <w:r>
        <w:rPr>
          <w:rFonts w:ascii="Arial" w:cs="Arial" w:eastAsia="Arial" w:hAnsi="Arial"/>
          <w:sz w:val="18"/>
          <w:szCs w:val="18"/>
          <w:i w:val="1"/>
          <w:iCs w:val="1"/>
          <w:u w:val="single" w:color="auto"/>
          <w:color w:val="auto"/>
        </w:rPr>
        <w:t>Rasco</w:t>
      </w:r>
    </w:p>
    <w:p>
      <w:pPr>
        <w:ind w:left="46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9, 2008, our wholly owned semiconductor equipment subsidiary, Delta Design, Inc., and certain subsidiaries of Delta acquired all of the outstanding share capital of Rasco GmbH, Rosenheim Automation Systems Corporation, and certain assets of Rasco Automation Asia (collectively “Rasco”). The results of Rasco’s operations have been included in our consolidated financial statements since that date. Rasco, develops, manufactures and sells gravity-feed and strip semiconductor test handlers used in final test operations by semiconductor manufacturers and test subcontractors.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The purchase price of this acquisition was approximately $81.6 million, and was funded primarily by cash reserves ($80.0 million), other acquisition costs ($1.6 million) and certain liabilities assumed ($18.6 million, which included approximately $8.2 million of deferred tax liabilities and $3.7 million of contractual obligations to purchase inventory). The acquisition was considered a business and the total cost of the acquisition was allocated to the assets acquired and liabilities assumed based on their estimated respective fair values. The Rasco acquisition resulted in the recognition of goodwill of approximately $41.3 million. The acquisition was nontaxable and certain of the assets acquired, including goodwill and intangibles, will generally not be deductible for tax purposes. The goodwill has been assigned to our semiconductor equipment segment.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33,360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 (IPR&amp;D)</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41,336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(18,643)</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The allocation of the other intangible assets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Fair Value</w:t>
            </w:r>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Unpatented complete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33,360</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40"/>
        <w:spacing w:after="0" w:line="255" w:lineRule="auto"/>
        <w:rPr>
          <w:sz w:val="20"/>
          <w:szCs w:val="20"/>
          <w:color w:val="auto"/>
        </w:rPr>
      </w:pPr>
      <w:r>
        <w:rPr>
          <w:rFonts w:ascii="Arial" w:cs="Arial" w:eastAsia="Arial" w:hAnsi="Arial"/>
          <w:sz w:val="18"/>
          <w:szCs w:val="18"/>
          <w:color w:val="auto"/>
        </w:rPr>
        <w:t>As required by accounting guidance effective at the time acquisition was completed, the portion of the purchase price allocated to IPR&amp;D was expensed immediately upon the closing of the acquisition. The amount of the IPR&amp;D charge in our results of operations for the year ended December 27, 2008 differs from the amount presented above solely due to changes in the Euro vs. the U.S. dollar exchange rate. Fluctuations in the exchange rate of the Euro, the functional currency of Rasco, impact the U.S. dollar value of the goodwill and intangible assets in our consolidated financial statements and, as a result, the future gross carrying value and amortization of the acquired intangible assets may differ from the amounts presented herein.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Goodwill and Purchased Intangible Assets</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Changes in the carrying value of goodwill by reportable segment during the years ended December 25, 2010 and December 26, 2009 was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w w:val="98"/>
              </w:rPr>
              <w:t>Semiconductor</w:t>
            </w:r>
          </w:p>
        </w:tc>
        <w:tc>
          <w:tcPr>
            <w:tcW w:w="14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w w:val="98"/>
              </w:rPr>
              <w:t>Microwave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w w:val="98"/>
              </w:rPr>
              <w:t>Equipment</w:t>
            </w: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Communications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Total Goodwill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27, 2008</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3,385</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Impact of currency exchange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883</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2009</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3,446</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61,764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Impact of currency exchange</w:t>
            </w:r>
          </w:p>
        </w:tc>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(3,038)</w:t>
            </w: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(3,266)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25, 2010</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3,218</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40" w:type="dxa"/>
            <w:vAlign w:val="bottom"/>
            <w:vMerge w:val="restart"/>
          </w:tcPr>
          <w:p>
            <w:pPr>
              <w:jc w:val="right"/>
              <w:ind w:right="1350"/>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purchased intangible assets, subject to amortization,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ind w:left="660"/>
              <w:spacing w:after="0"/>
              <w:rPr>
                <w:sz w:val="20"/>
                <w:szCs w:val="20"/>
                <w:color w:val="auto"/>
              </w:rPr>
            </w:pPr>
            <w:r>
              <w:rPr>
                <w:rFonts w:ascii="Arial" w:cs="Arial" w:eastAsia="Arial" w:hAnsi="Arial"/>
                <w:sz w:val="14"/>
                <w:szCs w:val="14"/>
                <w:color w:val="auto"/>
                <w:w w:val="95"/>
              </w:rPr>
              <w:t>December 25, 2010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color w:val="auto"/>
              </w:rPr>
              <w:t>December 26, 2009</w:t>
            </w:r>
          </w:p>
        </w:tc>
      </w:tr>
      <w:tr>
        <w:trPr>
          <w:trHeight w:val="123"/>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w w:val="95"/>
              </w:rPr>
              <w:t>Gross Carrying</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Accumulated</w:t>
            </w:r>
          </w:p>
        </w:tc>
        <w:tc>
          <w:tcPr>
            <w:tcW w:w="74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w w:val="95"/>
              </w:rPr>
              <w:t>Remaining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120"/>
              <w:spacing w:after="0" w:line="123" w:lineRule="exact"/>
              <w:rPr>
                <w:sz w:val="20"/>
                <w:szCs w:val="20"/>
                <w:color w:val="auto"/>
              </w:rPr>
            </w:pPr>
            <w:r>
              <w:rPr>
                <w:rFonts w:ascii="Arial" w:cs="Arial" w:eastAsia="Arial" w:hAnsi="Arial"/>
                <w:sz w:val="14"/>
                <w:szCs w:val="14"/>
                <w:color w:val="auto"/>
                <w:w w:val="95"/>
              </w:rPr>
              <w:t>Gross Carrying</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0"/>
                <w:szCs w:val="10"/>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Amount</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Amortization</w:t>
            </w: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Useful Life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Amortization</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Rasco technology</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32,154</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8,290</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6.0 years</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35,257</w:t>
            </w:r>
          </w:p>
        </w:tc>
        <w:tc>
          <w:tcPr>
            <w:tcW w:w="3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4,679</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Unigen technology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6,779</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w w:val="94"/>
              </w:rPr>
              <w:t>0.3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5,358</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AVS technology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0.3 years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1,611</w:t>
            </w: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The amounts included in the table above for the years ended December 25, 2010 and December 26, 2009 exclude approximately $2.3 million and $2.5 million, respectively, related to the Rasco trade name which has an indefinite life and is not being amortized.</w:t>
      </w:r>
    </w:p>
    <w:p>
      <w:pPr>
        <w:spacing w:after="0" w:line="62"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Expense related to purchased intangible assets, subject to amortization, was approximately $6.1 million, $6.3 million and $2.5 million in 2010, 2009 and 2008, respectively. As of December 25, 2010, we expect amortization expense in future periods to be as follows: 2011 – $4.4 million; 2012 – $4.0 million; 2013 – $4.0 million; 2014 – $4.0 million; 2015 – $4.0 million; and thereafter $3.8 million.</w:t>
      </w:r>
    </w:p>
    <w:p>
      <w:pPr>
        <w:spacing w:after="0" w:line="6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Short-term Investments</w:t>
      </w:r>
    </w:p>
    <w:p>
      <w:pPr>
        <w:spacing w:after="0" w:line="121"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corporate debt securities, government and government agency securities, state and municipal securities, money market funds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80"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During the years ended December 26, 2009 and December 27, 2008 we had realized losses of approximately $0.1 million and $0.4 million, respectively. Realized losses for the year ended December 25, 2010 were not significant.</w:t>
      </w:r>
    </w:p>
    <w:p>
      <w:pPr>
        <w:spacing w:after="0" w:line="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w w:val="96"/>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360"/>
              <w:spacing w:after="0" w:line="123" w:lineRule="exact"/>
              <w:rPr>
                <w:sz w:val="20"/>
                <w:szCs w:val="20"/>
                <w:color w:val="auto"/>
              </w:rPr>
            </w:pPr>
            <w:r>
              <w:rPr>
                <w:rFonts w:ascii="Arial" w:cs="Arial" w:eastAsia="Arial" w:hAnsi="Arial"/>
                <w:sz w:val="14"/>
                <w:szCs w:val="14"/>
                <w:color w:val="auto"/>
                <w:w w:val="90"/>
              </w:rPr>
              <w:t>Gross</w:t>
            </w:r>
          </w:p>
        </w:tc>
        <w:tc>
          <w:tcPr>
            <w:tcW w:w="6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8"/>
              </w:rPr>
              <w:t>Amortized</w:t>
            </w:r>
          </w:p>
        </w:tc>
        <w:tc>
          <w:tcPr>
            <w:tcW w:w="12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Unrealized</w:t>
            </w:r>
          </w:p>
        </w:tc>
        <w:tc>
          <w:tcPr>
            <w:tcW w:w="12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Fair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Cost</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w w:val="98"/>
              </w:rPr>
              <w:t>Gains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2"/>
              </w:rPr>
              <w:t xml:space="preserve">Losses </w:t>
            </w:r>
            <w:r>
              <w:rPr>
                <w:rFonts w:ascii="Arial" w:cs="Arial" w:eastAsia="Arial" w:hAnsi="Arial"/>
                <w:sz w:val="12"/>
                <w:szCs w:val="12"/>
                <w:color w:val="auto"/>
                <w:w w:val="92"/>
              </w:rPr>
              <w:t>(1)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4"/>
              </w:rPr>
              <w:t>Value</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15"/>
                <w:szCs w:val="15"/>
                <w:color w:val="auto"/>
              </w:rPr>
              <w:t>(2)</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18,010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18,034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11,102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11,103</w:t>
            </w:r>
          </w:p>
        </w:tc>
        <w:tc>
          <w:tcPr>
            <w:tcW w:w="14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15,105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15,093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52,231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52,254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60" w:type="dxa"/>
            <w:vAlign w:val="bottom"/>
            <w:vMerge w:val="restart"/>
          </w:tcPr>
          <w:p>
            <w:pPr>
              <w:jc w:val="right"/>
              <w:ind w:right="1310"/>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3"/>
        </w:trPr>
        <w:tc>
          <w:tcPr>
            <w:tcW w:w="4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w w:val="96"/>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0"/>
              </w:rPr>
              <w:t>Gross</w:t>
            </w:r>
          </w:p>
        </w:tc>
        <w:tc>
          <w:tcPr>
            <w:tcW w:w="6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140" w:type="dxa"/>
            <w:vAlign w:val="bottom"/>
          </w:tcPr>
          <w:p>
            <w:pPr>
              <w:spacing w:after="0"/>
              <w:rPr>
                <w:sz w:val="10"/>
                <w:szCs w:val="10"/>
                <w:color w:val="auto"/>
              </w:rPr>
            </w:pPr>
          </w:p>
        </w:tc>
      </w:tr>
      <w:tr>
        <w:trPr>
          <w:trHeight w:val="149"/>
        </w:trPr>
        <w:tc>
          <w:tcPr>
            <w:tcW w:w="4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8"/>
              </w:rPr>
              <w:t>Amortized</w:t>
            </w:r>
          </w:p>
        </w:tc>
        <w:tc>
          <w:tcPr>
            <w:tcW w:w="12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5"/>
              </w:rPr>
              <w:t>Unrealized</w:t>
            </w:r>
          </w:p>
        </w:tc>
        <w:tc>
          <w:tcPr>
            <w:tcW w:w="12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Unrealized</w:t>
            </w:r>
          </w:p>
        </w:tc>
        <w:tc>
          <w:tcPr>
            <w:tcW w:w="12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Fair</w:t>
            </w:r>
          </w:p>
        </w:tc>
      </w:tr>
      <w:tr>
        <w:trPr>
          <w:trHeight w:val="167"/>
        </w:trPr>
        <w:tc>
          <w:tcPr>
            <w:tcW w:w="4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Cost</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w w:val="98"/>
              </w:rPr>
              <w:t>Gains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85"/>
              </w:rPr>
              <w:t>Losses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4"/>
              </w:rPr>
              <w:t>Value</w:t>
            </w:r>
          </w:p>
        </w:tc>
        <w:tc>
          <w:tcPr>
            <w:tcW w:w="140" w:type="dxa"/>
            <w:vAlign w:val="bottom"/>
          </w:tcPr>
          <w:p>
            <w:pPr>
              <w:spacing w:after="0"/>
              <w:rPr>
                <w:sz w:val="14"/>
                <w:szCs w:val="14"/>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15"/>
                <w:szCs w:val="15"/>
                <w:color w:val="auto"/>
              </w:rPr>
              <w:t>(2)</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24,055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24,150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4,275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2,178</w:t>
            </w:r>
          </w:p>
        </w:tc>
      </w:tr>
      <w:tr>
        <w:trPr>
          <w:trHeight w:val="27"/>
        </w:trPr>
        <w:tc>
          <w:tcPr>
            <w:tcW w:w="4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8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46,501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46,659</w:t>
            </w:r>
          </w:p>
        </w:tc>
      </w:tr>
      <w:tr>
        <w:trPr>
          <w:trHeight w:val="20"/>
        </w:trPr>
        <w:tc>
          <w:tcPr>
            <w:tcW w:w="4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2261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57" w:lineRule="exact"/>
        <w:rPr>
          <w:sz w:val="20"/>
          <w:szCs w:val="20"/>
          <w:color w:val="auto"/>
        </w:rPr>
      </w:pPr>
    </w:p>
    <w:p>
      <w:pPr>
        <w:ind w:left="1080" w:right="1280" w:hanging="387"/>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25, 2010, the cost and fair value of investments with loss positions was approximately $16.1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p>
      <w:pPr>
        <w:spacing w:after="0" w:line="38" w:lineRule="exact"/>
        <w:rPr>
          <w:rFonts w:ascii="Arial" w:cs="Arial" w:eastAsia="Arial" w:hAnsi="Arial"/>
          <w:sz w:val="18"/>
          <w:szCs w:val="18"/>
          <w:color w:val="auto"/>
        </w:rPr>
      </w:pPr>
    </w:p>
    <w:p>
      <w:pPr>
        <w:ind w:left="1080" w:right="1820" w:hanging="387"/>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insurance, and other corporate institutions. No single issuer represents a significant portion of the total corporate debt securities portfolio.</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Effective maturities of short-term investments at December 25, 2010, were as follows: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Amortized</w:t>
            </w:r>
          </w:p>
        </w:tc>
        <w:tc>
          <w:tcPr>
            <w:tcW w:w="18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9"/>
              </w:rPr>
              <w:t>Estimated</w:t>
            </w:r>
          </w:p>
        </w:tc>
      </w:tr>
      <w:tr>
        <w:trPr>
          <w:trHeight w:val="174"/>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Cost</w:t>
            </w:r>
          </w:p>
        </w:tc>
        <w:tc>
          <w:tcPr>
            <w:tcW w:w="18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Fair Value</w:t>
            </w:r>
          </w:p>
        </w:tc>
      </w:tr>
      <w:tr>
        <w:trPr>
          <w:trHeight w:val="216"/>
        </w:trPr>
        <w:tc>
          <w:tcPr>
            <w:tcW w:w="20" w:type="dxa"/>
            <w:vAlign w:val="bottom"/>
          </w:tcPr>
          <w:p>
            <w:pPr>
              <w:spacing w:after="0"/>
              <w:rPr>
                <w:sz w:val="18"/>
                <w:szCs w:val="18"/>
                <w:color w:val="auto"/>
              </w:rPr>
            </w:pPr>
          </w:p>
        </w:tc>
        <w:tc>
          <w:tcPr>
            <w:tcW w:w="8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6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$ 34,891</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34,918</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17,104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17,099</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 not due at a single maturity date</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$ 52,231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52,254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Our municipal securities include variable rate demand notes which can be put (sold at par) typically on a daily basis with settlement periods ranging from the same day to one week and have varying contractual maturities through 2037. These securities can be used for short-term liquidity needs and are held for limited periods of time. At December 25, 2010 these securities had amortized cost and fair value of $7.5 million and are included in “Due in one year or less” in the table above</w:t>
      </w:r>
      <w:r>
        <w:rPr>
          <w:rFonts w:ascii="Arial" w:cs="Arial" w:eastAsia="Arial" w:hAnsi="Arial"/>
          <w:sz w:val="18"/>
          <w:szCs w:val="18"/>
          <w:b w:val="1"/>
          <w:bCs w:val="1"/>
          <w:color w:val="auto"/>
        </w:rPr>
        <w:t>.</w:t>
      </w:r>
    </w:p>
    <w:p>
      <w:pPr>
        <w:spacing w:after="0" w:line="7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 xml:space="preserve">The following table summarizes, by major security type, our assets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color w:val="auto"/>
              </w:rPr>
              <w:t>Fair value measurements at December 25, 2010 using:</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Total 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6,787</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Municipal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22,932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color w:val="auto"/>
              </w:rPr>
              <w:t>Fair value measurements at December 26, 2009 using:</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Total 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5,504</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121"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accumulated other comprehensive income (loss) totaled approximately $(0.2) million and $8.7 million at December 25, 2010 and December 26, 2009, respectively, and was attributed to, net of income taxes where applicable, foreign currency adjustments resulting from the translation of certain accounts into U.S. dollars where the functional currency is the Euro, unrealized losses and gains on investments and adjustments to accumulated postretirement benefit obligations.</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Amounts included in accumulated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Foreign</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Investment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Currency</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Other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Gains and</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8"/>
              </w:rPr>
              <w:t>Postretirement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Translation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Comprehensive</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00" w:type="dxa"/>
            <w:vAlign w:val="bottom"/>
            <w:gridSpan w:val="2"/>
          </w:tcPr>
          <w:p>
            <w:pPr>
              <w:ind w:left="700"/>
              <w:spacing w:after="0"/>
              <w:rPr>
                <w:sz w:val="20"/>
                <w:szCs w:val="20"/>
                <w:color w:val="auto"/>
              </w:rPr>
            </w:pPr>
            <w:r>
              <w:rPr>
                <w:rFonts w:ascii="Arial" w:cs="Arial" w:eastAsia="Arial" w:hAnsi="Arial"/>
                <w:sz w:val="14"/>
                <w:szCs w:val="14"/>
                <w:i w:val="1"/>
                <w:iCs w:val="1"/>
                <w:color w:val="auto"/>
              </w:rPr>
              <w:t>(in thousands)</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Obligations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Adjustments</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Income (Loss)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29, 2007</w:t>
            </w:r>
          </w:p>
        </w:tc>
        <w:tc>
          <w:tcPr>
            <w:tcW w:w="19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Fiscal 2008 activity</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6,648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27, 2008</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Fiscal 2009 activity</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2009</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Fiscal 2010 activity</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(7,270)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(8,859)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25, 2010</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40" w:type="dxa"/>
            <w:vAlign w:val="bottom"/>
            <w:vMerge w:val="restart"/>
          </w:tcPr>
          <w:p>
            <w:pPr>
              <w:jc w:val="right"/>
              <w:ind w:right="150"/>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460" w:right="9100" w:hanging="452"/>
        <w:spacing w:after="0" w:line="434" w:lineRule="auto"/>
        <w:tabs>
          <w:tab w:leader="none" w:pos="46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Retirement Plans</w:t>
      </w:r>
    </w:p>
    <w:p>
      <w:pPr>
        <w:ind w:left="460" w:right="8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We have a voluntary defined contribution retirement 401(k) plan whereby we match contributions up to 4% of employee compensation. During 2010 and 2009, to control costs and preserve cash in response to the economic uncertainty caused by the global economic crisis, we suspended the matching contribution to our employee 401(k) plan. In 2008 our contributions to the plan were approximately $1.5 million. Certain of our foreign employees participate in defined benefit pension plans. The related expense and benefit obligation of these plans were not significant for any period presented.</w:t>
      </w:r>
    </w:p>
    <w:p>
      <w:pPr>
        <w:spacing w:after="0" w:line="4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Retiree Medical Benefits</w:t>
      </w:r>
    </w:p>
    <w:p>
      <w:pPr>
        <w:spacing w:after="0" w:line="134"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7"/>
          <w:szCs w:val="17"/>
          <w:color w:val="auto"/>
        </w:rPr>
        <w:t>We provide post-retirement health benefits to certain executives and directors under a noncontributory plan. The net periodic benefit cost was</w:t>
      </w:r>
    </w:p>
    <w:p>
      <w:pPr>
        <w:spacing w:after="0" w:line="34" w:lineRule="exact"/>
        <w:rPr>
          <w:rFonts w:ascii="Arial" w:cs="Arial" w:eastAsia="Arial" w:hAnsi="Arial"/>
          <w:sz w:val="16"/>
          <w:szCs w:val="16"/>
          <w:b w:val="1"/>
          <w:bCs w:val="1"/>
          <w:color w:val="auto"/>
        </w:rPr>
      </w:pPr>
    </w:p>
    <w:p>
      <w:pPr>
        <w:ind w:left="46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$0.3 million, $0.2 million and $0.2 million in 2010, 2009 and 2008, respectively. We fund benefits as costs are incurred and as a result there are no plan assets.</w:t>
      </w:r>
    </w:p>
    <w:p>
      <w:pPr>
        <w:spacing w:after="0" w:line="75" w:lineRule="exact"/>
        <w:rPr>
          <w:rFonts w:ascii="Arial" w:cs="Arial" w:eastAsia="Arial" w:hAnsi="Arial"/>
          <w:sz w:val="16"/>
          <w:szCs w:val="16"/>
          <w:b w:val="1"/>
          <w:bCs w:val="1"/>
          <w:color w:val="auto"/>
        </w:rPr>
      </w:pPr>
    </w:p>
    <w:p>
      <w:pPr>
        <w:ind w:left="460" w:right="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weighted average discount rate used in determining the accumulated post-retirement benefit obligation was 5.4% in 2010, 5.8% in 2009 and 6.2% in 2008. Annual rates of increase of the cost of health benefits were assumed to be 10.5% in 2010. These rates were then assumed to decrease 0.5% per year to 5.0% in 2021 and remain level thereafter. A one percent increase (decrease) in health care cost trend rates would increase (decrease) the 2010 net periodic benefit cost by approximately $24,000 ($20,000) and the accumulated post-retirement benefit obligation as of December 25, 2010, by approximately $603,000 ($502,000).</w:t>
      </w:r>
    </w:p>
    <w:p>
      <w:pPr>
        <w:spacing w:after="0" w:line="80" w:lineRule="exact"/>
        <w:rPr>
          <w:rFonts w:ascii="Arial" w:cs="Arial" w:eastAsia="Arial" w:hAnsi="Arial"/>
          <w:sz w:val="16"/>
          <w:szCs w:val="16"/>
          <w:b w:val="1"/>
          <w:bCs w:val="1"/>
          <w:color w:val="auto"/>
        </w:rPr>
      </w:pPr>
    </w:p>
    <w:p>
      <w:pPr>
        <w:ind w:left="460" w:right="1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following table sets forth the post-retirement benefit obligation to the funded status of the plan which approximates the liability we have recorded in our consolidated balance sheets:</w:t>
      </w:r>
    </w:p>
    <w:p>
      <w:pPr>
        <w:spacing w:after="0" w:line="166"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7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2,839</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w:t>
            </w: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Accumulated benefit obligation at end of year</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end of year</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total unrecognized net actuarial loss that will be amortized over the future service period, excluding the effect of income taxes, was approximately $2.1 million at December 25, 2010.</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Compensation</w:t>
      </w:r>
    </w:p>
    <w:p>
      <w:pPr>
        <w:spacing w:after="0" w:line="13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The Cohu, Inc. Deferred Compensation Plan allows certain of our officers to defer a portion of their current compensation. We have purchased life insurance policies on the participants with Cohu as the named beneficiary. Participant contributions, distributions and investment earnings and losses are accumulated in a separate account for each participant. At December 25, 2010 and December 26, 2009, the payroll liability to participants, included in accrued compensation and benefits in the consolidated balance sheet, was approximately $2.1 million and $1.9 million, respectively and the cash surrender value of the related life insurance policies included in other current assets was approximately $1.6 million and $1.8 million, respectively.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Stock Purchase Plan</w:t>
      </w:r>
    </w:p>
    <w:p>
      <w:pPr>
        <w:spacing w:after="0" w:line="135" w:lineRule="exact"/>
        <w:rPr>
          <w:sz w:val="20"/>
          <w:szCs w:val="20"/>
          <w:color w:val="auto"/>
        </w:rPr>
      </w:pPr>
    </w:p>
    <w:p>
      <w:pPr>
        <w:ind w:left="460" w:right="20"/>
        <w:spacing w:after="0" w:line="279" w:lineRule="auto"/>
        <w:rPr>
          <w:sz w:val="20"/>
          <w:szCs w:val="20"/>
          <w:color w:val="auto"/>
        </w:rPr>
      </w:pPr>
      <w:r>
        <w:rPr>
          <w:rFonts w:ascii="Arial" w:cs="Arial" w:eastAsia="Arial" w:hAnsi="Arial"/>
          <w:sz w:val="17"/>
          <w:szCs w:val="17"/>
          <w:color w:val="auto"/>
        </w:rPr>
        <w:t>The Cohu, Inc. 1997 Employee Stock Purchase Plan (“the Plan”) provides for the issuance of a maximum of 1,400,000 shares of our common stock. Under the Plan, eligible employees may purchase shares of common stock through payroll deductions. The price paid for the common stock is equal to 85% of the fair market value of our common stock on specified dates. In 2010, 2009, and 2008, 112,745, 136,228 and 95,452 shares, respectively, were issued under the Plan. At December 25, 2010, there were 257,594 shares reserved for issuance under the Plan.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Under our equity incentive plans,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December 25, 2010, 1,253,280 shares were available for future equity grants under the Cohu, Inc. 2005 Equity Incentive Plan. We have historically issued new shares of Cohu common stock upon share option exercise.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our share-based compensation plans was as follows: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2008</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54"/>
              <w:spacing w:after="0" w:line="123" w:lineRule="exact"/>
              <w:rPr>
                <w:sz w:val="20"/>
                <w:szCs w:val="20"/>
                <w:color w:val="auto"/>
              </w:rPr>
            </w:pPr>
            <w:r>
              <w:rPr>
                <w:rFonts w:ascii="Arial" w:cs="Arial" w:eastAsia="Arial" w:hAnsi="Arial"/>
                <w:sz w:val="14"/>
                <w:szCs w:val="14"/>
                <w:color w:val="auto"/>
                <w:w w:val="98"/>
              </w:rPr>
              <w:t>Wt. Avg.</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54"/>
              <w:spacing w:after="0" w:line="123" w:lineRule="exact"/>
              <w:rPr>
                <w:sz w:val="20"/>
                <w:szCs w:val="20"/>
                <w:color w:val="auto"/>
              </w:rPr>
            </w:pPr>
            <w:r>
              <w:rPr>
                <w:rFonts w:ascii="Arial" w:cs="Arial" w:eastAsia="Arial" w:hAnsi="Arial"/>
                <w:sz w:val="14"/>
                <w:szCs w:val="14"/>
                <w:color w:val="auto"/>
                <w:w w:val="98"/>
              </w:rPr>
              <w:t>Wt. Avg.</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ind w:right="74"/>
              <w:spacing w:after="0" w:line="123" w:lineRule="exact"/>
              <w:rPr>
                <w:sz w:val="20"/>
                <w:szCs w:val="20"/>
                <w:color w:val="auto"/>
              </w:rPr>
            </w:pPr>
            <w:r>
              <w:rPr>
                <w:rFonts w:ascii="Arial" w:cs="Arial" w:eastAsia="Arial" w:hAnsi="Arial"/>
                <w:sz w:val="14"/>
                <w:szCs w:val="14"/>
                <w:color w:val="auto"/>
              </w:rPr>
              <w:t>Wt. Avg.</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Ex. Price</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Ex. Price</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Ex.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9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15.91</w:t>
            </w:r>
          </w:p>
        </w:tc>
        <w:tc>
          <w:tcPr>
            <w:tcW w:w="9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13.77</w:t>
            </w:r>
          </w:p>
        </w:tc>
        <w:tc>
          <w:tcPr>
            <w:tcW w:w="800" w:type="dxa"/>
            <w:vAlign w:val="bottom"/>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7.45</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Canceled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19.06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12.94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40" w:type="dxa"/>
            <w:vAlign w:val="bottom"/>
            <w:gridSpan w:val="2"/>
          </w:tcPr>
          <w:p>
            <w:pPr>
              <w:spacing w:after="0"/>
              <w:rPr>
                <w:sz w:val="20"/>
                <w:szCs w:val="20"/>
                <w:color w:val="auto"/>
              </w:rPr>
            </w:pPr>
            <w:r>
              <w:rPr>
                <w:rFonts w:ascii="Arial" w:cs="Arial" w:eastAsia="Arial" w:hAnsi="Arial"/>
                <w:sz w:val="18"/>
                <w:szCs w:val="18"/>
                <w:color w:val="auto"/>
              </w:rPr>
              <w:t>Options exercisable at year end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15.26</w:t>
            </w:r>
          </w:p>
        </w:tc>
        <w:tc>
          <w:tcPr>
            <w:tcW w:w="800" w:type="dxa"/>
            <w:vAlign w:val="bottom"/>
          </w:tcPr>
          <w:p>
            <w:pPr>
              <w:jc w:val="right"/>
              <w:spacing w:after="0"/>
              <w:rPr>
                <w:sz w:val="20"/>
                <w:szCs w:val="20"/>
                <w:color w:val="auto"/>
              </w:rPr>
            </w:pPr>
            <w:r>
              <w:rPr>
                <w:rFonts w:ascii="Arial" w:cs="Arial" w:eastAsia="Arial" w:hAnsi="Arial"/>
                <w:sz w:val="18"/>
                <w:szCs w:val="18"/>
                <w:color w:val="auto"/>
              </w:rPr>
              <w:t>1,766</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16.40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60"/>
        <w:spacing w:after="0" w:line="286" w:lineRule="auto"/>
        <w:rPr>
          <w:sz w:val="20"/>
          <w:szCs w:val="20"/>
          <w:color w:val="auto"/>
        </w:rPr>
      </w:pPr>
      <w:r>
        <w:rPr>
          <w:rFonts w:ascii="Arial" w:cs="Arial" w:eastAsia="Arial" w:hAnsi="Arial"/>
          <w:sz w:val="17"/>
          <w:szCs w:val="17"/>
          <w:color w:val="auto"/>
        </w:rPr>
        <w:t>The aggregate intrinsic value of options exercised during 2010 and 2008 was approximately $0.8 million, and $0.3 million, respectively. There were no options exercised during 2009. At December 25, 2010, the aggregate intrinsic value of options outstanding, vested and expected to vest were each approximately $11.4 million and the aggregate intrinsic value of options exercisable was approximately $2.8 million.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Information about stock options outstanding at December 25, 2010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Options Outstanding</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ind w:left="220"/>
              <w:spacing w:after="0"/>
              <w:rPr>
                <w:sz w:val="20"/>
                <w:szCs w:val="20"/>
                <w:color w:val="auto"/>
              </w:rPr>
            </w:pPr>
            <w:r>
              <w:rPr>
                <w:rFonts w:ascii="Arial" w:cs="Arial" w:eastAsia="Arial" w:hAnsi="Arial"/>
                <w:sz w:val="14"/>
                <w:szCs w:val="14"/>
                <w:color w:val="auto"/>
              </w:rPr>
              <w:t>Options Exercisable</w:t>
            </w:r>
          </w:p>
        </w:tc>
      </w:tr>
      <w:tr>
        <w:trPr>
          <w:trHeight w:val="123"/>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Approximate</w:t>
            </w: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8"/>
              </w:rPr>
              <w:t>Wt. Avg.</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Range of</w:t>
            </w:r>
          </w:p>
        </w:tc>
        <w:tc>
          <w:tcPr>
            <w:tcW w:w="780" w:type="dxa"/>
            <w:vAlign w:val="bottom"/>
          </w:tcPr>
          <w:p>
            <w:pPr>
              <w:jc w:val="right"/>
              <w:ind w:right="77"/>
              <w:spacing w:after="0" w:line="149" w:lineRule="exact"/>
              <w:rPr>
                <w:sz w:val="20"/>
                <w:szCs w:val="20"/>
                <w:color w:val="auto"/>
              </w:rPr>
            </w:pPr>
            <w:r>
              <w:rPr>
                <w:rFonts w:ascii="Arial" w:cs="Arial" w:eastAsia="Arial" w:hAnsi="Arial"/>
                <w:sz w:val="14"/>
                <w:szCs w:val="14"/>
                <w:color w:val="auto"/>
              </w:rPr>
              <w:t>Number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2"/>
              </w:rPr>
              <w:t>Remaining</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Avg.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1"/>
              <w:spacing w:after="0" w:line="149" w:lineRule="exact"/>
              <w:rPr>
                <w:sz w:val="20"/>
                <w:szCs w:val="20"/>
                <w:color w:val="auto"/>
              </w:rPr>
            </w:pPr>
            <w:r>
              <w:rPr>
                <w:rFonts w:ascii="Arial" w:cs="Arial" w:eastAsia="Arial" w:hAnsi="Arial"/>
                <w:sz w:val="14"/>
                <w:szCs w:val="14"/>
                <w:color w:val="auto"/>
              </w:rPr>
              <w:t>Number</w:t>
            </w:r>
          </w:p>
        </w:tc>
        <w:tc>
          <w:tcPr>
            <w:tcW w:w="96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Avg.</w:t>
            </w:r>
          </w:p>
        </w:tc>
      </w:tr>
      <w:tr>
        <w:trPr>
          <w:trHeight w:val="174"/>
        </w:trPr>
        <w:tc>
          <w:tcPr>
            <w:tcW w:w="4240" w:type="dxa"/>
            <w:vAlign w:val="bottom"/>
            <w:gridSpan w:val="3"/>
          </w:tcPr>
          <w:p>
            <w:pPr>
              <w:spacing w:after="0"/>
              <w:rPr>
                <w:sz w:val="20"/>
                <w:szCs w:val="20"/>
                <w:color w:val="auto"/>
              </w:rPr>
            </w:pPr>
            <w:r>
              <w:rPr>
                <w:rFonts w:ascii="Arial" w:cs="Arial" w:eastAsia="Arial" w:hAnsi="Arial"/>
                <w:sz w:val="14"/>
                <w:szCs w:val="14"/>
                <w:color w:val="auto"/>
              </w:rPr>
              <w:t>Exercise Prices</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Outstanding</w:t>
            </w: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Life (Years)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Ex. Price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3"/>
              </w:rPr>
              <w:t>Exercisable</w:t>
            </w:r>
          </w:p>
        </w:tc>
        <w:tc>
          <w:tcPr>
            <w:tcW w:w="960" w:type="dxa"/>
            <w:vAlign w:val="bottom"/>
            <w:gridSpan w:val="3"/>
          </w:tcPr>
          <w:p>
            <w:pPr>
              <w:ind w:left="260"/>
              <w:spacing w:after="0"/>
              <w:rPr>
                <w:sz w:val="20"/>
                <w:szCs w:val="20"/>
                <w:color w:val="auto"/>
              </w:rPr>
            </w:pPr>
            <w:r>
              <w:rPr>
                <w:rFonts w:ascii="Arial" w:cs="Arial" w:eastAsia="Arial" w:hAnsi="Arial"/>
                <w:sz w:val="14"/>
                <w:szCs w:val="14"/>
                <w:color w:val="auto"/>
              </w:rPr>
              <w:t>Ex. Price</w:t>
            </w:r>
          </w:p>
        </w:tc>
      </w:tr>
      <w:tr>
        <w:trPr>
          <w:trHeight w:val="216"/>
        </w:trPr>
        <w:tc>
          <w:tcPr>
            <w:tcW w:w="20" w:type="dxa"/>
            <w:vAlign w:val="bottom"/>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$ 7.32</w:t>
            </w:r>
          </w:p>
        </w:tc>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$10.98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1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$10.99</w:t>
            </w:r>
          </w:p>
        </w:tc>
        <w:tc>
          <w:tcPr>
            <w:tcW w:w="3720" w:type="dxa"/>
            <w:vAlign w:val="bottom"/>
          </w:tcPr>
          <w:p>
            <w:pPr>
              <w:ind w:left="20"/>
              <w:spacing w:after="0"/>
              <w:rPr>
                <w:sz w:val="20"/>
                <w:szCs w:val="20"/>
                <w:color w:val="auto"/>
              </w:rPr>
            </w:pPr>
            <w:r>
              <w:rPr>
                <w:rFonts w:ascii="Arial" w:cs="Arial" w:eastAsia="Arial" w:hAnsi="Arial"/>
                <w:sz w:val="18"/>
                <w:szCs w:val="18"/>
                <w:color w:val="auto"/>
              </w:rPr>
              <w:t>- $16.49</w:t>
            </w:r>
          </w:p>
        </w:tc>
        <w:tc>
          <w:tcPr>
            <w:tcW w:w="780" w:type="dxa"/>
            <w:vAlign w:val="bottom"/>
          </w:tcPr>
          <w:p>
            <w:pPr>
              <w:jc w:val="right"/>
              <w:spacing w:after="0"/>
              <w:rPr>
                <w:sz w:val="20"/>
                <w:szCs w:val="20"/>
                <w:color w:val="auto"/>
              </w:rPr>
            </w:pPr>
            <w:r>
              <w:rPr>
                <w:rFonts w:ascii="Arial" w:cs="Arial" w:eastAsia="Arial" w:hAnsi="Arial"/>
                <w:sz w:val="18"/>
                <w:szCs w:val="18"/>
                <w:color w:val="auto"/>
              </w:rPr>
              <w:t>1,429</w:t>
            </w: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964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$16.50</w:t>
            </w: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$24.75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1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$24.76</w:t>
            </w:r>
          </w:p>
        </w:tc>
        <w:tc>
          <w:tcPr>
            <w:tcW w:w="3720" w:type="dxa"/>
            <w:vAlign w:val="bottom"/>
          </w:tcPr>
          <w:p>
            <w:pPr>
              <w:ind w:left="20"/>
              <w:spacing w:after="0"/>
              <w:rPr>
                <w:sz w:val="20"/>
                <w:szCs w:val="20"/>
                <w:color w:val="auto"/>
              </w:rPr>
            </w:pPr>
            <w:r>
              <w:rPr>
                <w:rFonts w:ascii="Arial" w:cs="Arial" w:eastAsia="Arial" w:hAnsi="Arial"/>
                <w:sz w:val="18"/>
                <w:szCs w:val="18"/>
                <w:color w:val="auto"/>
              </w:rPr>
              <w:t>- - $37.14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25.60</w:t>
            </w:r>
          </w:p>
        </w:tc>
        <w:tc>
          <w:tcPr>
            <w:tcW w:w="200" w:type="dxa"/>
            <w:vAlign w:val="bottom"/>
            <w:gridSpan w:val="2"/>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1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Restricted Stock Units</w:t>
      </w:r>
    </w:p>
    <w:p>
      <w:pPr>
        <w:spacing w:after="0" w:line="135"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Under our equity incentive plans, restricted stock units may be granted to employees, consultants and outside directors. 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2009</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2008</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15"/>
              <w:spacing w:after="0" w:line="123" w:lineRule="exact"/>
              <w:rPr>
                <w:sz w:val="20"/>
                <w:szCs w:val="20"/>
                <w:color w:val="auto"/>
              </w:rPr>
            </w:pPr>
            <w:r>
              <w:rPr>
                <w:rFonts w:ascii="Arial" w:cs="Arial" w:eastAsia="Arial" w:hAnsi="Arial"/>
                <w:sz w:val="14"/>
                <w:szCs w:val="14"/>
                <w:color w:val="auto"/>
                <w:w w:val="98"/>
              </w:rPr>
              <w:t>Wt. Avg.</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center"/>
              <w:ind w:right="15"/>
              <w:spacing w:after="0" w:line="123" w:lineRule="exact"/>
              <w:rPr>
                <w:sz w:val="20"/>
                <w:szCs w:val="20"/>
                <w:color w:val="auto"/>
              </w:rPr>
            </w:pPr>
            <w:r>
              <w:rPr>
                <w:rFonts w:ascii="Arial" w:cs="Arial" w:eastAsia="Arial" w:hAnsi="Arial"/>
                <w:sz w:val="14"/>
                <w:szCs w:val="14"/>
                <w:color w:val="auto"/>
                <w:w w:val="98"/>
              </w:rPr>
              <w:t>Wt. Avg.</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center"/>
              <w:ind w:right="15"/>
              <w:spacing w:after="0" w:line="123" w:lineRule="exact"/>
              <w:rPr>
                <w:sz w:val="20"/>
                <w:szCs w:val="20"/>
                <w:color w:val="auto"/>
              </w:rPr>
            </w:pPr>
            <w:r>
              <w:rPr>
                <w:rFonts w:ascii="Arial" w:cs="Arial" w:eastAsia="Arial" w:hAnsi="Arial"/>
                <w:sz w:val="14"/>
                <w:szCs w:val="14"/>
                <w:color w:val="auto"/>
                <w:w w:val="98"/>
              </w:rPr>
              <w:t>Wt. Avg.</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540" w:type="dxa"/>
            <w:vAlign w:val="bottom"/>
            <w:gridSpan w:val="2"/>
          </w:tcPr>
          <w:p>
            <w:pPr>
              <w:ind w:left="700"/>
              <w:spacing w:after="0"/>
              <w:rPr>
                <w:sz w:val="20"/>
                <w:szCs w:val="20"/>
                <w:color w:val="auto"/>
              </w:rPr>
            </w:pPr>
            <w:r>
              <w:rPr>
                <w:rFonts w:ascii="Arial" w:cs="Arial" w:eastAsia="Arial" w:hAnsi="Arial"/>
                <w:sz w:val="14"/>
                <w:szCs w:val="14"/>
                <w:i w:val="1"/>
                <w:iCs w:val="1"/>
                <w:color w:val="auto"/>
              </w:rPr>
              <w:t>(in thousands, except per share data)</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Units</w:t>
            </w:r>
          </w:p>
        </w:tc>
        <w:tc>
          <w:tcPr>
            <w:tcW w:w="18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Fair Value</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Units</w:t>
            </w:r>
          </w:p>
        </w:tc>
        <w:tc>
          <w:tcPr>
            <w:tcW w:w="2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Fair Value</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Units</w:t>
            </w:r>
          </w:p>
        </w:tc>
        <w:tc>
          <w:tcPr>
            <w:tcW w:w="2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Fair Value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9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14.60</w:t>
            </w:r>
          </w:p>
        </w:tc>
        <w:tc>
          <w:tcPr>
            <w:tcW w:w="9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15.40</w:t>
            </w:r>
          </w:p>
        </w:tc>
        <w:tc>
          <w:tcPr>
            <w:tcW w:w="9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12.90</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9.28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16.63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Canceled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15.40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14.74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15.59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right"/>
              <w:ind w:right="475"/>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We estimate the fair value of each share-based award on the grant date using the Black-Scholes valuation model.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Estimated forfeitures are required to be included as a part of the grant date expense estimate. We used historical data to estimate expected employee behaviors related to option exercises and forfeitures.</w:t>
      </w:r>
    </w:p>
    <w:p>
      <w:pPr>
        <w:spacing w:after="0" w:line="74"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Arial" w:cs="Arial" w:eastAsia="Arial" w:hAnsi="Arial"/>
                <w:sz w:val="14"/>
                <w:szCs w:val="14"/>
                <w:i w:val="1"/>
                <w:iCs w:val="1"/>
                <w:color w:val="auto"/>
              </w:rPr>
              <w:t>Employee Stock Purchase Plan</w:t>
            </w:r>
          </w:p>
        </w:tc>
        <w:tc>
          <w:tcPr>
            <w:tcW w:w="800" w:type="dxa"/>
            <w:vAlign w:val="bottom"/>
          </w:tcPr>
          <w:p>
            <w:pPr>
              <w:spacing w:after="0"/>
              <w:rPr>
                <w:sz w:val="15"/>
                <w:szCs w:val="15"/>
                <w:color w:val="auto"/>
              </w:rPr>
            </w:pPr>
          </w:p>
        </w:tc>
        <w:tc>
          <w:tcPr>
            <w:tcW w:w="1080" w:type="dxa"/>
            <w:vAlign w:val="bottom"/>
          </w:tcPr>
          <w:p>
            <w:pPr>
              <w:jc w:val="right"/>
              <w:ind w:right="614"/>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860" w:type="dxa"/>
            <w:vAlign w:val="bottom"/>
            <w:gridSpan w:val="2"/>
          </w:tcPr>
          <w:p>
            <w:pPr>
              <w:jc w:val="right"/>
              <w:ind w:right="395"/>
              <w:spacing w:after="0"/>
              <w:rPr>
                <w:sz w:val="20"/>
                <w:szCs w:val="20"/>
                <w:color w:val="auto"/>
              </w:rPr>
            </w:pPr>
            <w:r>
              <w:rPr>
                <w:rFonts w:ascii="Arial" w:cs="Arial" w:eastAsia="Arial" w:hAnsi="Arial"/>
                <w:sz w:val="14"/>
                <w:szCs w:val="14"/>
                <w:color w:val="auto"/>
              </w:rPr>
              <w:t>2009</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350"/>
              <w:spacing w:after="0"/>
              <w:rPr>
                <w:sz w:val="20"/>
                <w:szCs w:val="20"/>
                <w:color w:val="auto"/>
              </w:rPr>
            </w:pPr>
            <w:r>
              <w:rPr>
                <w:rFonts w:ascii="Arial" w:cs="Arial" w:eastAsia="Arial" w:hAnsi="Arial"/>
                <w:sz w:val="14"/>
                <w:szCs w:val="14"/>
                <w:color w:val="auto"/>
                <w:w w:val="89"/>
              </w:rPr>
              <w:t>2008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spacing w:after="0"/>
              <w:rPr>
                <w:sz w:val="18"/>
                <w:szCs w:val="18"/>
                <w:color w:val="auto"/>
              </w:rPr>
            </w:pP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54.7%</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years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0.5 years</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 years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3.57</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2"/>
        </w:trPr>
        <w:tc>
          <w:tcPr>
            <w:tcW w:w="24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4"/>
                <w:szCs w:val="14"/>
                <w:i w:val="1"/>
                <w:iCs w:val="1"/>
                <w:color w:val="auto"/>
              </w:rPr>
              <w:t>Employee Stock Options</w:t>
            </w:r>
          </w:p>
        </w:tc>
        <w:tc>
          <w:tcPr>
            <w:tcW w:w="800" w:type="dxa"/>
            <w:vAlign w:val="bottom"/>
          </w:tcPr>
          <w:p>
            <w:pPr>
              <w:spacing w:after="0"/>
              <w:rPr>
                <w:sz w:val="24"/>
                <w:szCs w:val="24"/>
                <w:color w:val="auto"/>
              </w:rPr>
            </w:pPr>
          </w:p>
        </w:tc>
        <w:tc>
          <w:tcPr>
            <w:tcW w:w="1080" w:type="dxa"/>
            <w:vAlign w:val="bottom"/>
          </w:tcPr>
          <w:p>
            <w:pPr>
              <w:jc w:val="right"/>
              <w:ind w:right="614"/>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24"/>
                <w:szCs w:val="24"/>
                <w:color w:val="auto"/>
              </w:rPr>
            </w:pPr>
          </w:p>
        </w:tc>
        <w:tc>
          <w:tcPr>
            <w:tcW w:w="860" w:type="dxa"/>
            <w:vAlign w:val="bottom"/>
            <w:gridSpan w:val="2"/>
          </w:tcPr>
          <w:p>
            <w:pPr>
              <w:jc w:val="right"/>
              <w:ind w:right="395"/>
              <w:spacing w:after="0"/>
              <w:rPr>
                <w:sz w:val="20"/>
                <w:szCs w:val="20"/>
                <w:color w:val="auto"/>
              </w:rPr>
            </w:pPr>
            <w:r>
              <w:rPr>
                <w:rFonts w:ascii="Arial" w:cs="Arial" w:eastAsia="Arial" w:hAnsi="Arial"/>
                <w:sz w:val="14"/>
                <w:szCs w:val="14"/>
                <w:color w:val="auto"/>
              </w:rPr>
              <w:t>2009</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jc w:val="right"/>
              <w:ind w:right="350"/>
              <w:spacing w:after="0"/>
              <w:rPr>
                <w:sz w:val="20"/>
                <w:szCs w:val="20"/>
                <w:color w:val="auto"/>
              </w:rPr>
            </w:pPr>
            <w:r>
              <w:rPr>
                <w:rFonts w:ascii="Arial" w:cs="Arial" w:eastAsia="Arial" w:hAnsi="Arial"/>
                <w:sz w:val="14"/>
                <w:szCs w:val="14"/>
                <w:color w:val="auto"/>
                <w:w w:val="89"/>
              </w:rPr>
              <w:t>2008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spacing w:after="0"/>
              <w:rPr>
                <w:sz w:val="18"/>
                <w:szCs w:val="18"/>
                <w:color w:val="auto"/>
              </w:rPr>
            </w:pP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45.0%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 years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5.5 years</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 years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2.41</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5"/>
        </w:trPr>
        <w:tc>
          <w:tcPr>
            <w:tcW w:w="24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Restricted Stock Units</w:t>
            </w: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24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gridSpan w:val="2"/>
          </w:tcPr>
          <w:p>
            <w:pPr>
              <w:jc w:val="right"/>
              <w:ind w:right="56"/>
              <w:spacing w:after="0"/>
              <w:rPr>
                <w:sz w:val="20"/>
                <w:szCs w:val="20"/>
                <w:color w:val="auto"/>
              </w:rPr>
            </w:pPr>
            <w:r>
              <w:rPr>
                <w:rFonts w:ascii="Arial" w:cs="Arial" w:eastAsia="Arial" w:hAnsi="Arial"/>
                <w:sz w:val="18"/>
                <w:szCs w:val="18"/>
                <w:color w:val="auto"/>
                <w:w w:val="92"/>
              </w:rPr>
              <w:t>1.7%</w:t>
            </w: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2"/>
              </w:rPr>
              <w:t>2.5%</w:t>
            </w:r>
          </w:p>
        </w:tc>
        <w:tc>
          <w:tcPr>
            <w:tcW w:w="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3"/>
        </w:trPr>
        <w:tc>
          <w:tcPr>
            <w:tcW w:w="7320" w:type="dxa"/>
            <w:vAlign w:val="bottom"/>
            <w:gridSpan w:val="8"/>
          </w:tcPr>
          <w:p>
            <w:pPr>
              <w:jc w:val="right"/>
              <w:ind w:right="35"/>
              <w:spacing w:after="0"/>
              <w:rPr>
                <w:sz w:val="20"/>
                <w:szCs w:val="20"/>
                <w:color w:val="auto"/>
              </w:rPr>
            </w:pPr>
            <w:r>
              <w:rPr>
                <w:rFonts w:ascii="Arial" w:cs="Arial" w:eastAsia="Arial" w:hAnsi="Arial"/>
                <w:sz w:val="18"/>
                <w:szCs w:val="18"/>
                <w:color w:val="auto"/>
                <w:w w:val="89"/>
              </w:rPr>
              <w:t>Reported share-based compensation is classified in the consolidated financial statements as follows: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24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right"/>
              <w:ind w:right="270"/>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24"/>
                <w:szCs w:val="24"/>
                <w:color w:val="auto"/>
              </w:rPr>
            </w:pPr>
          </w:p>
        </w:tc>
        <w:tc>
          <w:tcPr>
            <w:tcW w:w="1000" w:type="dxa"/>
            <w:vAlign w:val="bottom"/>
            <w:gridSpan w:val="3"/>
          </w:tcPr>
          <w:p>
            <w:pPr>
              <w:jc w:val="right"/>
              <w:ind w:right="90"/>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740" w:type="dxa"/>
            <w:vAlign w:val="bottom"/>
            <w:tcBorders>
              <w:top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1,145</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1,886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w:t>
            </w:r>
          </w:p>
        </w:tc>
      </w:tr>
      <w:tr>
        <w:trPr>
          <w:trHeight w:val="223"/>
        </w:trPr>
        <w:tc>
          <w:tcPr>
            <w:tcW w:w="24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share-based compensation</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3,543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3,378</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w:t>
            </w:r>
          </w:p>
        </w:tc>
      </w:tr>
      <w:tr>
        <w:trPr>
          <w:trHeight w:val="223"/>
        </w:trPr>
        <w:tc>
          <w:tcPr>
            <w:tcW w:w="24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share-based compensation, net of tax</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3,543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3,378</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At December 25, 2010, excluding a reduction for forfeitures, we had approximately $3.9 million of pre-tax unrecognized compensation cost related to unvested stock options which is expected to be recognized over a weighted-average period of approximately 2.4 years.</w:t>
      </w:r>
    </w:p>
    <w:p>
      <w:pPr>
        <w:spacing w:after="0" w:line="62" w:lineRule="exact"/>
        <w:rPr>
          <w:sz w:val="20"/>
          <w:szCs w:val="20"/>
          <w:color w:val="auto"/>
        </w:rPr>
      </w:pPr>
    </w:p>
    <w:p>
      <w:pPr>
        <w:ind w:left="460" w:right="100"/>
        <w:spacing w:after="0" w:line="308" w:lineRule="auto"/>
        <w:rPr>
          <w:sz w:val="20"/>
          <w:szCs w:val="20"/>
          <w:color w:val="auto"/>
        </w:rPr>
      </w:pPr>
      <w:r>
        <w:rPr>
          <w:rFonts w:ascii="Arial" w:cs="Arial" w:eastAsia="Arial" w:hAnsi="Arial"/>
          <w:sz w:val="17"/>
          <w:szCs w:val="17"/>
          <w:color w:val="auto"/>
        </w:rPr>
        <w:t>At December 25, 2010, excluding a reduction for forfeitures, we had approximately $4.6 million of pre-tax unrecognized compensation cost related to unvested restricted stock units which is expected to be recognized over a weighted-average period of approximately 2.4 years.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5120" w:type="dxa"/>
            <w:vAlign w:val="bottom"/>
            <w:gridSpan w:val="2"/>
          </w:tcPr>
          <w:p>
            <w:pPr>
              <w:ind w:left="240"/>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(4,025)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Deferred: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U.S. State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rPr>
              <w:t>Total deferred</w:t>
            </w:r>
          </w:p>
        </w:tc>
        <w:tc>
          <w:tcPr>
            <w:tcW w:w="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 consisted of the following:</w:t>
            </w: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20" w:type="dxa"/>
            <w:vAlign w:val="bottom"/>
            <w:gridSpan w:val="2"/>
          </w:tcPr>
          <w:p>
            <w:pPr>
              <w:ind w:left="240"/>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8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(8,430)</w:t>
            </w:r>
          </w:p>
        </w:tc>
        <w:tc>
          <w:tcPr>
            <w:tcW w:w="2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(5,365)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gridSpan w:val="2"/>
          </w:tcPr>
          <w:p>
            <w:pPr>
              <w:ind w:left="700"/>
              <w:spacing w:after="0"/>
              <w:rPr>
                <w:sz w:val="20"/>
                <w:szCs w:val="20"/>
                <w:color w:val="auto"/>
              </w:rPr>
            </w:pPr>
            <w:r>
              <w:rPr>
                <w:rFonts w:ascii="Arial" w:cs="Arial" w:eastAsia="Arial" w:hAnsi="Arial"/>
                <w:sz w:val="14"/>
                <w:szCs w:val="14"/>
                <w:i w:val="1"/>
                <w:iCs w:val="1"/>
                <w:color w:val="auto"/>
              </w:rPr>
              <w:t>(in thousands)</w:t>
            </w: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Inventory, receivable and warranty reserves</w:t>
            </w:r>
          </w:p>
        </w:tc>
        <w:tc>
          <w:tcPr>
            <w:tcW w:w="3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10,446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carryforwards</w:t>
            </w: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6,135</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employee benefits</w:t>
            </w: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Deferred profit</w:t>
            </w: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3,842</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2,593</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Capitalized research expenses, accrued interest and other</w:t>
            </w: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Book over tax depreciation</w:t>
            </w: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deferred tax assets</w:t>
            </w: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(23,295)</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(24,890)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assets</w:t>
            </w: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facilities sale</w:t>
            </w: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10,584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12,239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w:t>
            </w: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620" w:type="dxa"/>
            <w:vAlign w:val="bottom"/>
          </w:tcPr>
          <w:p>
            <w:pPr>
              <w:ind w:left="400"/>
              <w:spacing w:after="0"/>
              <w:rPr>
                <w:sz w:val="20"/>
                <w:szCs w:val="20"/>
                <w:color w:val="auto"/>
              </w:rPr>
            </w:pPr>
            <w:r>
              <w:rPr>
                <w:rFonts w:ascii="Arial" w:cs="Arial" w:eastAsia="Arial" w:hAnsi="Arial"/>
                <w:sz w:val="18"/>
                <w:szCs w:val="18"/>
                <w:color w:val="auto"/>
              </w:rPr>
              <w:t>Total deferred tax liabilities</w:t>
            </w:r>
          </w:p>
        </w:tc>
        <w:tc>
          <w:tcPr>
            <w:tcW w:w="3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13,671</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liabilities</w:t>
            </w:r>
          </w:p>
        </w:tc>
        <w:tc>
          <w:tcPr>
            <w:tcW w:w="3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120" w:type="dxa"/>
            <w:vAlign w:val="bottom"/>
            <w:vMerge w:val="restart"/>
          </w:tcPr>
          <w:p>
            <w:pPr>
              <w:jc w:val="right"/>
              <w:ind w:right="2550"/>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64"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the 2009 and 2010 fiscal year periods.</w:t>
      </w:r>
    </w:p>
    <w:p>
      <w:pPr>
        <w:spacing w:after="0" w:line="79"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After a review of the four sources of taxable income described above and in view of our three-year cumulative U.S. loss, we recorded an increase in our valuation allowance on U.S. DTAs, with a corresponding charge to our income tax provision, of approximately $19.6 million in the second quarter of fiscal 2009. Our valuation allowance on DTAs at December 25, 2010 and December 26, 2009 was approximately $23.3 million and $24.9 million, respectively. The remaining gross DTAs for which a valuation allowance was not recorded are realizable through future reversals of existing taxable temporary differences or loss carryback. As the realization of DTAs is determined by tax jurisdiction, the significant deferred tax liability recorded as part of the 2008 acquisition of Rasco, a German corporation, was not a source of taxable income in assessing the realization of our DTAs in the U.S.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at U.S. 35% statutory rate</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(4,828)</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(2,388)</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(1,051)</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20,562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Foreign income taxed at different rates</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(1,740)</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Federal tax credits</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effective tax rate for state and federal deferred balances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Stock-based compensation on which no tax benefit provided</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 process research and development charge with no tax benefit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14,373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State income taxes, net of federal benefit, have been reduced by research tax credits totaling approximately $0.6 million, $0.6 million and $0.8 million in 2010, 2009 and 2008, respectively.</w:t>
      </w:r>
    </w:p>
    <w:p>
      <w:pPr>
        <w:spacing w:after="0" w:line="62" w:lineRule="exact"/>
        <w:rPr>
          <w:sz w:val="20"/>
          <w:szCs w:val="20"/>
          <w:color w:val="auto"/>
        </w:rPr>
      </w:pPr>
    </w:p>
    <w:p>
      <w:pPr>
        <w:ind w:left="460" w:right="160"/>
        <w:spacing w:after="0" w:line="312" w:lineRule="auto"/>
        <w:rPr>
          <w:sz w:val="20"/>
          <w:szCs w:val="20"/>
          <w:color w:val="auto"/>
        </w:rPr>
      </w:pPr>
      <w:r>
        <w:rPr>
          <w:rFonts w:ascii="Arial" w:cs="Arial" w:eastAsia="Arial" w:hAnsi="Arial"/>
          <w:sz w:val="16"/>
          <w:szCs w:val="16"/>
          <w:color w:val="auto"/>
        </w:rPr>
        <w:t>At December 25, 2010, we had state and foreign net operating loss carryforwards of approximately $19.8 million and $0.2 million, respectively, that expire in various tax years through 2031. We also have federal and state tax credit carryforwards at December 25, 2010 of approximately $1.6 million and $8.7 million, respectively, certain of which expire in various tax years beginning in 2014 through 2030 or have no expiration date.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U.S. income taxes have not been provided on approximately $15 million of accumulated undistributed earnings of certain foreign subsidiaries, as we currently intend to indefinitely reinvest these earnings in operations outside the U.S. It is not practicable to estimate the amount of tax that might be payable if some or all of such earnings were to be remitted.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our gross unrecognized tax benefits is as follows: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4,562</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Gross additions based on tax positions related to the current year</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additions (reductions) for tax positions of prior years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Reductions as a result of a lapse of the statute of limitations</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Reductions as a result of settlements with tax authorities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If the unrecognized tax benefits at December 25, 2010 are ultimately recognized, approximately $3.0 million would result in a reduction in our income tax expense and effective tax rate. We do not expect that the total amount of unrecognized tax benefits will significantly change over the next 12 months.</w:t>
      </w:r>
    </w:p>
    <w:p>
      <w:pPr>
        <w:spacing w:after="0" w:line="73"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$0.6 million and $0.6 million accrued for the payment of interest at December 25, 2010 and December 26, 2009, respectively. Interest expense recognized in 2010, 2009 and 2008 was approximately $0.1 million, $0.1 million and $0.1 million, respectively.</w:t>
      </w:r>
    </w:p>
    <w:p>
      <w:pPr>
        <w:spacing w:after="0" w:line="73"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In 2009 and 2010 we concluded routine examinations by the Internal Revenue Service of our 2005 to 2008 U.S. income tax returns without any material adjustments. In 2010 the Internal Revenue Service commenced a routine examination of our 2009 U.S. income tax return as a result of our net operating loss carryback. This examination was concluded in 2010 without any material adjustments.</w:t>
      </w:r>
    </w:p>
    <w:p>
      <w:pPr>
        <w:spacing w:after="0" w:line="73"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Our U.S. federal and state income tax returns for years after 2005 remain open to examination, subject to the statute of limitations. The statute of limitations for the assessment and collection of income taxes related to our foreign tax returns varies by country. In the foreign countries where we have significant operations these time periods generally range from four to six years after the year for which the tax is due.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21" w:lineRule="exact"/>
        <w:rPr>
          <w:rFonts w:ascii="Arial" w:cs="Arial" w:eastAsia="Arial" w:hAnsi="Arial"/>
          <w:sz w:val="18"/>
          <w:szCs w:val="18"/>
          <w:b w:val="1"/>
          <w:bCs w:val="1"/>
          <w:color w:val="auto"/>
        </w:rPr>
      </w:pPr>
    </w:p>
    <w:p>
      <w:pPr>
        <w:jc w:val="both"/>
        <w:ind w:left="46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Our reportable segments are business units that offer different products and are managed separately because each business requires different technology and marketing strategies. Our three segments are: semiconductor equipment, microwave communications and video cameras. As discussed in Note 2, in December 2008, we purchased Rasco, which has been included in our semiconductor equipment segment since that date.</w:t>
      </w:r>
    </w:p>
    <w:p>
      <w:pPr>
        <w:spacing w:after="0" w:line="38"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by industry segment is presented below</w:t>
      </w:r>
      <w:r>
        <w:rPr>
          <w:rFonts w:ascii="Arial" w:cs="Arial" w:eastAsia="Arial" w:hAnsi="Arial"/>
          <w:sz w:val="18"/>
          <w:szCs w:val="18"/>
          <w:i w:val="1"/>
          <w:i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20" w:type="dxa"/>
            <w:vAlign w:val="bottom"/>
            <w:gridSpan w:val="2"/>
          </w:tcPr>
          <w:p>
            <w:pPr>
              <w:ind w:left="70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51"/>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w w:val="89"/>
              </w:rPr>
              <w:t>$ 273,566</w:t>
            </w:r>
          </w:p>
        </w:tc>
        <w:tc>
          <w:tcPr>
            <w:tcW w:w="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119,998</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152,136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31,705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34,093</w:t>
            </w:r>
          </w:p>
        </w:tc>
        <w:tc>
          <w:tcPr>
            <w:tcW w:w="2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29,224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Video cameras</w:t>
            </w:r>
          </w:p>
        </w:tc>
        <w:tc>
          <w:tcPr>
            <w:tcW w:w="2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17,396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18,299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9"/>
              </w:rPr>
              <w:t>$ 322,667</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171,261</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199,659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700"/>
              <w:spacing w:after="0"/>
              <w:rPr>
                <w:sz w:val="20"/>
                <w:szCs w:val="20"/>
                <w:color w:val="auto"/>
              </w:rPr>
            </w:pPr>
            <w:r>
              <w:rPr>
                <w:rFonts w:ascii="Arial" w:cs="Arial" w:eastAsia="Arial" w:hAnsi="Arial"/>
                <w:sz w:val="18"/>
                <w:szCs w:val="18"/>
                <w:i w:val="1"/>
                <w:iCs w:val="1"/>
                <w:color w:val="auto"/>
              </w:rPr>
              <w:t>Segment profit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29,654</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(17,704)</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3,679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Video cameras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Profit (loss) for reportable segments</w:t>
            </w: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33,894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(11,063)</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(4,217)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4"/>
              </w:rPr>
              <w:t>(4,032)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(4,116)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(2,577)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30,238</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(13,795)</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920" w:type="dxa"/>
            <w:vAlign w:val="bottom"/>
            <w:gridSpan w:val="2"/>
          </w:tcPr>
          <w:p>
            <w:pPr>
              <w:ind w:left="70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Depreciation and amortization by segment deducted in arriving at profit (loss):</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3,596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3,088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Video cameras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Intangible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6,255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depreciation and amortization for reportable segments</w:t>
            </w: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$ 10,988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11,029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700"/>
              <w:spacing w:after="0"/>
              <w:rPr>
                <w:sz w:val="20"/>
                <w:szCs w:val="20"/>
                <w:color w:val="auto"/>
              </w:rPr>
            </w:pPr>
            <w:r>
              <w:rPr>
                <w:rFonts w:ascii="Arial" w:cs="Arial" w:eastAsia="Arial" w:hAnsi="Arial"/>
                <w:sz w:val="18"/>
                <w:szCs w:val="18"/>
                <w:i w:val="1"/>
                <w:iCs w:val="1"/>
                <w:color w:val="auto"/>
              </w:rPr>
              <w:t>Capital expenditures by segment:</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Video cameras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Total consolidated capital expenditures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56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7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72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Semiconductor equipment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$ 255,246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216,818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206,199</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Microwave communications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22,793</w:t>
            </w:r>
          </w:p>
        </w:tc>
      </w:tr>
      <w:tr>
        <w:trPr>
          <w:trHeight w:val="216"/>
        </w:trPr>
        <w:tc>
          <w:tcPr>
            <w:tcW w:w="2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Video cameras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10,082</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10,458</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 for reportable segments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247,837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239,450</w:t>
            </w:r>
          </w:p>
        </w:tc>
      </w:tr>
      <w:tr>
        <w:trPr>
          <w:trHeight w:val="216"/>
        </w:trPr>
        <w:tc>
          <w:tcPr>
            <w:tcW w:w="2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Corporate, principally cash and investments and deferred taxes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71,893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82,281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104,719</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consolidated assets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$ 366,043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330,118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344,169</w:t>
            </w: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Customers from the semiconductor equipment segment comprising 10% or greater of our consolidated net sales are summarized as follows:</w:t>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2010</w:t>
            </w: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2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Texas Instruments</w:t>
            </w:r>
          </w:p>
        </w:tc>
        <w:tc>
          <w:tcPr>
            <w:tcW w:w="298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Advanced Micro Devices</w:t>
            </w:r>
          </w:p>
        </w:tc>
        <w:tc>
          <w:tcPr>
            <w:tcW w:w="2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188595</wp:posOffset>
            </wp:positionV>
            <wp:extent cx="1226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44" w:lineRule="exact"/>
        <w:rPr>
          <w:sz w:val="20"/>
          <w:szCs w:val="20"/>
          <w:color w:val="auto"/>
        </w:rPr>
      </w:pPr>
    </w:p>
    <w:p>
      <w:pPr>
        <w:ind w:left="1120" w:hanging="42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10% of net sales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to customers, attributed to countries based on product shipment destination, were as follows: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64,992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57,935</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70,659</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Malaysia</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52,539</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22,099</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26,254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51,659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50,454</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21,076</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26,650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21,186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18,148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22,442</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Rest of the World</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81,837</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41,386</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43,714</w:t>
            </w: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171,261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199,659</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 location of our property, plant and equipment and other long-lived assets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0" w:type="dxa"/>
            <w:vAlign w:val="bottom"/>
            <w:gridSpan w:val="2"/>
          </w:tcPr>
          <w:p>
            <w:pPr>
              <w:ind w:left="700"/>
              <w:spacing w:after="0"/>
              <w:rPr>
                <w:sz w:val="20"/>
                <w:szCs w:val="20"/>
                <w:color w:val="auto"/>
              </w:rPr>
            </w:pPr>
            <w:r>
              <w:rPr>
                <w:rFonts w:ascii="Arial" w:cs="Arial" w:eastAsia="Arial" w:hAnsi="Arial"/>
                <w:sz w:val="14"/>
                <w:szCs w:val="14"/>
                <w:i w:val="1"/>
                <w:iCs w:val="1"/>
                <w:color w:val="auto"/>
              </w:rPr>
              <w:t>(in thousands)</w:t>
            </w: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Property, plant and equipment:</w:t>
            </w:r>
          </w:p>
        </w:tc>
        <w:tc>
          <w:tcPr>
            <w:tcW w:w="3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United States</w:t>
            </w:r>
          </w:p>
        </w:tc>
        <w:tc>
          <w:tcPr>
            <w:tcW w:w="38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26,440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24,930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Asia (Singapore, Taiwan and the Philippines)</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4,157</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w:t>
            </w:r>
          </w:p>
        </w:tc>
        <w:tc>
          <w:tcPr>
            <w:tcW w:w="3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700"/>
              <w:spacing w:after="0"/>
              <w:rPr>
                <w:sz w:val="20"/>
                <w:szCs w:val="20"/>
                <w:color w:val="auto"/>
              </w:rPr>
            </w:pPr>
            <w:r>
              <w:rPr>
                <w:rFonts w:ascii="Arial" w:cs="Arial" w:eastAsia="Arial" w:hAnsi="Arial"/>
                <w:sz w:val="18"/>
                <w:szCs w:val="18"/>
                <w:i w:val="1"/>
                <w:iCs w:val="1"/>
                <w:color w:val="auto"/>
              </w:rPr>
              <w:t>Goodwill and other intangible assets:</w:t>
            </w:r>
          </w:p>
        </w:tc>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00" w:type="dxa"/>
            <w:vAlign w:val="bottom"/>
            <w:gridSpan w:val="2"/>
            <w:vMerge w:val="continue"/>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60,981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71,785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United States</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17,482</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18,904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Total, net</w:t>
            </w:r>
          </w:p>
        </w:tc>
        <w:tc>
          <w:tcPr>
            <w:tcW w:w="3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85,021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97,247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40" w:type="dxa"/>
            <w:vAlign w:val="bottom"/>
            <w:vMerge w:val="restart"/>
          </w:tcPr>
          <w:p>
            <w:pPr>
              <w:jc w:val="right"/>
              <w:ind w:right="2550"/>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November, 1996, we adopted a Stockholder Rights Plan (“Rights Plan”) and declared a dividend distribution of one Preferred Stock Purchase Right (“Right”) for each share of common stock, payable to holders of record on December 3, 1996. Under the Rights Plan, each stockholder received one Right for each share of common stock owned. Each Right entitled the holder to buy one one-hundredth (1/100) of a share of Cohu’s Series A Preferred Stock for $90. As a result of the two-for-one stock split in September, 1999, each share of common stock was associated with one-half of a Right entitling the holder to purchase one two-hundredth (1/200) of a share of Series A Preferred Stock for $45. In November, 2006, we amended and restated our existing Rights Plan to extend its term to November 9, 2016 and make certain other changes. Pursuant to the amendment, to reflect the increase in the price of our common stock since the adoption of the Rights Plan, the exercise price of each Right was increased to $190. Consequently, each one-half of a Right entitles the holder to purchase one two-hundredth (1/200) of a share of Series A Preferred Stock for $95.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9, 2016, and we may redeem them for $0.001 per Right. The Rights do not have voting or dividend rights and, until they become exercisable, have no dilutive effect on our earnings per share.</w:t>
      </w:r>
    </w:p>
    <w:p>
      <w:pPr>
        <w:spacing w:after="0" w:line="62" w:lineRule="exact"/>
        <w:rPr>
          <w:rFonts w:ascii="Arial" w:cs="Arial" w:eastAsia="Arial" w:hAnsi="Arial"/>
          <w:sz w:val="18"/>
          <w:szCs w:val="18"/>
          <w:b w:val="1"/>
          <w:bCs w:val="1"/>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jc w:val="both"/>
        <w:ind w:left="460" w:right="6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lease certain of our facilities and equipment under non-cancelable operating leases. Rental expense for the years 2010, 2009 and 2008 was approximately $1.3 million, $1.1 million and $1.7 million, respectively. Future minimum lease payments at December 25, 2010 are as follows:</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2015</w:t>
            </w: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Thereafter</w:t>
            </w: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Total</w:t>
            </w:r>
          </w:p>
        </w:tc>
      </w:tr>
      <w:tr>
        <w:trPr>
          <w:trHeight w:val="209"/>
        </w:trPr>
        <w:tc>
          <w:tcPr>
            <w:tcW w:w="2140" w:type="dxa"/>
            <w:vAlign w:val="bottom"/>
          </w:tcPr>
          <w:p>
            <w:pPr>
              <w:spacing w:after="0"/>
              <w:rPr>
                <w:sz w:val="20"/>
                <w:szCs w:val="20"/>
                <w:color w:val="auto"/>
              </w:rPr>
            </w:pPr>
            <w:r>
              <w:rPr>
                <w:rFonts w:ascii="Arial" w:cs="Arial" w:eastAsia="Arial" w:hAnsi="Arial"/>
                <w:sz w:val="18"/>
                <w:szCs w:val="18"/>
                <w:color w:val="auto"/>
              </w:rPr>
              <w:t>Non-cancelable operating</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140" w:type="dxa"/>
            <w:vAlign w:val="bottom"/>
          </w:tcPr>
          <w:p>
            <w:pPr>
              <w:ind w:left="200"/>
              <w:spacing w:after="0"/>
              <w:rPr>
                <w:sz w:val="20"/>
                <w:szCs w:val="20"/>
                <w:color w:val="auto"/>
              </w:rPr>
            </w:pPr>
            <w:r>
              <w:rPr>
                <w:rFonts w:ascii="Arial" w:cs="Arial" w:eastAsia="Arial" w:hAnsi="Arial"/>
                <w:sz w:val="18"/>
                <w:szCs w:val="18"/>
                <w:color w:val="auto"/>
              </w:rPr>
              <w:t>leases</w:t>
            </w:r>
          </w:p>
        </w:tc>
        <w:tc>
          <w:tcPr>
            <w:tcW w:w="900" w:type="dxa"/>
            <w:vAlign w:val="bottom"/>
          </w:tcPr>
          <w:p>
            <w:pPr>
              <w:jc w:val="right"/>
              <w:ind w:right="45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796</w:t>
            </w:r>
          </w:p>
        </w:tc>
        <w:tc>
          <w:tcPr>
            <w:tcW w:w="740" w:type="dxa"/>
            <w:vAlign w:val="bottom"/>
          </w:tcPr>
          <w:p>
            <w:pPr>
              <w:jc w:val="right"/>
              <w:ind w:right="45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427</w:t>
            </w:r>
          </w:p>
        </w:tc>
        <w:tc>
          <w:tcPr>
            <w:tcW w:w="7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285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175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1160" w:type="dxa"/>
            <w:vAlign w:val="bottom"/>
          </w:tcPr>
          <w:p>
            <w:pPr>
              <w:ind w:left="60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1,683</w:t>
            </w:r>
          </w:p>
        </w:tc>
      </w:tr>
    </w:tbl>
    <w:p>
      <w:pPr>
        <w:spacing w:after="0" w:line="94" w:lineRule="exact"/>
        <w:rPr>
          <w:sz w:val="20"/>
          <w:szCs w:val="20"/>
          <w:color w:val="auto"/>
        </w:rPr>
      </w:pPr>
    </w:p>
    <w:p>
      <w:pPr>
        <w:ind w:left="460" w:right="320"/>
        <w:spacing w:after="0" w:line="312" w:lineRule="auto"/>
        <w:rPr>
          <w:sz w:val="20"/>
          <w:szCs w:val="20"/>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3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three-year period ended December 25, 2010 were as follows: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73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4,924</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Warranty accruals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3,383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During the ordinary course of business, we provide standby letters of credit instruments to certain parties as required. At December 25, 2010, the maximum potential amount of future payments that we could be required to make under these standby letters of credit was approximately $0.7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James A. Donahue, Chairman, President and CEO of Cohu, and Steven J. Bilodeau, a member of the Cohu Board of Directors, are both members of the Board of Directors of Standard Microsystems Corporation (“SMSC”), a customer of our semiconductor equipment segment. During 2010, 2009 and 2008, total sales to SMSC were approximately $0.4 million, $1.0 million, and $1.1 million, respectively.</w:t>
      </w:r>
    </w:p>
    <w:p>
      <w:pPr>
        <w:spacing w:after="0" w:line="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Quarter</w:t>
            </w: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First (a)</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w w:val="96"/>
              </w:rPr>
              <w:t>Second (a)</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Third (a)</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Fourth (a)</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42"/>
        </w:trPr>
        <w:tc>
          <w:tcPr>
            <w:tcW w:w="292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data)</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64,830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74,869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86,066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96,902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322,667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36,582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38,424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44,062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52,193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171,261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19,999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27,428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30,077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32,491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7,395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12,328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16,217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16,448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52,388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770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(28,168)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(c):</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80"/>
              <w:spacing w:after="0"/>
              <w:rPr>
                <w:sz w:val="20"/>
                <w:szCs w:val="20"/>
                <w:color w:val="auto"/>
              </w:rPr>
            </w:pPr>
            <w:r>
              <w:rPr>
                <w:rFonts w:ascii="Arial" w:cs="Arial" w:eastAsia="Arial" w:hAnsi="Arial"/>
                <w:sz w:val="18"/>
                <w:szCs w:val="18"/>
                <w:color w:val="auto"/>
              </w:rPr>
              <w:t>Basic</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188595</wp:posOffset>
            </wp:positionV>
            <wp:extent cx="12261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44" w:lineRule="exact"/>
        <w:rPr>
          <w:sz w:val="20"/>
          <w:szCs w:val="20"/>
          <w:color w:val="auto"/>
        </w:rPr>
      </w:pPr>
    </w:p>
    <w:p>
      <w:pPr>
        <w:ind w:left="1080" w:hanging="387"/>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four quarters during 2010 and 2009 was comprised of 13 weeks.</w:t>
      </w:r>
    </w:p>
    <w:p>
      <w:pPr>
        <w:spacing w:after="0" w:line="76" w:lineRule="exact"/>
        <w:rPr>
          <w:rFonts w:ascii="Arial" w:cs="Arial" w:eastAsia="Arial" w:hAnsi="Arial"/>
          <w:sz w:val="18"/>
          <w:szCs w:val="18"/>
          <w:color w:val="auto"/>
        </w:rPr>
      </w:pPr>
    </w:p>
    <w:p>
      <w:pPr>
        <w:ind w:left="1080" w:right="1900" w:hanging="387"/>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second quarter of 2009 includes a charge of $19.6 million, for an increase in the valuation allowance against our deferred tax assets.</w:t>
      </w:r>
    </w:p>
    <w:p>
      <w:pPr>
        <w:spacing w:after="0" w:line="21" w:lineRule="exact"/>
        <w:rPr>
          <w:rFonts w:ascii="Arial" w:cs="Arial" w:eastAsia="Arial" w:hAnsi="Arial"/>
          <w:sz w:val="18"/>
          <w:szCs w:val="18"/>
          <w:color w:val="auto"/>
        </w:rPr>
      </w:pPr>
    </w:p>
    <w:p>
      <w:pPr>
        <w:ind w:left="1080" w:hanging="387"/>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audited the accompanying consolidated balance sheets of Cohu, Inc. as of December 25, 2010 and December 26, 2009, and the related consolidated statements of operations, stockholders’ equity, and cash flows for each of the three years in the period ended December 25, 2010. Our audits also included the financial statement schedule listed in the Index at Item 15(a). These financial statements and schedule are the responsibility of the Company’s management. Our responsibility is to express an opinion on these financial statements and the schedule based on our audits.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25, 2010 and December 26, 2009, and the consolidated results of its operations and its cash flows for each of the three years in the period ended December 25,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4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Cohu, Inc.’s internal control over financial reporting as of December 25, 2010, based on criteria established in Internal Control—Integrated Framework issued by the Committee of Sponsoring Organizations of the Treadway Commission and our report dated February 23, 2011 expressed an unqualified opinion thereon.</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2011</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 The following exhibits are filed as part of, or incorporated into, the 2010 Cohu, Inc. Annual Report on Form 10-K: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6"/>
              </w:rPr>
              <w:t>Amended and Restated Certificate of Incorporation of Cohu, Inc. incorporated herein by reference to Exhibit 3.1(a) from the Cohu, Inc.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of Cohu, Inc. incorporated herein by reference from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Cohu, Inc. Form S-8 filed June 30, 2000, Exhibit 4.1(a)</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and Restated Bylaws of Cohu, Inc. incorporated herein by reference to Exhibit 3.2 from the Cohu, Inc. Current Report on Form 8-K</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 Agent,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herein by reference from the Cohu, Inc. Current Report on Form 8-K, filed with the Securities and Exchange Commission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13, 2006, Exhibit 99.1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Cohu, Inc. 2005 Equity Incentive Plan, incorporated herein by reference from the Cohu, Inc. Current Report on Form 8-K filed with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May 13, 2009, Exhibit 10.1*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Cohu, Inc. 1997 Employee Stock Purchase Plan, incorporated herein by reference from the Cohu, Inc. Current Report on Form 8-K</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May 10, 2006, Exhibit 10.2*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Cohu, Inc. Deferred Compensation Plan (as amended and restated) incorporated herein by reference from the Cohu, Inc. Current Report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filed with the Securities and Exchange Commission on December 29, 2008, Exhibit 10.1*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stock option agreement for use with stock options granted pursuant to the Cohu, Inc. 2005 Equity Incentive Plan incorporated herein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by reference from the Cohu, Inc. Current Report on Form 8-K filed with the Securities and Exchange Commission on August 7, 2006*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Restricted stock unit agreement for use with restricted stock units granted pursuant to the Cohu, Inc. 2005 Equity Incentive Plan incorporated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herein by reference from the Cohu, Inc. Current Report on Form 8-K filed with the Securities and Exchange Commission on April 20, 2006*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Share Purchase and Transfer Agreement dated December 5, 2008 by and among Delta Design, Inc. (and certain of its subsidiaries) and Dover</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Electronic Technologies, Inc. (and certain of its subsidiaries), incorporated herein by reference from the Cohu, Inc. Current Report on Form 8-</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K filed with the Securities and Exchange Commission on December 11, 2008, Exhibit 10.1</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1"/>
              <w:spacing w:after="0"/>
              <w:rPr>
                <w:sz w:val="20"/>
                <w:szCs w:val="20"/>
                <w:color w:val="auto"/>
              </w:rPr>
            </w:pPr>
            <w:r>
              <w:rPr>
                <w:rFonts w:ascii="Arial" w:cs="Arial" w:eastAsia="Arial" w:hAnsi="Arial"/>
                <w:sz w:val="18"/>
                <w:szCs w:val="18"/>
                <w:color w:val="auto"/>
              </w:rPr>
              <w:t>53</w:t>
            </w:r>
          </w:p>
        </w:tc>
      </w:tr>
      <w:tr>
        <w:trPr>
          <w:trHeight w:val="226"/>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3"/>
              </w:rPr>
              <w:t>Asset Purchase Agreement dated December 9, 2008 by and between a subsidiary of Delta Design, Inc. and certain subsidiaries of Dover</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Electronic Technologies, Inc., incorporated herein by reference from the Cohu, Inc. Current Report on Form 8-K filed with the Securities and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Exchange Commission on December 11, 2008, Exhibit 10.2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Capital Equipment, Goods and Services Agreement, dated January 10, 2007, by and between Delta and Intel Corporation, incorporated by</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the Cohu, Inc. Current Report on Form 8-K filed April 25, 2007, Exhibit 99.1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Business Agreement and Addendum by and between Advanced Micro Devices, Inc. and Delta Design, Inc. incorporated by reference from</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Cohu, Inc. Current Report on Form 8-K filed February 22, 2006, Exhibit 99.1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Cohu, Inc. Retiree Health Benefits Agreement (as amended) incorporated herein by reference from the Cohu, Inc. Current Report on Form 8-</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K filed with the Securities and Exchange Commission on December 29, 2008, Exhibit 10.2*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Cohu, Inc. Change in Control Agreement incorporated herein by reference from the Cohu, Inc. Current Report on Form 8-K filed with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December 29, 2008, Exhibit 10.3*</w:t>
            </w:r>
          </w:p>
        </w:tc>
      </w:tr>
    </w:tbl>
    <w:p>
      <w:pPr>
        <w:spacing w:after="0" w:line="202" w:lineRule="exact"/>
        <w:rPr>
          <w:sz w:val="20"/>
          <w:szCs w:val="20"/>
          <w:color w:val="auto"/>
        </w:rPr>
      </w:pPr>
    </w:p>
    <w:p>
      <w:pPr>
        <w:ind w:left="1160" w:right="580" w:hanging="115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Cohu, Inc. Code of Business Conduct and Ethics, incorporated herein by reference from the Cohu 2003 Annual Report on Form 10-K, Exhibit 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21</w:t>
            </w:r>
          </w:p>
        </w:tc>
        <w:tc>
          <w:tcPr>
            <w:tcW w:w="2420" w:type="dxa"/>
            <w:vAlign w:val="bottom"/>
          </w:tcPr>
          <w:p>
            <w:pPr>
              <w:ind w:left="420"/>
              <w:spacing w:after="0"/>
              <w:rPr>
                <w:sz w:val="20"/>
                <w:szCs w:val="20"/>
                <w:color w:val="auto"/>
              </w:rPr>
            </w:pPr>
            <w:r>
              <w:rPr>
                <w:rFonts w:ascii="Arial" w:cs="Arial" w:eastAsia="Arial" w:hAnsi="Arial"/>
                <w:sz w:val="18"/>
                <w:szCs w:val="18"/>
                <w:color w:val="auto"/>
                <w:w w:val="96"/>
              </w:rPr>
              <w:t>Subsidiaries of Cohu, Inc.</w:t>
            </w:r>
          </w:p>
        </w:tc>
        <w:tc>
          <w:tcPr>
            <w:tcW w:w="8120" w:type="dxa"/>
            <w:vAlign w:val="bottom"/>
          </w:tcPr>
          <w:p>
            <w:pPr>
              <w:spacing w:after="0"/>
              <w:rPr>
                <w:sz w:val="20"/>
                <w:szCs w:val="20"/>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w:t>
            </w:r>
          </w:p>
        </w:tc>
        <w:tc>
          <w:tcPr>
            <w:tcW w:w="10540" w:type="dxa"/>
            <w:vAlign w:val="bottom"/>
            <w:gridSpan w:val="2"/>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gridSpan w:val="2"/>
          </w:tcPr>
          <w:p>
            <w:pPr>
              <w:ind w:left="420"/>
              <w:spacing w:after="0"/>
              <w:rPr>
                <w:sz w:val="20"/>
                <w:szCs w:val="20"/>
                <w:color w:val="auto"/>
              </w:rPr>
            </w:pPr>
            <w:r>
              <w:rPr>
                <w:rFonts w:ascii="Arial" w:cs="Arial" w:eastAsia="Arial" w:hAnsi="Arial"/>
                <w:sz w:val="18"/>
                <w:szCs w:val="18"/>
                <w:color w:val="auto"/>
              </w:rPr>
              <w:t>Certification pursuant to Section 302(a) of the Sarbanes-Oxley Act of 2002 for James A. Donahue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gridSpan w:val="2"/>
          </w:tcPr>
          <w:p>
            <w:pPr>
              <w:ind w:left="420"/>
              <w:spacing w:after="0"/>
              <w:rPr>
                <w:sz w:val="20"/>
                <w:szCs w:val="20"/>
                <w:color w:val="auto"/>
              </w:rPr>
            </w:pPr>
            <w:r>
              <w:rPr>
                <w:rFonts w:ascii="Arial" w:cs="Arial" w:eastAsia="Arial" w:hAnsi="Arial"/>
                <w:sz w:val="18"/>
                <w:szCs w:val="18"/>
                <w:color w:val="auto"/>
              </w:rPr>
              <w:t>Certification pursuant to Section 302(a) of the Sarbanes-Oxley Act of 2002 for Jeffrey D. Jones</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2420" w:type="dxa"/>
            <w:vAlign w:val="bottom"/>
          </w:tcPr>
          <w:p>
            <w:pPr>
              <w:ind w:left="420"/>
              <w:spacing w:after="0"/>
              <w:rPr>
                <w:sz w:val="20"/>
                <w:szCs w:val="20"/>
                <w:color w:val="auto"/>
              </w:rPr>
            </w:pPr>
            <w:r>
              <w:rPr>
                <w:rFonts w:ascii="Arial" w:cs="Arial" w:eastAsia="Arial" w:hAnsi="Arial"/>
                <w:sz w:val="18"/>
                <w:szCs w:val="18"/>
                <w:color w:val="auto"/>
                <w:w w:val="92"/>
              </w:rPr>
              <w:t>Certification pursuant to 18</w:t>
            </w:r>
          </w:p>
        </w:tc>
        <w:tc>
          <w:tcPr>
            <w:tcW w:w="8120" w:type="dxa"/>
            <w:vAlign w:val="bottom"/>
          </w:tcPr>
          <w:p>
            <w:pPr>
              <w:ind w:left="20"/>
              <w:spacing w:after="0"/>
              <w:rPr>
                <w:sz w:val="20"/>
                <w:szCs w:val="20"/>
                <w:color w:val="auto"/>
              </w:rPr>
            </w:pPr>
            <w:r>
              <w:rPr>
                <w:rFonts w:ascii="Arial" w:cs="Arial" w:eastAsia="Arial" w:hAnsi="Arial"/>
                <w:sz w:val="18"/>
                <w:szCs w:val="18"/>
                <w:color w:val="auto"/>
                <w:w w:val="95"/>
              </w:rPr>
              <w:t>U.S.C. Section 1350, as adopted pursuant to Section 906 of the Sarbanes-Oxley Act of 2002 for James A.</w:t>
            </w:r>
          </w:p>
        </w:tc>
      </w:tr>
      <w:tr>
        <w:trPr>
          <w:trHeight w:val="230"/>
        </w:trPr>
        <w:tc>
          <w:tcPr>
            <w:tcW w:w="74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Donahue</w:t>
            </w:r>
          </w:p>
        </w:tc>
        <w:tc>
          <w:tcPr>
            <w:tcW w:w="8120" w:type="dxa"/>
            <w:vAlign w:val="bottom"/>
          </w:tcPr>
          <w:p>
            <w:pPr>
              <w:spacing w:after="0"/>
              <w:rPr>
                <w:sz w:val="20"/>
                <w:szCs w:val="20"/>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2420" w:type="dxa"/>
            <w:vAlign w:val="bottom"/>
          </w:tcPr>
          <w:p>
            <w:pPr>
              <w:ind w:left="420"/>
              <w:spacing w:after="0"/>
              <w:rPr>
                <w:sz w:val="20"/>
                <w:szCs w:val="20"/>
                <w:color w:val="auto"/>
              </w:rPr>
            </w:pPr>
            <w:r>
              <w:rPr>
                <w:rFonts w:ascii="Arial" w:cs="Arial" w:eastAsia="Arial" w:hAnsi="Arial"/>
                <w:sz w:val="18"/>
                <w:szCs w:val="18"/>
                <w:color w:val="auto"/>
                <w:w w:val="92"/>
              </w:rPr>
              <w:t>Certification pursuant to 18</w:t>
            </w:r>
          </w:p>
        </w:tc>
        <w:tc>
          <w:tcPr>
            <w:tcW w:w="8120" w:type="dxa"/>
            <w:vAlign w:val="bottom"/>
          </w:tcPr>
          <w:p>
            <w:pPr>
              <w:ind w:left="20"/>
              <w:spacing w:after="0"/>
              <w:rPr>
                <w:sz w:val="20"/>
                <w:szCs w:val="20"/>
                <w:color w:val="auto"/>
              </w:rPr>
            </w:pPr>
            <w:r>
              <w:rPr>
                <w:rFonts w:ascii="Arial" w:cs="Arial" w:eastAsia="Arial" w:hAnsi="Arial"/>
                <w:sz w:val="18"/>
                <w:szCs w:val="18"/>
                <w:color w:val="auto"/>
                <w:w w:val="89"/>
              </w:rPr>
              <w:t>U.S.C. Section 1350, as adopted pursuant to Section 906 of the Sarbanes-Oxley Act of 2002 for Jeffrey D. Jones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COHU,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23, 2011</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James A. Donahue</w:t>
            </w: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A. Donahue</w:t>
            </w: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31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4"/>
                <w:szCs w:val="14"/>
                <w:color w:val="auto"/>
              </w:rPr>
            </w:pPr>
          </w:p>
        </w:tc>
        <w:tc>
          <w:tcPr>
            <w:tcW w:w="6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4"/>
                <w:szCs w:val="14"/>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26"/>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Donahue</w:t>
            </w:r>
          </w:p>
        </w:tc>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President and Chief Executive Officer, Director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w w:val="99"/>
              </w:rPr>
              <w:t>February 23, 2011</w:t>
            </w: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James A. Donahue</w:t>
            </w:r>
          </w:p>
        </w:tc>
        <w:tc>
          <w:tcPr>
            <w:tcW w:w="3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w w:val="99"/>
              </w:rPr>
              <w:t>February 23, 2011</w:t>
            </w: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Jeffrey D. Jones</w:t>
            </w:r>
          </w:p>
        </w:tc>
        <w:tc>
          <w:tcPr>
            <w:tcW w:w="3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J. Bilodeau</w:t>
            </w:r>
          </w:p>
        </w:tc>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w w:val="99"/>
              </w:rPr>
              <w:t>February 23, 2011</w:t>
            </w: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Steven J. Bilodeau</w:t>
            </w:r>
          </w:p>
        </w:tc>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L. Casari</w:t>
            </w:r>
          </w:p>
        </w:tc>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w w:val="99"/>
              </w:rPr>
              <w:t>February 23, 2011</w:t>
            </w: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Harry L. Casari</w:t>
            </w:r>
          </w:p>
        </w:tc>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Ciardella</w:t>
            </w:r>
          </w:p>
        </w:tc>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w w:val="99"/>
              </w:rPr>
              <w:t>February 23, 2011</w:t>
            </w: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Robert L. Ciardella</w:t>
            </w:r>
          </w:p>
        </w:tc>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Harrigian</w:t>
            </w:r>
          </w:p>
        </w:tc>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w w:val="99"/>
              </w:rPr>
              <w:t>February 23, 2011</w:t>
            </w: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Harold Harrigian</w:t>
            </w:r>
          </w:p>
        </w:tc>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04"/>
        </w:trPr>
        <w:tc>
          <w:tcPr>
            <w:tcW w:w="2420" w:type="dxa"/>
            <w:vAlign w:val="bottom"/>
          </w:tcPr>
          <w:p>
            <w:pPr>
              <w:spacing w:after="0"/>
              <w:rPr>
                <w:sz w:val="24"/>
                <w:szCs w:val="24"/>
                <w:color w:val="auto"/>
              </w:rPr>
            </w:pPr>
          </w:p>
        </w:tc>
        <w:tc>
          <w:tcPr>
            <w:tcW w:w="7200" w:type="dxa"/>
            <w:vAlign w:val="bottom"/>
            <w:gridSpan w:val="2"/>
          </w:tcPr>
          <w:p>
            <w:pPr>
              <w:jc w:val="right"/>
              <w:ind w:right="3732"/>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6"/>
        </w:trPr>
        <w:tc>
          <w:tcPr>
            <w:tcW w:w="2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color w:val="auto"/>
                <w:w w:val="97"/>
              </w:rPr>
              <w:t>Additions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color w:val="auto"/>
                <w:w w:val="97"/>
              </w:rPr>
              <w:t>Additions</w:t>
            </w:r>
          </w:p>
        </w:tc>
        <w:tc>
          <w:tcPr>
            <w:tcW w:w="3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(Reductions)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center"/>
              <w:ind w:right="116"/>
              <w:spacing w:after="0" w:line="149" w:lineRule="exact"/>
              <w:rPr>
                <w:sz w:val="20"/>
                <w:szCs w:val="20"/>
                <w:color w:val="auto"/>
              </w:rPr>
            </w:pPr>
            <w:r>
              <w:rPr>
                <w:rFonts w:ascii="Arial" w:cs="Arial" w:eastAsia="Arial" w:hAnsi="Arial"/>
                <w:sz w:val="14"/>
                <w:szCs w:val="14"/>
                <w:color w:val="auto"/>
                <w:w w:val="90"/>
              </w:rPr>
              <w:t>Balance at</w:t>
            </w:r>
          </w:p>
        </w:tc>
        <w:tc>
          <w:tcPr>
            <w:tcW w:w="22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color w:val="auto"/>
              </w:rPr>
              <w:t>Not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89"/>
              </w:rPr>
              <w:t>Charged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176"/>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jc w:val="center"/>
              <w:ind w:right="116"/>
              <w:spacing w:after="0" w:line="149" w:lineRule="exact"/>
              <w:rPr>
                <w:sz w:val="20"/>
                <w:szCs w:val="20"/>
                <w:color w:val="auto"/>
              </w:rPr>
            </w:pPr>
            <w:r>
              <w:rPr>
                <w:rFonts w:ascii="Arial" w:cs="Arial" w:eastAsia="Arial" w:hAnsi="Arial"/>
                <w:sz w:val="14"/>
                <w:szCs w:val="14"/>
                <w:color w:val="auto"/>
                <w:w w:val="96"/>
              </w:rPr>
              <w:t>Beginning</w:t>
            </w:r>
          </w:p>
        </w:tc>
        <w:tc>
          <w:tcPr>
            <w:tcW w:w="22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color w:val="auto"/>
                <w:w w:val="89"/>
              </w:rPr>
              <w:t>Charged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6"/>
              </w:rPr>
              <w:t>(Credited)</w:t>
            </w:r>
          </w:p>
        </w:tc>
        <w:tc>
          <w:tcPr>
            <w:tcW w:w="300" w:type="dxa"/>
            <w:vAlign w:val="bottom"/>
          </w:tcPr>
          <w:p>
            <w:pPr>
              <w:spacing w:after="0"/>
              <w:rPr>
                <w:sz w:val="12"/>
                <w:szCs w:val="12"/>
                <w:color w:val="auto"/>
              </w:rPr>
            </w:pPr>
          </w:p>
        </w:tc>
        <w:tc>
          <w:tcPr>
            <w:tcW w:w="10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Deductions/</w:t>
            </w:r>
          </w:p>
        </w:tc>
        <w:tc>
          <w:tcPr>
            <w:tcW w:w="260" w:type="dxa"/>
            <w:vAlign w:val="bottom"/>
          </w:tcPr>
          <w:p>
            <w:pPr>
              <w:spacing w:after="0"/>
              <w:rPr>
                <w:sz w:val="12"/>
                <w:szCs w:val="12"/>
                <w:color w:val="auto"/>
              </w:rPr>
            </w:pPr>
          </w:p>
        </w:tc>
        <w:tc>
          <w:tcPr>
            <w:tcW w:w="840" w:type="dxa"/>
            <w:vAlign w:val="bottom"/>
          </w:tcPr>
          <w:p>
            <w:pPr>
              <w:jc w:val="center"/>
              <w:ind w:right="176"/>
              <w:spacing w:after="0" w:line="149" w:lineRule="exact"/>
              <w:rPr>
                <w:sz w:val="20"/>
                <w:szCs w:val="20"/>
                <w:color w:val="auto"/>
              </w:rPr>
            </w:pPr>
            <w:r>
              <w:rPr>
                <w:rFonts w:ascii="Arial" w:cs="Arial" w:eastAsia="Arial" w:hAnsi="Arial"/>
                <w:sz w:val="14"/>
                <w:szCs w:val="14"/>
                <w:color w:val="auto"/>
                <w:w w:val="93"/>
              </w:rPr>
              <w:t>at End</w:t>
            </w:r>
          </w:p>
        </w:tc>
        <w:tc>
          <w:tcPr>
            <w:tcW w:w="0" w:type="dxa"/>
            <w:vAlign w:val="bottom"/>
          </w:tcPr>
          <w:p>
            <w:pPr>
              <w:spacing w:after="0"/>
              <w:rPr>
                <w:sz w:val="1"/>
                <w:szCs w:val="1"/>
                <w:color w:val="auto"/>
              </w:rPr>
            </w:pPr>
          </w:p>
        </w:tc>
      </w:tr>
      <w:tr>
        <w:trPr>
          <w:trHeight w:val="174"/>
        </w:trPr>
        <w:tc>
          <w:tcPr>
            <w:tcW w:w="444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320" w:type="dxa"/>
            <w:vAlign w:val="bottom"/>
          </w:tcPr>
          <w:p>
            <w:pPr>
              <w:spacing w:after="0"/>
              <w:rPr>
                <w:sz w:val="15"/>
                <w:szCs w:val="15"/>
                <w:color w:val="auto"/>
              </w:rPr>
            </w:pPr>
          </w:p>
        </w:tc>
        <w:tc>
          <w:tcPr>
            <w:tcW w:w="840" w:type="dxa"/>
            <w:vAlign w:val="bottom"/>
          </w:tcPr>
          <w:p>
            <w:pPr>
              <w:jc w:val="center"/>
              <w:ind w:right="136"/>
              <w:spacing w:after="0"/>
              <w:rPr>
                <w:sz w:val="20"/>
                <w:szCs w:val="20"/>
                <w:color w:val="auto"/>
              </w:rPr>
            </w:pPr>
            <w:r>
              <w:rPr>
                <w:rFonts w:ascii="Arial" w:cs="Arial" w:eastAsia="Arial" w:hAnsi="Arial"/>
                <w:sz w:val="14"/>
                <w:szCs w:val="14"/>
                <w:color w:val="auto"/>
                <w:w w:val="92"/>
              </w:rPr>
              <w:t>of Year</w:t>
            </w: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91"/>
              </w:rPr>
              <w:t>to Expense</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color w:val="auto"/>
                <w:w w:val="91"/>
              </w:rPr>
              <w:t>to Expense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93"/>
              <w:spacing w:after="0"/>
              <w:rPr>
                <w:sz w:val="20"/>
                <w:szCs w:val="20"/>
                <w:color w:val="auto"/>
              </w:rPr>
            </w:pPr>
            <w:r>
              <w:rPr>
                <w:rFonts w:ascii="Arial" w:cs="Arial" w:eastAsia="Arial" w:hAnsi="Arial"/>
                <w:sz w:val="14"/>
                <w:szCs w:val="14"/>
                <w:color w:val="auto"/>
                <w:w w:val="96"/>
              </w:rPr>
              <w:t>Write-offs</w:t>
            </w:r>
          </w:p>
        </w:tc>
        <w:tc>
          <w:tcPr>
            <w:tcW w:w="260" w:type="dxa"/>
            <w:vAlign w:val="bottom"/>
          </w:tcPr>
          <w:p>
            <w:pPr>
              <w:spacing w:after="0"/>
              <w:rPr>
                <w:sz w:val="15"/>
                <w:szCs w:val="15"/>
                <w:color w:val="auto"/>
              </w:rPr>
            </w:pPr>
          </w:p>
        </w:tc>
        <w:tc>
          <w:tcPr>
            <w:tcW w:w="840" w:type="dxa"/>
            <w:vAlign w:val="bottom"/>
          </w:tcPr>
          <w:p>
            <w:pPr>
              <w:jc w:val="center"/>
              <w:ind w:right="176"/>
              <w:spacing w:after="0"/>
              <w:rPr>
                <w:sz w:val="20"/>
                <w:szCs w:val="20"/>
                <w:color w:val="auto"/>
              </w:rPr>
            </w:pPr>
            <w:r>
              <w:rPr>
                <w:rFonts w:ascii="Arial" w:cs="Arial" w:eastAsia="Arial" w:hAnsi="Arial"/>
                <w:sz w:val="14"/>
                <w:szCs w:val="14"/>
                <w:color w:val="auto"/>
                <w:w w:val="92"/>
              </w:rPr>
              <w:t>of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Year ended December 27, 2008</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1,555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26, 2009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0"/>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Year ended December 25, 2010</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 (2)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(429)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inventories:</w:t>
            </w: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Year ended December 27, 2008</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31,537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1,693</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4,449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30,293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26, 2009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30,293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0"/>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25,680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Year ended December 25, 2010</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25,680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1,743</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3,807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23,783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$127 resulting from Rasco acquisition in December, 2008 and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 resulting from Rasco acquisition in December, 2008 and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$4.5 million credited to expense for products sold in 2008 that were reserved in 2006.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1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3"/>
          </w:tcPr>
          <w:p>
            <w:pPr>
              <w:ind w:left="760"/>
              <w:spacing w:after="0"/>
              <w:rPr>
                <w:sz w:val="20"/>
                <w:szCs w:val="20"/>
                <w:color w:val="auto"/>
              </w:rPr>
            </w:pPr>
            <w:r>
              <w:rPr>
                <w:rFonts w:ascii="Arial" w:cs="Arial" w:eastAsia="Arial" w:hAnsi="Arial"/>
                <w:sz w:val="18"/>
                <w:szCs w:val="18"/>
                <w:b w:val="1"/>
                <w:bCs w:val="1"/>
                <w:color w:val="auto"/>
              </w:rPr>
              <w:t>SUBSIDIARIES OF COHU, INC.</w:t>
            </w:r>
          </w:p>
        </w:tc>
      </w:tr>
      <w:tr>
        <w:trPr>
          <w:trHeight w:val="346"/>
        </w:trPr>
        <w:tc>
          <w:tcPr>
            <w:tcW w:w="36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PLACE OF</w:t>
            </w:r>
          </w:p>
        </w:tc>
      </w:tr>
      <w:tr>
        <w:trPr>
          <w:trHeight w:val="167"/>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LEGAL ENTITY NAME</w:t>
            </w:r>
          </w:p>
        </w:tc>
        <w:tc>
          <w:tcPr>
            <w:tcW w:w="4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INCORPORATION</w:t>
            </w: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Delta Design, Inc. (1)</w:t>
            </w: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FRL, Incorporated.</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Broadcast Microwave Services, Inc. (2)</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Delta Design (Littleton), Inc.</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Cohu Foreign Sales Ltd.</w:t>
            </w: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Barbados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Delta Design, Inc. owns the following subsidiaries: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Delta Design Singapore PTE LTD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Delta Design Philippines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Cohu S.A.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Delta Design Europe GmbH</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Rasco GmbH</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Rosenheim Automation Systems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Costa Rica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70" w:lineRule="exact"/>
        <w:rPr>
          <w:sz w:val="20"/>
          <w:szCs w:val="20"/>
          <w:color w:val="auto"/>
        </w:rPr>
      </w:pPr>
    </w:p>
    <w:p>
      <w:pPr>
        <w:sectPr>
          <w:pgSz w:w="11900" w:h="16838" w:orient="portrait"/>
          <w:cols w:equalWidth="0" w:num="2">
            <w:col w:w="7520" w:space="720"/>
            <w:col w:w="3180"/>
          </w:cols>
          <w:pgMar w:left="240" w:top="125" w:right="239" w:bottom="1440" w:gutter="0" w:footer="0" w:header="0"/>
          <w:type w:val="continuous"/>
        </w:sect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Broadcast Microwave Services, Inc. owns the following subsidiary:</w:t>
      </w:r>
    </w:p>
    <w:p>
      <w:pPr>
        <w:spacing w:after="0" w:line="225" w:lineRule="exact"/>
        <w:rPr>
          <w:sz w:val="20"/>
          <w:szCs w:val="20"/>
          <w:color w:val="auto"/>
        </w:rPr>
      </w:pPr>
    </w:p>
    <w:p>
      <w:pPr>
        <w:ind w:left="540"/>
        <w:spacing w:after="0"/>
        <w:tabs>
          <w:tab w:leader="none" w:pos="8220" w:val="left"/>
        </w:tabs>
        <w:rPr>
          <w:sz w:val="20"/>
          <w:szCs w:val="20"/>
          <w:color w:val="auto"/>
        </w:rPr>
      </w:pPr>
      <w:r>
        <w:rPr>
          <w:rFonts w:ascii="Arial" w:cs="Arial" w:eastAsia="Arial" w:hAnsi="Arial"/>
          <w:sz w:val="18"/>
          <w:szCs w:val="18"/>
          <w:color w:val="auto"/>
        </w:rPr>
        <w:t>Broadcast Microwave Services Europe GmbH</w:t>
      </w:r>
      <w:r>
        <w:rPr>
          <w:sz w:val="20"/>
          <w:szCs w:val="20"/>
          <w:color w:val="auto"/>
        </w:rPr>
        <w:tab/>
      </w:r>
      <w:r>
        <w:rPr>
          <w:rFonts w:ascii="Arial" w:cs="Arial" w:eastAsia="Arial" w:hAnsi="Arial"/>
          <w:sz w:val="16"/>
          <w:szCs w:val="16"/>
          <w:color w:val="auto"/>
        </w:rPr>
        <w:t>Germany</w:t>
      </w:r>
    </w:p>
    <w:p>
      <w:pPr>
        <w:sectPr>
          <w:pgSz w:w="11900" w:h="16838" w:orient="portrait"/>
          <w:cols w:equalWidth="0" w:num="1">
            <w:col w:w="11420"/>
          </w:cols>
          <w:pgMar w:left="240" w:top="125" w:right="2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23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(Form S-8 Nos. 333-62803, 333-27663, 333-40610, 333-66466, 333-97449, 333-117554, 333-132605, 333-142579, and 333-160760) pertaining to the Cohu, Inc. 1994, 1996 and 1998 Stock Option Plans, 1996 Outside Directors Stock Option Plan, 1997 Employee Stock Purchase Plan and 2005 Equity Incentive Plan of Cohu, Inc. of our reports dated February 23, 2011, with respect to the consolidated financial statements and schedule of Cohu, Inc., and the effectiveness of internal control over financial reporting of Cohu, Inc., included in this Annual Report (Form 10-K) for the year ended December 25, 2010.</w:t>
      </w:r>
    </w:p>
    <w:p>
      <w:pPr>
        <w:spacing w:after="0" w:line="29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2011</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31.1</w:t>
      </w:r>
    </w:p>
    <w:p>
      <w:pPr>
        <w:spacing w:after="0" w:line="11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CERTIFICATION PURSUANT TO SECTION 302(a)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660" w:hanging="43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100" w:firstLine="1"/>
        <w:spacing w:after="0" w:line="264" w:lineRule="auto"/>
        <w:tabs>
          <w:tab w:leader="none" w:pos="11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80" w:firstLine="1"/>
        <w:spacing w:after="0" w:line="264" w:lineRule="auto"/>
        <w:tabs>
          <w:tab w:leader="none" w:pos="11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620" w:firstLine="1"/>
        <w:spacing w:after="0" w:line="342" w:lineRule="auto"/>
        <w:tabs>
          <w:tab w:leader="none" w:pos="11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80" w:firstLine="1"/>
        <w:spacing w:after="0" w:line="264" w:lineRule="auto"/>
        <w:tabs>
          <w:tab w:leader="none" w:pos="11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60" w:firstLine="1"/>
        <w:spacing w:after="0" w:line="277" w:lineRule="auto"/>
        <w:tabs>
          <w:tab w:leader="none" w:pos="11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firstLine="1"/>
        <w:spacing w:after="0" w:line="277" w:lineRule="auto"/>
        <w:tabs>
          <w:tab w:leader="none" w:pos="11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CERTIFICATION PURSUANT TO SECTION 302(a)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117" w:lineRule="exact"/>
        <w:rPr>
          <w:sz w:val="20"/>
          <w:szCs w:val="20"/>
          <w:color w:val="auto"/>
        </w:rPr>
      </w:pPr>
    </w:p>
    <w:p>
      <w:pPr>
        <w:ind w:left="660" w:hanging="43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100" w:firstLine="1"/>
        <w:spacing w:after="0" w:line="264" w:lineRule="auto"/>
        <w:tabs>
          <w:tab w:leader="none" w:pos="11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80" w:firstLine="1"/>
        <w:spacing w:after="0" w:line="264" w:lineRule="auto"/>
        <w:tabs>
          <w:tab w:leader="none" w:pos="11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620" w:firstLine="1"/>
        <w:spacing w:after="0" w:line="342" w:lineRule="auto"/>
        <w:tabs>
          <w:tab w:leader="none" w:pos="11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80" w:firstLine="1"/>
        <w:spacing w:after="0" w:line="264" w:lineRule="auto"/>
        <w:tabs>
          <w:tab w:leader="none" w:pos="11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60" w:firstLine="1"/>
        <w:spacing w:after="0" w:line="277" w:lineRule="auto"/>
        <w:tabs>
          <w:tab w:leader="none" w:pos="11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firstLine="1"/>
        <w:spacing w:after="0" w:line="277" w:lineRule="auto"/>
        <w:tabs>
          <w:tab w:leader="none" w:pos="11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25, 2010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right="720" w:firstLine="8"/>
        <w:spacing w:after="0" w:line="402" w:lineRule="auto"/>
        <w:tabs>
          <w:tab w:leader="none" w:pos="2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23, 2011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25, 2010 (the “Report”), I, Jeffrey D. Jones,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right="720" w:firstLine="8"/>
        <w:spacing w:after="0" w:line="402" w:lineRule="auto"/>
        <w:tabs>
          <w:tab w:leader="none" w:pos="2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23, 2011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3"/>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2"/>
    </w:lvl>
  </w:abstractNum>
  <w:abstractNum w:abstractNumId="17">
    <w:nsid w:val="2CA88611"/>
    <w:multiLevelType w:val="hybridMultilevel"/>
    <w:lvl w:ilvl="0">
      <w:lvlJc w:val="left"/>
      <w:lvlText w:val="%1."/>
      <w:numFmt w:val="decimal"/>
      <w:start w:val="3"/>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4"/>
    </w:lvl>
  </w:abstractNum>
  <w:abstractNum w:abstractNumId="20">
    <w:nsid w:val="3A95F874"/>
    <w:multiLevelType w:val="hybridMultilevel"/>
    <w:lvl w:ilvl="0">
      <w:lvlJc w:val="left"/>
      <w:lvlText w:val="%1."/>
      <w:numFmt w:val="decimal"/>
      <w:start w:val="5"/>
    </w:lvl>
  </w:abstractNum>
  <w:abstractNum w:abstractNumId="21">
    <w:nsid w:val="8138641"/>
    <w:multiLevelType w:val="hybridMultilevel"/>
    <w:lvl w:ilvl="0">
      <w:lvlJc w:val="left"/>
      <w:lvlText w:val="%1."/>
      <w:numFmt w:val="decimal"/>
      <w:start w:val="6"/>
    </w:lvl>
  </w:abstractNum>
  <w:abstractNum w:abstractNumId="22">
    <w:nsid w:val="1E7FF521"/>
    <w:multiLevelType w:val="hybridMultilevel"/>
    <w:lvl w:ilvl="0">
      <w:lvlJc w:val="left"/>
      <w:lvlText w:val="%1."/>
      <w:numFmt w:val="decimal"/>
      <w:start w:val="7"/>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8"/>
    </w:lvl>
  </w:abstractNum>
  <w:abstractNum w:abstractNumId="25">
    <w:nsid w:val="6CEAF087"/>
    <w:multiLevelType w:val="hybridMultilevel"/>
    <w:lvl w:ilvl="0">
      <w:lvlJc w:val="left"/>
      <w:lvlText w:val="%1."/>
      <w:numFmt w:val="decimal"/>
      <w:start w:val="10"/>
    </w:lvl>
  </w:abstractNum>
  <w:abstractNum w:abstractNumId="26">
    <w:nsid w:val="22221A70"/>
    <w:multiLevelType w:val="hybridMultilevel"/>
    <w:lvl w:ilvl="0">
      <w:lvlJc w:val="left"/>
      <w:lvlText w:val="%1."/>
      <w:numFmt w:val="decimal"/>
      <w:start w:val="1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decimal"/>
      <w:start w:val="15"/>
    </w:lvl>
  </w:abstractNum>
  <w:abstractNum w:abstractNumId="29">
    <w:nsid w:val="614FD4A1"/>
    <w:multiLevelType w:val="hybridMultilevel"/>
    <w:lvl w:ilvl="0">
      <w:lvlJc w:val="left"/>
      <w:lvlText w:val="%1"/>
      <w:numFmt w:val="decimal"/>
      <w:start w:val="14"/>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2019-12-10T00:02:26Z</dcterms:created>
  <dcterms:modified xsi:type="dcterms:W3CDTF">2019-12-10T00:02:26Z</dcterms:modified>
</cp:coreProperties>
</file>