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 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32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26, 2009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1-4298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COHU,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11" w:lineRule="exact"/>
        <w:rPr>
          <w:sz w:val="20"/>
          <w:szCs w:val="20"/>
          <w:color w:val="auto"/>
        </w:rPr>
      </w:pPr>
    </w:p>
    <w:tbl>
      <w:tblPr>
        <w:tblLayout w:type="fixed"/>
        <w:tblInd w:w="1000" w:type="dxa"/>
        <w:tblCellMar>
          <w:top w:w="0" w:type="dxa"/>
          <w:left w:w="0" w:type="dxa"/>
          <w:bottom w:w="0" w:type="dxa"/>
          <w:right w:w="0" w:type="dxa"/>
        </w:tblCellMar>
      </w:tblPr>
      <w:tr>
        <w:trPr>
          <w:trHeight w:val="220"/>
        </w:trPr>
        <w:tc>
          <w:tcPr>
            <w:tcW w:w="4920" w:type="dxa"/>
            <w:vAlign w:val="bottom"/>
          </w:tcPr>
          <w:p>
            <w:pPr>
              <w:jc w:val="center"/>
              <w:ind w:right="139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95-1934119</w:t>
            </w:r>
          </w:p>
        </w:tc>
      </w:tr>
      <w:tr>
        <w:trPr>
          <w:trHeight w:val="216"/>
        </w:trPr>
        <w:tc>
          <w:tcPr>
            <w:tcW w:w="4920" w:type="dxa"/>
            <w:vAlign w:val="bottom"/>
          </w:tcPr>
          <w:p>
            <w:pPr>
              <w:ind w:left="640"/>
              <w:spacing w:after="0"/>
              <w:rPr>
                <w:sz w:val="20"/>
                <w:szCs w:val="20"/>
                <w:color w:val="auto"/>
              </w:rPr>
            </w:pPr>
            <w:r>
              <w:rPr>
                <w:rFonts w:ascii="Arial" w:cs="Arial" w:eastAsia="Arial" w:hAnsi="Arial"/>
                <w:sz w:val="18"/>
                <w:szCs w:val="18"/>
                <w:i w:val="1"/>
                <w:iCs w:val="1"/>
                <w:color w:val="auto"/>
              </w:rPr>
              <w:t>(State or other jurisdiction of</w:t>
            </w:r>
          </w:p>
        </w:tc>
        <w:tc>
          <w:tcPr>
            <w:tcW w:w="4080" w:type="dxa"/>
            <w:vAlign w:val="bottom"/>
          </w:tcPr>
          <w:p>
            <w:pPr>
              <w:jc w:val="center"/>
              <w:ind w:left="141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4920" w:type="dxa"/>
            <w:vAlign w:val="bottom"/>
          </w:tcPr>
          <w:p>
            <w:pPr>
              <w:jc w:val="center"/>
              <w:ind w:right="1390"/>
              <w:spacing w:after="0"/>
              <w:rPr>
                <w:sz w:val="20"/>
                <w:szCs w:val="20"/>
                <w:color w:val="auto"/>
              </w:rPr>
            </w:pPr>
            <w:r>
              <w:rPr>
                <w:rFonts w:ascii="Arial" w:cs="Arial" w:eastAsia="Arial" w:hAnsi="Arial"/>
                <w:sz w:val="18"/>
                <w:szCs w:val="18"/>
                <w:i w:val="1"/>
                <w:iCs w:val="1"/>
                <w:color w:val="auto"/>
                <w:w w:val="95"/>
              </w:rPr>
              <w:t>Incorporation or Organization)</w:t>
            </w:r>
          </w:p>
        </w:tc>
        <w:tc>
          <w:tcPr>
            <w:tcW w:w="4080" w:type="dxa"/>
            <w:vAlign w:val="bottom"/>
          </w:tcPr>
          <w:p>
            <w:pPr>
              <w:spacing w:after="0"/>
              <w:rPr>
                <w:sz w:val="20"/>
                <w:szCs w:val="20"/>
                <w:color w:val="auto"/>
              </w:rPr>
            </w:pPr>
          </w:p>
        </w:tc>
      </w:tr>
      <w:tr>
        <w:trPr>
          <w:trHeight w:val="418"/>
        </w:trPr>
        <w:tc>
          <w:tcPr>
            <w:tcW w:w="4920" w:type="dxa"/>
            <w:vAlign w:val="bottom"/>
          </w:tcPr>
          <w:p>
            <w:pPr>
              <w:jc w:val="center"/>
              <w:ind w:right="1410"/>
              <w:spacing w:after="0"/>
              <w:rPr>
                <w:sz w:val="20"/>
                <w:szCs w:val="20"/>
                <w:color w:val="auto"/>
              </w:rPr>
            </w:pPr>
            <w:r>
              <w:rPr>
                <w:rFonts w:ascii="Arial" w:cs="Arial" w:eastAsia="Arial" w:hAnsi="Arial"/>
                <w:sz w:val="18"/>
                <w:szCs w:val="18"/>
                <w:b w:val="1"/>
                <w:bCs w:val="1"/>
                <w:color w:val="auto"/>
                <w:w w:val="91"/>
              </w:rPr>
              <w:t>12367 Crosthwaite Circle, Poway, California</w:t>
            </w:r>
          </w:p>
        </w:tc>
        <w:tc>
          <w:tcPr>
            <w:tcW w:w="408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92064-6817</w:t>
            </w:r>
          </w:p>
        </w:tc>
      </w:tr>
      <w:tr>
        <w:trPr>
          <w:trHeight w:val="230"/>
        </w:trPr>
        <w:tc>
          <w:tcPr>
            <w:tcW w:w="4920" w:type="dxa"/>
            <w:vAlign w:val="bottom"/>
          </w:tcPr>
          <w:p>
            <w:pPr>
              <w:jc w:val="center"/>
              <w:ind w:right="141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4080" w:type="dxa"/>
            <w:vAlign w:val="bottom"/>
          </w:tcPr>
          <w:p>
            <w:pPr>
              <w:jc w:val="center"/>
              <w:ind w:left="1410"/>
              <w:spacing w:after="0"/>
              <w:rPr>
                <w:sz w:val="20"/>
                <w:szCs w:val="20"/>
                <w:color w:val="auto"/>
              </w:rPr>
            </w:pPr>
            <w:r>
              <w:rPr>
                <w:rFonts w:ascii="Arial" w:cs="Arial" w:eastAsia="Arial" w:hAnsi="Arial"/>
                <w:sz w:val="18"/>
                <w:szCs w:val="18"/>
                <w:i w:val="1"/>
                <w:iCs w:val="1"/>
                <w:color w:val="auto"/>
                <w:w w:val="91"/>
              </w:rPr>
              <w:t>(Zip Code)</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(858) 848-8100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580" w:type="dxa"/>
            <w:vAlign w:val="bottom"/>
          </w:tcPr>
          <w:p>
            <w:pPr>
              <w:spacing w:after="0"/>
              <w:rPr>
                <w:sz w:val="20"/>
                <w:szCs w:val="20"/>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 of Exchange on Which Registered</w:t>
            </w:r>
          </w:p>
        </w:tc>
      </w:tr>
      <w:tr>
        <w:trPr>
          <w:trHeight w:val="205"/>
        </w:trPr>
        <w:tc>
          <w:tcPr>
            <w:tcW w:w="54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0"/>
              </w:rPr>
              <w:t>Common Stock, $1.00 par value</w:t>
            </w:r>
          </w:p>
        </w:tc>
        <w:tc>
          <w:tcPr>
            <w:tcW w:w="580" w:type="dxa"/>
            <w:vAlign w:val="bottom"/>
          </w:tcPr>
          <w:p>
            <w:pPr>
              <w:spacing w:after="0"/>
              <w:rPr>
                <w:sz w:val="17"/>
                <w:szCs w:val="17"/>
                <w:color w:val="auto"/>
              </w:rPr>
            </w:pPr>
          </w:p>
        </w:tc>
        <w:tc>
          <w:tcPr>
            <w:tcW w:w="54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6"/>
              </w:rPr>
              <w:t>The NASDAQ Stock Market LLC</w:t>
            </w:r>
          </w:p>
        </w:tc>
      </w:t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0"/>
              </w:rPr>
              <w:t>Preferred Share Purchase Rights, $1.00 par value</w:t>
            </w:r>
          </w:p>
        </w:tc>
        <w:tc>
          <w:tcPr>
            <w:tcW w:w="58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70" w:lineRule="exact"/>
        <w:rPr>
          <w:sz w:val="20"/>
          <w:szCs w:val="20"/>
          <w:color w:val="auto"/>
        </w:rPr>
      </w:pPr>
    </w:p>
    <w:p>
      <w:pPr>
        <w:ind w:left="240" w:right="1660"/>
        <w:spacing w:after="0" w:line="30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o No </w:t>
      </w:r>
      <w:r>
        <w:rPr>
          <w:rFonts w:ascii="MS PGothic" w:cs="MS PGothic" w:eastAsia="MS PGothic" w:hAnsi="MS PGothic"/>
          <w:sz w:val="16"/>
          <w:szCs w:val="16"/>
          <w:color w:val="auto"/>
        </w:rPr>
        <w:t>☑</w:t>
      </w:r>
    </w:p>
    <w:p>
      <w:pPr>
        <w:spacing w:after="0" w:line="74" w:lineRule="exact"/>
        <w:rPr>
          <w:sz w:val="20"/>
          <w:szCs w:val="20"/>
          <w:color w:val="auto"/>
        </w:rPr>
      </w:pPr>
    </w:p>
    <w:p>
      <w:pPr>
        <w:ind w:right="24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73" w:lineRule="exact"/>
        <w:rPr>
          <w:sz w:val="20"/>
          <w:szCs w:val="20"/>
          <w:color w:val="auto"/>
        </w:rPr>
      </w:pPr>
    </w:p>
    <w:p>
      <w:pPr>
        <w:ind w:right="60" w:firstLine="225"/>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76" w:lineRule="exact"/>
        <w:rPr>
          <w:sz w:val="20"/>
          <w:szCs w:val="20"/>
          <w:color w:val="auto"/>
        </w:rPr>
      </w:pPr>
    </w:p>
    <w:p>
      <w:pPr>
        <w:ind w:right="120" w:firstLine="270"/>
        <w:spacing w:after="0" w:line="33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0" w:gutter="0" w:footer="0" w:header="0"/>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020" w:space="720"/>
            <w:col w:w="1500" w:space="720"/>
            <w:col w:w="3440" w:space="720"/>
            <w:col w:w="2300"/>
          </w:cols>
          <w:pgMar w:left="240" w:top="122" w:right="239" w:bottom="0" w:gutter="0" w:footer="0" w:header="0"/>
          <w:type w:val="continuous"/>
        </w:sectPr>
      </w:pPr>
    </w:p>
    <w:p>
      <w:pPr>
        <w:ind w:left="2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150" w:lineRule="exact"/>
        <w:rPr>
          <w:sz w:val="20"/>
          <w:szCs w:val="20"/>
          <w:color w:val="auto"/>
        </w:rPr>
      </w:pPr>
    </w:p>
    <w:p>
      <w:pPr>
        <w:ind w:right="340" w:firstLine="222"/>
        <w:spacing w:after="0" w:line="259" w:lineRule="auto"/>
        <w:rPr>
          <w:sz w:val="20"/>
          <w:szCs w:val="20"/>
          <w:color w:val="auto"/>
        </w:rPr>
      </w:pPr>
      <w:r>
        <w:rPr>
          <w:rFonts w:ascii="Arial" w:cs="Arial" w:eastAsia="Arial" w:hAnsi="Arial"/>
          <w:sz w:val="18"/>
          <w:szCs w:val="18"/>
          <w:color w:val="auto"/>
        </w:rPr>
        <w:t>The aggregate market value of voting stock held by nonaffiliates of the registrant was approximately $140,000,000 based on the closing stock price as reported by the NASDAQ Stock Market LLC as of June 26, 2009. Shares of common stock held by each officer and director and by each person or group who owns 5% or more of the outstanding common stock have been excluded in that such persons or groups may be deemed to be affiliates. This determination of affiliate status is not necessarily a conclusive determination for other purposes.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January 23, 2010 the Registrant had 23,547,538 shares of its $1.00 par value common stock outstanding.</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jc w:val="both"/>
        <w:ind w:right="920" w:firstLine="225"/>
        <w:spacing w:after="0" w:line="342" w:lineRule="auto"/>
        <w:rPr>
          <w:sz w:val="20"/>
          <w:szCs w:val="20"/>
          <w:color w:val="auto"/>
        </w:rPr>
      </w:pPr>
      <w:r>
        <w:rPr>
          <w:rFonts w:ascii="Arial" w:cs="Arial" w:eastAsia="Arial" w:hAnsi="Arial"/>
          <w:sz w:val="16"/>
          <w:szCs w:val="16"/>
          <w:color w:val="auto"/>
        </w:rPr>
        <w:t>Portions of the Proxy Statement for Cohu, Inc.’s 2010 Annual Meeting of Stockholders to be held on May 11, 2010, and to be filed pursuant to Regulation 14A within 120 days after registrant’s fiscal year ended December 26, 2009,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type w:val="continuous"/>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361315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COHU,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 FOR THE FISCAL YEAR ENDED DECEMBER 26, 2009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gridSpan w:val="2"/>
            <w:vMerge w:val="restart"/>
          </w:tcPr>
          <w:p>
            <w:pPr>
              <w:spacing w:after="0"/>
              <w:rPr>
                <w:rFonts w:ascii="Arial" w:cs="Arial" w:eastAsia="Arial" w:hAnsi="Arial"/>
                <w:sz w:val="18"/>
                <w:szCs w:val="18"/>
                <w:b w:val="1"/>
                <w:bCs w:val="1"/>
                <w:color w:val="0000EE"/>
                <w:w w:val="94"/>
              </w:rPr>
            </w:pPr>
            <w:hyperlink w:anchor="page5">
              <w:r>
                <w:rPr>
                  <w:rFonts w:ascii="Arial" w:cs="Arial" w:eastAsia="Arial" w:hAnsi="Arial"/>
                  <w:sz w:val="18"/>
                  <w:szCs w:val="18"/>
                  <w:b w:val="1"/>
                  <w:bCs w:val="1"/>
                  <w:color w:val="0000EE"/>
                  <w:w w:val="94"/>
                </w:rPr>
                <w:t>PART I</w:t>
              </w:r>
            </w:hyperlink>
          </w:p>
        </w:tc>
        <w:tc>
          <w:tcPr>
            <w:tcW w:w="440" w:type="dxa"/>
            <w:vAlign w:val="bottom"/>
            <w:gridSpan w:val="5"/>
            <w:vMerge w:val="restart"/>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1"/>
        </w:trPr>
        <w:tc>
          <w:tcPr>
            <w:tcW w:w="600" w:type="dxa"/>
            <w:vAlign w:val="bottom"/>
            <w:tcBorders>
              <w:bottom w:val="single" w:sz="8" w:color="0000EE"/>
            </w:tcBorders>
            <w:gridSpan w:val="2"/>
            <w:vMerge w:val="continue"/>
          </w:tcPr>
          <w:p>
            <w:pPr>
              <w:spacing w:after="0"/>
              <w:rPr>
                <w:sz w:val="17"/>
                <w:szCs w:val="17"/>
                <w:color w:val="auto"/>
              </w:rPr>
            </w:pPr>
          </w:p>
        </w:tc>
        <w:tc>
          <w:tcPr>
            <w:tcW w:w="440" w:type="dxa"/>
            <w:vAlign w:val="bottom"/>
            <w:gridSpan w:val="5"/>
            <w:vMerge w:val="continue"/>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Item 1.</w:t>
              </w:r>
            </w:hyperlink>
          </w:p>
        </w:tc>
        <w:tc>
          <w:tcPr>
            <w:tcW w:w="500" w:type="dxa"/>
            <w:vAlign w:val="bottom"/>
            <w:gridSpan w:val="6"/>
          </w:tcPr>
          <w:p>
            <w:pPr>
              <w:spacing w:after="0"/>
              <w:rPr>
                <w:sz w:val="17"/>
                <w:szCs w:val="17"/>
                <w:color w:val="auto"/>
              </w:rPr>
            </w:pPr>
          </w:p>
        </w:tc>
        <w:tc>
          <w:tcPr>
            <w:tcW w:w="9040" w:type="dxa"/>
            <w:vAlign w:val="bottom"/>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1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12">
              <w:r>
                <w:rPr>
                  <w:rFonts w:ascii="Arial" w:cs="Arial" w:eastAsia="Arial" w:hAnsi="Arial"/>
                  <w:sz w:val="18"/>
                  <w:szCs w:val="18"/>
                  <w:color w:val="0000EE"/>
                  <w:w w:val="95"/>
                </w:rPr>
                <w:t>Item 1A.</w:t>
              </w:r>
            </w:hyperlink>
          </w:p>
        </w:tc>
        <w:tc>
          <w:tcPr>
            <w:tcW w:w="380" w:type="dxa"/>
            <w:vAlign w:val="bottom"/>
            <w:gridSpan w:val="4"/>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Risk Factors</w:t>
              </w:r>
            </w:hyperlink>
          </w:p>
        </w:tc>
        <w:tc>
          <w:tcPr>
            <w:tcW w:w="8120" w:type="dxa"/>
            <w:vAlign w:val="bottom"/>
            <w:gridSpan w:val="16"/>
          </w:tcPr>
          <w:p>
            <w:pPr>
              <w:spacing w:after="0"/>
              <w:rPr>
                <w:sz w:val="17"/>
                <w:szCs w:val="17"/>
                <w:color w:val="auto"/>
              </w:rPr>
            </w:pPr>
          </w:p>
        </w:tc>
        <w:tc>
          <w:tcPr>
            <w:tcW w:w="1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3"/>
              </w:rPr>
            </w:pPr>
            <w:hyperlink w:anchor="page17">
              <w:r>
                <w:rPr>
                  <w:rFonts w:ascii="Arial" w:cs="Arial" w:eastAsia="Arial" w:hAnsi="Arial"/>
                  <w:sz w:val="18"/>
                  <w:szCs w:val="18"/>
                  <w:color w:val="0000EE"/>
                  <w:w w:val="83"/>
                </w:rPr>
                <w:t>Item 1B.</w:t>
              </w:r>
            </w:hyperlink>
          </w:p>
        </w:tc>
        <w:tc>
          <w:tcPr>
            <w:tcW w:w="440" w:type="dxa"/>
            <w:vAlign w:val="bottom"/>
            <w:gridSpan w:val="5"/>
          </w:tcPr>
          <w:p>
            <w:pPr>
              <w:spacing w:after="0"/>
              <w:rPr>
                <w:sz w:val="17"/>
                <w:szCs w:val="17"/>
                <w:color w:val="auto"/>
              </w:rPr>
            </w:pPr>
          </w:p>
        </w:tc>
        <w:tc>
          <w:tcPr>
            <w:tcW w:w="20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Unresolved Staff Comments</w:t>
              </w:r>
            </w:hyperlink>
          </w:p>
        </w:tc>
        <w:tc>
          <w:tcPr>
            <w:tcW w:w="6980" w:type="dxa"/>
            <w:vAlign w:val="bottom"/>
            <w:gridSpan w:val="11"/>
          </w:tcPr>
          <w:p>
            <w:pPr>
              <w:spacing w:after="0"/>
              <w:rPr>
                <w:sz w:val="17"/>
                <w:szCs w:val="17"/>
                <w:color w:val="auto"/>
              </w:rPr>
            </w:pPr>
          </w:p>
        </w:tc>
        <w:tc>
          <w:tcPr>
            <w:tcW w:w="1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Item 2.</w:t>
              </w:r>
            </w:hyperlink>
          </w:p>
        </w:tc>
        <w:tc>
          <w:tcPr>
            <w:tcW w:w="500" w:type="dxa"/>
            <w:vAlign w:val="bottom"/>
            <w:gridSpan w:val="6"/>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Properties</w:t>
              </w:r>
            </w:hyperlink>
          </w:p>
        </w:tc>
        <w:tc>
          <w:tcPr>
            <w:tcW w:w="8300" w:type="dxa"/>
            <w:vAlign w:val="bottom"/>
            <w:gridSpan w:val="17"/>
          </w:tcPr>
          <w:p>
            <w:pPr>
              <w:spacing w:after="0"/>
              <w:rPr>
                <w:sz w:val="17"/>
                <w:szCs w:val="17"/>
                <w:color w:val="auto"/>
              </w:rPr>
            </w:pPr>
          </w:p>
        </w:tc>
        <w:tc>
          <w:tcPr>
            <w:tcW w:w="1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Item 3.</w:t>
              </w:r>
            </w:hyperlink>
          </w:p>
        </w:tc>
        <w:tc>
          <w:tcPr>
            <w:tcW w:w="500" w:type="dxa"/>
            <w:vAlign w:val="bottom"/>
            <w:gridSpan w:val="6"/>
          </w:tcPr>
          <w:p>
            <w:pPr>
              <w:spacing w:after="0"/>
              <w:rPr>
                <w:sz w:val="17"/>
                <w:szCs w:val="17"/>
                <w:color w:val="auto"/>
              </w:rPr>
            </w:pPr>
          </w:p>
        </w:tc>
        <w:tc>
          <w:tcPr>
            <w:tcW w:w="9040" w:type="dxa"/>
            <w:vAlign w:val="bottom"/>
            <w:gridSpan w:val="19"/>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1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Item 4.</w:t>
              </w:r>
            </w:hyperlink>
          </w:p>
        </w:tc>
        <w:tc>
          <w:tcPr>
            <w:tcW w:w="500" w:type="dxa"/>
            <w:vAlign w:val="bottom"/>
            <w:gridSpan w:val="6"/>
          </w:tcPr>
          <w:p>
            <w:pPr>
              <w:spacing w:after="0"/>
              <w:rPr>
                <w:sz w:val="17"/>
                <w:szCs w:val="17"/>
                <w:color w:val="auto"/>
              </w:rPr>
            </w:pPr>
          </w:p>
        </w:tc>
        <w:tc>
          <w:tcPr>
            <w:tcW w:w="37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Submission of Matters to a Vote of Security Holders</w:t>
              </w:r>
            </w:hyperlink>
          </w:p>
        </w:tc>
        <w:tc>
          <w:tcPr>
            <w:tcW w:w="5260" w:type="dxa"/>
            <w:vAlign w:val="bottom"/>
            <w:gridSpan w:val="8"/>
          </w:tcPr>
          <w:p>
            <w:pPr>
              <w:spacing w:after="0"/>
              <w:rPr>
                <w:sz w:val="17"/>
                <w:szCs w:val="17"/>
                <w:color w:val="auto"/>
              </w:rPr>
            </w:pPr>
          </w:p>
        </w:tc>
        <w:tc>
          <w:tcPr>
            <w:tcW w:w="1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2"/>
        </w:trPr>
        <w:tc>
          <w:tcPr>
            <w:tcW w:w="68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w:t>
              </w:r>
            </w:hyperlink>
          </w:p>
        </w:tc>
        <w:tc>
          <w:tcPr>
            <w:tcW w:w="36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Item 5.</w:t>
              </w:r>
            </w:hyperlink>
          </w:p>
        </w:tc>
        <w:tc>
          <w:tcPr>
            <w:tcW w:w="500" w:type="dxa"/>
            <w:vAlign w:val="bottom"/>
            <w:gridSpan w:val="6"/>
          </w:tcPr>
          <w:p>
            <w:pPr>
              <w:spacing w:after="0"/>
              <w:rPr>
                <w:sz w:val="17"/>
                <w:szCs w:val="17"/>
                <w:color w:val="auto"/>
              </w:rPr>
            </w:pPr>
          </w:p>
        </w:tc>
        <w:tc>
          <w:tcPr>
            <w:tcW w:w="9040" w:type="dxa"/>
            <w:vAlign w:val="bottom"/>
            <w:gridSpan w:val="19"/>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Market for Registrant’s Common Equity, Related Stockholder Matters and Issuer Purchases of Equity Securities</w:t>
              </w:r>
            </w:hyperlink>
          </w:p>
        </w:tc>
        <w:tc>
          <w:tcPr>
            <w:tcW w:w="1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Item 6.</w:t>
              </w:r>
            </w:hyperlink>
          </w:p>
        </w:tc>
        <w:tc>
          <w:tcPr>
            <w:tcW w:w="500" w:type="dxa"/>
            <w:vAlign w:val="bottom"/>
            <w:gridSpan w:val="6"/>
          </w:tcPr>
          <w:p>
            <w:pPr>
              <w:spacing w:after="0"/>
              <w:rPr>
                <w:sz w:val="17"/>
                <w:szCs w:val="17"/>
                <w:color w:val="auto"/>
              </w:rPr>
            </w:pPr>
          </w:p>
        </w:tc>
        <w:tc>
          <w:tcPr>
            <w:tcW w:w="17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3"/>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Item 7.</w:t>
              </w:r>
            </w:hyperlink>
          </w:p>
        </w:tc>
        <w:tc>
          <w:tcPr>
            <w:tcW w:w="500" w:type="dxa"/>
            <w:vAlign w:val="bottom"/>
            <w:gridSpan w:val="6"/>
          </w:tcPr>
          <w:p>
            <w:pPr>
              <w:spacing w:after="0"/>
              <w:rPr>
                <w:sz w:val="17"/>
                <w:szCs w:val="17"/>
                <w:color w:val="auto"/>
              </w:rPr>
            </w:pPr>
          </w:p>
        </w:tc>
        <w:tc>
          <w:tcPr>
            <w:tcW w:w="9040" w:type="dxa"/>
            <w:vAlign w:val="bottom"/>
            <w:gridSpan w:val="1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1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5"/>
              </w:rPr>
            </w:pPr>
            <w:hyperlink w:anchor="page30">
              <w:r>
                <w:rPr>
                  <w:rFonts w:ascii="Arial" w:cs="Arial" w:eastAsia="Arial" w:hAnsi="Arial"/>
                  <w:sz w:val="18"/>
                  <w:szCs w:val="18"/>
                  <w:color w:val="0000EE"/>
                  <w:w w:val="95"/>
                </w:rPr>
                <w:t>Item 7A.</w:t>
              </w:r>
            </w:hyperlink>
          </w:p>
        </w:tc>
        <w:tc>
          <w:tcPr>
            <w:tcW w:w="380" w:type="dxa"/>
            <w:vAlign w:val="bottom"/>
            <w:gridSpan w:val="4"/>
          </w:tcPr>
          <w:p>
            <w:pPr>
              <w:spacing w:after="0"/>
              <w:rPr>
                <w:sz w:val="17"/>
                <w:szCs w:val="17"/>
                <w:color w:val="auto"/>
              </w:rPr>
            </w:pPr>
          </w:p>
        </w:tc>
        <w:tc>
          <w:tcPr>
            <w:tcW w:w="9040" w:type="dxa"/>
            <w:vAlign w:val="bottom"/>
            <w:gridSpan w:val="1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Quantitative and Qualitative Disclosures About Market Risk</w:t>
              </w:r>
            </w:hyperlink>
          </w:p>
        </w:tc>
        <w:tc>
          <w:tcPr>
            <w:tcW w:w="1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Item 8.</w:t>
              </w:r>
            </w:hyperlink>
          </w:p>
        </w:tc>
        <w:tc>
          <w:tcPr>
            <w:tcW w:w="120" w:type="dxa"/>
            <w:vAlign w:val="bottom"/>
            <w:tcBorders>
              <w:top w:val="single" w:sz="8" w:color="0000EE"/>
            </w:tcBorders>
            <w:gridSpan w:val="2"/>
          </w:tcPr>
          <w:p>
            <w:pPr>
              <w:spacing w:after="0"/>
              <w:rPr>
                <w:sz w:val="17"/>
                <w:szCs w:val="17"/>
                <w:color w:val="auto"/>
              </w:rPr>
            </w:pPr>
          </w:p>
        </w:tc>
        <w:tc>
          <w:tcPr>
            <w:tcW w:w="380" w:type="dxa"/>
            <w:vAlign w:val="bottom"/>
            <w:gridSpan w:val="4"/>
          </w:tcPr>
          <w:p>
            <w:pPr>
              <w:spacing w:after="0"/>
              <w:rPr>
                <w:sz w:val="17"/>
                <w:szCs w:val="17"/>
                <w:color w:val="auto"/>
              </w:rPr>
            </w:pPr>
          </w:p>
        </w:tc>
        <w:tc>
          <w:tcPr>
            <w:tcW w:w="33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3"/>
          </w:tcPr>
          <w:p>
            <w:pPr>
              <w:spacing w:after="0"/>
              <w:rPr>
                <w:sz w:val="17"/>
                <w:szCs w:val="17"/>
                <w:color w:val="auto"/>
              </w:rPr>
            </w:pPr>
          </w:p>
        </w:tc>
        <w:tc>
          <w:tcPr>
            <w:tcW w:w="4680" w:type="dxa"/>
            <w:vAlign w:val="bottom"/>
            <w:gridSpan w:val="6"/>
          </w:tcPr>
          <w:p>
            <w:pPr>
              <w:spacing w:after="0"/>
              <w:rPr>
                <w:sz w:val="17"/>
                <w:szCs w:val="17"/>
                <w:color w:val="auto"/>
              </w:rPr>
            </w:pPr>
          </w:p>
        </w:tc>
        <w:tc>
          <w:tcPr>
            <w:tcW w:w="1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Item 9.</w:t>
              </w:r>
            </w:hyperlink>
          </w:p>
        </w:tc>
        <w:tc>
          <w:tcPr>
            <w:tcW w:w="500" w:type="dxa"/>
            <w:vAlign w:val="bottom"/>
            <w:gridSpan w:val="6"/>
          </w:tcPr>
          <w:p>
            <w:pPr>
              <w:spacing w:after="0"/>
              <w:rPr>
                <w:sz w:val="17"/>
                <w:szCs w:val="17"/>
                <w:color w:val="auto"/>
              </w:rPr>
            </w:pPr>
          </w:p>
        </w:tc>
        <w:tc>
          <w:tcPr>
            <w:tcW w:w="9040" w:type="dxa"/>
            <w:vAlign w:val="bottom"/>
            <w:gridSpan w:val="19"/>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Changes in and Disagreements with Accountants on Accounting and Financial Disclosure</w:t>
              </w:r>
            </w:hyperlink>
          </w:p>
        </w:tc>
        <w:tc>
          <w:tcPr>
            <w:tcW w:w="1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220" w:type="dxa"/>
            <w:vAlign w:val="bottom"/>
            <w:tcBorders>
              <w:left w:val="single" w:sz="8" w:color="0000EE"/>
            </w:tcBorders>
            <w:gridSpan w:val="3"/>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31">
              <w:r>
                <w:rPr>
                  <w:rFonts w:ascii="Arial" w:cs="Arial" w:eastAsia="Arial" w:hAnsi="Arial"/>
                  <w:sz w:val="18"/>
                  <w:szCs w:val="18"/>
                  <w:color w:val="0000EE"/>
                  <w:w w:val="95"/>
                </w:rPr>
                <w:t>Item 9A.</w:t>
              </w:r>
            </w:hyperlink>
          </w:p>
        </w:tc>
        <w:tc>
          <w:tcPr>
            <w:tcW w:w="380" w:type="dxa"/>
            <w:vAlign w:val="bottom"/>
            <w:gridSpan w:val="4"/>
          </w:tcPr>
          <w:p>
            <w:pPr>
              <w:spacing w:after="0"/>
              <w:rPr>
                <w:sz w:val="17"/>
                <w:szCs w:val="17"/>
                <w:color w:val="auto"/>
              </w:rPr>
            </w:pPr>
          </w:p>
        </w:tc>
        <w:tc>
          <w:tcPr>
            <w:tcW w:w="178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Controls and Procedures</w:t>
              </w:r>
            </w:hyperlink>
          </w:p>
        </w:tc>
        <w:tc>
          <w:tcPr>
            <w:tcW w:w="7260" w:type="dxa"/>
            <w:vAlign w:val="bottom"/>
            <w:gridSpan w:val="13"/>
          </w:tcPr>
          <w:p>
            <w:pPr>
              <w:spacing w:after="0"/>
              <w:rPr>
                <w:sz w:val="17"/>
                <w:szCs w:val="17"/>
                <w:color w:val="auto"/>
              </w:rPr>
            </w:pPr>
          </w:p>
        </w:tc>
        <w:tc>
          <w:tcPr>
            <w:tcW w:w="1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3"/>
              </w:rPr>
            </w:pPr>
            <w:hyperlink w:anchor="page33">
              <w:r>
                <w:rPr>
                  <w:rFonts w:ascii="Arial" w:cs="Arial" w:eastAsia="Arial" w:hAnsi="Arial"/>
                  <w:sz w:val="18"/>
                  <w:szCs w:val="18"/>
                  <w:color w:val="0000EE"/>
                  <w:w w:val="83"/>
                </w:rPr>
                <w:t>Item 9B.</w:t>
              </w:r>
            </w:hyperlink>
          </w:p>
        </w:tc>
        <w:tc>
          <w:tcPr>
            <w:tcW w:w="440" w:type="dxa"/>
            <w:vAlign w:val="bottom"/>
            <w:gridSpan w:val="5"/>
          </w:tcPr>
          <w:p>
            <w:pPr>
              <w:spacing w:after="0"/>
              <w:rPr>
                <w:sz w:val="17"/>
                <w:szCs w:val="17"/>
                <w:color w:val="auto"/>
              </w:rPr>
            </w:pPr>
          </w:p>
        </w:tc>
        <w:tc>
          <w:tcPr>
            <w:tcW w:w="9040" w:type="dxa"/>
            <w:vAlign w:val="bottom"/>
            <w:gridSpan w:val="19"/>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1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III</w:t>
              </w:r>
            </w:hyperlink>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gridSpan w:val="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10.</w:t>
              </w:r>
            </w:hyperlink>
          </w:p>
        </w:tc>
        <w:tc>
          <w:tcPr>
            <w:tcW w:w="9040" w:type="dxa"/>
            <w:vAlign w:val="bottom"/>
            <w:gridSpan w:val="19"/>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Directors, Executive Officers and Corporate Governance</w:t>
              </w:r>
            </w:hyperlink>
          </w:p>
        </w:tc>
        <w:tc>
          <w:tcPr>
            <w:tcW w:w="1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gridSpan w:val="7"/>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220" w:type="dxa"/>
            <w:vAlign w:val="bottom"/>
            <w:tcBorders>
              <w:left w:val="single" w:sz="8" w:color="0000EE"/>
            </w:tcBorders>
            <w:gridSpan w:val="3"/>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11.</w:t>
              </w:r>
            </w:hyperlink>
          </w:p>
        </w:tc>
        <w:tc>
          <w:tcPr>
            <w:tcW w:w="9040" w:type="dxa"/>
            <w:vAlign w:val="bottom"/>
            <w:gridSpan w:val="19"/>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Executive Compensation</w:t>
              </w:r>
            </w:hyperlink>
          </w:p>
        </w:tc>
        <w:tc>
          <w:tcPr>
            <w:tcW w:w="1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12.</w:t>
              </w:r>
            </w:hyperlink>
          </w:p>
        </w:tc>
        <w:tc>
          <w:tcPr>
            <w:tcW w:w="9040" w:type="dxa"/>
            <w:vAlign w:val="bottom"/>
            <w:gridSpan w:val="19"/>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Security Ownership of Certain Beneficial Owners and Management and Related Stockholder Matters</w:t>
              </w:r>
            </w:hyperlink>
          </w:p>
        </w:tc>
        <w:tc>
          <w:tcPr>
            <w:tcW w:w="1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80" w:type="dxa"/>
            <w:vAlign w:val="bottom"/>
            <w:gridSpan w:val="9"/>
            <w:shd w:val="clear" w:color="auto" w:fill="0000EE"/>
          </w:tcPr>
          <w:p>
            <w:pPr>
              <w:spacing w:after="0" w:line="20" w:lineRule="exact"/>
              <w:rPr>
                <w:sz w:val="1"/>
                <w:szCs w:val="1"/>
                <w:color w:val="auto"/>
              </w:rPr>
            </w:pPr>
          </w:p>
        </w:tc>
        <w:tc>
          <w:tcPr>
            <w:tcW w:w="2580" w:type="dxa"/>
            <w:vAlign w:val="bottom"/>
            <w:tcBorders>
              <w:left w:val="single" w:sz="8" w:color="0000EE"/>
            </w:tcBorders>
            <w:gridSpan w:val="5"/>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13.</w:t>
              </w:r>
            </w:hyperlink>
          </w:p>
        </w:tc>
        <w:tc>
          <w:tcPr>
            <w:tcW w:w="9040" w:type="dxa"/>
            <w:vAlign w:val="bottom"/>
            <w:gridSpan w:val="19"/>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Certain Relationships and Related Transactions, and Director Independence</w:t>
              </w:r>
            </w:hyperlink>
          </w:p>
        </w:tc>
        <w:tc>
          <w:tcPr>
            <w:tcW w:w="1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80" w:type="dxa"/>
            <w:vAlign w:val="bottom"/>
            <w:gridSpan w:val="9"/>
            <w:shd w:val="clear" w:color="auto" w:fill="0000EE"/>
          </w:tcPr>
          <w:p>
            <w:pPr>
              <w:spacing w:after="0" w:line="20" w:lineRule="exact"/>
              <w:rPr>
                <w:sz w:val="1"/>
                <w:szCs w:val="1"/>
                <w:color w:val="auto"/>
              </w:rPr>
            </w:pPr>
          </w:p>
        </w:tc>
        <w:tc>
          <w:tcPr>
            <w:tcW w:w="2580" w:type="dxa"/>
            <w:vAlign w:val="bottom"/>
            <w:tcBorders>
              <w:left w:val="single" w:sz="8" w:color="0000EE"/>
            </w:tcBorders>
            <w:gridSpan w:val="5"/>
            <w:shd w:val="clear" w:color="auto" w:fill="0000EE"/>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14.</w:t>
              </w:r>
            </w:hyperlink>
          </w:p>
        </w:tc>
        <w:tc>
          <w:tcPr>
            <w:tcW w:w="9040" w:type="dxa"/>
            <w:vAlign w:val="bottom"/>
            <w:gridSpan w:val="19"/>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Principal Accounting Fees and Services</w:t>
              </w:r>
            </w:hyperlink>
          </w:p>
        </w:tc>
        <w:tc>
          <w:tcPr>
            <w:tcW w:w="1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gridSpan w:val="7"/>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IV</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15.</w:t>
              </w:r>
            </w:hyperlink>
          </w:p>
        </w:tc>
        <w:tc>
          <w:tcPr>
            <w:tcW w:w="320" w:type="dxa"/>
            <w:vAlign w:val="bottom"/>
            <w:gridSpan w:val="2"/>
          </w:tcPr>
          <w:p>
            <w:pPr>
              <w:spacing w:after="0"/>
              <w:rPr>
                <w:sz w:val="17"/>
                <w:szCs w:val="17"/>
                <w:color w:val="auto"/>
              </w:rPr>
            </w:pPr>
          </w:p>
        </w:tc>
        <w:tc>
          <w:tcPr>
            <w:tcW w:w="9040" w:type="dxa"/>
            <w:vAlign w:val="bottom"/>
            <w:gridSpan w:val="1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Exhibits, Financial Statement Schedules</w:t>
              </w:r>
            </w:hyperlink>
          </w:p>
        </w:tc>
        <w:tc>
          <w:tcPr>
            <w:tcW w:w="1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7"/>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Signatures</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EX-23</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i w:val="1"/>
          <w:iCs w:val="1"/>
          <w:color w:val="auto"/>
        </w:rPr>
        <w:t>The following discussion should be read in conjunction with the consolidated financial statements and notes thereto included elsewhere in this Annual Report on Form 10-K. This Annual Report on Form 10-K contains certain forward-looking statements including expectations of market conditions, challenges and plans, within the meaning of Section 21E of the Securities Exchange Act of 1934, as amended (the “Exchange Act”), and is subject to the Safe Harbor provisions created by that statute. These forward-looking statements are based on management’s current expectations and beliefs, including estimates and projections about our industries. Statements concerning financial position, business strategy, and plans or objectives for future operations are forward-looking statements. These statements are not guarantees of future performance and are subject to certain risks, uncertainties, and assumptions that are difficult to predict and may cause actual results to differ materially from management’s current expectations. Such risks and uncertainties include those set forth in this Annual Report on Form 10-K under the heading “Item 1A. Risk Factors”. The forward-looking statements in this report speak only as of the time they are made and do not necessarily reflect management’s outlook at any other point in time. We undertake no obligation to update publicly any forward-looking statements, whether as a result of new information, future events, or for any other reason. However, readers should carefully review the risk factors set forth in other reports or documents we file from time to time with the Securities and Exchange Commission (“SEC”) after the date of this Annual Report.</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Cohu, Inc. (“Cohu”, “we”, “our” and “us”) was incorporated under the laws of California in 1947, as Kalbfell Lab, Inc. and commenced active operations in the same year. Our name was changed to Kay Lab in 1954. In 1957, Cohu was reincorporated under the laws of the State of Delaware as Cohu Electronics, Inc. and in 1972, our name was changed to Cohu, Inc.</w:t>
      </w:r>
    </w:p>
    <w:p>
      <w:pPr>
        <w:spacing w:after="0" w:line="73"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We have three reportable segments: semiconductor equipment, microwave communication systems and video cameras. Our semiconductor equipment segment is comprised of our wholly owned subsidiaries Delta Design, Inc. (“Delta”) and Rasco GmbH (“Rasco”). Delta develops, manufactures and sells pick-and-place semiconductor test handlers, burn-in related equipment and thermal sub-systems to semiconductor manufacturers and semiconductor test subcontractors throughout the world. Rasco develops, manufactures and sells gravity-feed and test-in-strip semiconductor test handling equipment used in final test operations by semiconductor manufacturers and test subcontractors. Our microwave communication systems segment is comprised of our wholly owned subsidiary Broadcast Microwave Services, Inc. (“BMS”). BMS develops, manufactures and sells microwave communications equipment to government agencies, law enforcement and public safety organizations, unmanned air vehicle program contractors, television broadcasters, entertainment companies, professional sports teams and other commercial entities. Our video camera segment (“Electronics Division”) develops, manufactures and sells a wide selection of video cameras and related products, specializing in video solutions for security, surveillance and traffic monitoring. Customers for these products are distributed among security, surveillance, traffic control/management, scientific imaging and machine vision.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Sales by reportable segment, expressed as a percentage of total consolidated net sales, for the last three years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6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2009</w:t>
            </w:r>
          </w:p>
        </w:tc>
        <w:tc>
          <w:tcPr>
            <w:tcW w:w="740" w:type="dxa"/>
            <w:vAlign w:val="bottom"/>
          </w:tcPr>
          <w:p>
            <w:pPr>
              <w:spacing w:after="0"/>
              <w:rPr>
                <w:sz w:val="14"/>
                <w:szCs w:val="14"/>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720" w:type="dxa"/>
            <w:vAlign w:val="bottom"/>
          </w:tcPr>
          <w:p>
            <w:pPr>
              <w:spacing w:after="0"/>
              <w:rPr>
                <w:sz w:val="14"/>
                <w:szCs w:val="14"/>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Semiconductor equipment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70%</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Microwave communications</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20%</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Video cameras</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r>
      <w:tr>
        <w:trPr>
          <w:trHeight w:val="20"/>
        </w:trPr>
        <w:tc>
          <w:tcPr>
            <w:tcW w:w="77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7780" w:type="dxa"/>
            <w:vAlign w:val="bottom"/>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100%</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100%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77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Additional financial information on industry segments for each of the last three years is included in Note 6, “Segment and Related Information” in part IV, Item 15(a) of this Form 10-K.</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Semiconductor Equipment</w:t>
      </w:r>
    </w:p>
    <w:p>
      <w:pPr>
        <w:spacing w:after="0" w:line="12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We are a worldwide supplier of semiconductor test handling systems, burn-in equipment and thermal sub-systems. Our semiconductor equipment companies develop, manufacture, sell and service a broad line of equipment capable of handling a wide range of integrated circuit packages. Test handlers are electromechanical systems used to automate testing of the packaged integrated circuit in the “backend” of the semiconductor manufacturing process. Testing determines the quality and performance of the integrated circuit prior to shipment to customers. Testers are designed to verify the performance of the integrated circuit, such as microprocessors, logic, DRAM or mixed signal devices. Handlers are engineered to thermally condition and present for testing the packages that protect the integrated circuit. The majority of test handlers use either pick-and-place, gravity-feed or test-in-strip technologies. The integrated circuit package type normally determines the appropriate handling approach. Gravity-feed handling is the predominant solution for temperature testing of small outline leaded and non-leaded packages, as well as for packages with leads on only two sides. In gravity-feed handlers, integrated circuits are unloaded from plastic tubes, metal magazines or a bowl at the top of the machine and flow through the system, from top to bottom, propelled by the force of gravity. After testing, the integrated circuits are sorted and reloaded into tubes, magazines or tape for additional process steps or for shipment.</w:t>
      </w:r>
    </w:p>
    <w:p>
      <w:pPr>
        <w:spacing w:after="0" w:line="6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Integrated circuits with leads on all four sides, such as the quad flat pack or with balls or pads on the bottom or sides of the package, such as ball grid array packages and quad flat no-lead packages as well as certain low profile integrated circuits with leads on two sides, such as the thin small outline package, are predominately handled in pick-and-place systems. Pick-and-place handlers, use robotic mechanisms to move integrated circuits from waffle-like trays and place them in precision transport boats or carriers for processing through the system. After testing, integrated circuits are sorted and reloaded into designated trays, based on test results.</w:t>
      </w:r>
    </w:p>
    <w:p>
      <w:pPr>
        <w:spacing w:after="0" w:line="8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Test-in-strip handlers test integrated circuits in strips or panels prior to the final singulation step in the semiconductor manufacturing process flow and are typically used for high-parallel testing of non-memory integrated circuit devices. Micro Electro Mechanical Systems (“MEMS”) modules generate a physical stimuli for testing of sensor integrated circuits typically used in the automotive and consumer electronics industry.</w:t>
      </w:r>
    </w:p>
    <w:p>
      <w:pPr>
        <w:spacing w:after="0" w:line="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 ensure quality, semiconductor manufacturers typically test integrated circuits at hot and/or cold temperatures, which can accelerate failures. Our test handler products are designed to provide a precisely controlled test environment typically over the range of -60 degrees Celsius to +175 degrees Celsius. In recent years, the performance and speed of certain integrated circuits has increased, resulting in a substantial increase in the amount of heat that is generated within these high performance integrated circuits during the test process. This heat is capable of damaging or destroying the integrated circuit and can result in speed downgrading, when devices self-heat and fail to successfully test at their maximum possible speed. Device yields are extremely important and speed grading directly affects the selling price of the integrated circuit and the profitability of the semiconductor manufacturer. In addition to temperature capability, other key factors in the design of test handlers are cost, handling speed, flexibility, parallel test capability, system size and reliability.</w:t>
      </w:r>
    </w:p>
    <w:p>
      <w:pPr>
        <w:spacing w:after="0" w:line="5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Delta provides thermal sub-systems for use in advanced burn-in applications. These thermal sub-systems maintain and control the temperature of the integrated circuit during the burn-in testing process. Burn-in stresses devices for detection of early failures (infant mortality) prior to distribution. The burn-in process is also used by semiconductor manufacturers to develop reliability models of newly introduced devices. The objective of reliability testing is to determine a device’s fault-free operation and estimated useful life by exposing the device to various electrical and thermal conditions that impact its performance.</w:t>
      </w:r>
    </w:p>
    <w:p>
      <w:pPr>
        <w:spacing w:after="0" w:line="8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products are complex, electromechanical systems, that are used in high-volume production environments and many are in service twenty-four hours per day, seven days a week. Customers continuously strive to increase the utilization of their production test equipment and expect high reliability from test handling and burn-in equipment. The availability of trained technical support personnel is an important competitive factor in the marketplace. Our semiconductor equipment companies deploy service engineers worldwide, often within customer production facilities, who work with customer personnel to maintain, repair and continuously improve the performance of our equipment.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Semiconductor Equipment Products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offer products for the pick-and-place, gravity-feed, and strip semiconductor test handler, and burn-in markets. We currently sell the following products in the semiconductor equipment market: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Pick-and-place</w:t>
      </w:r>
    </w:p>
    <w:p>
      <w:pPr>
        <w:spacing w:after="0" w:line="11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 xml:space="preserve">The Delta </w:t>
      </w:r>
      <w:r>
        <w:rPr>
          <w:rFonts w:ascii="Arial" w:cs="Arial" w:eastAsia="Arial" w:hAnsi="Arial"/>
          <w:sz w:val="18"/>
          <w:szCs w:val="18"/>
          <w:b w:val="1"/>
          <w:bCs w:val="1"/>
          <w:color w:val="auto"/>
        </w:rPr>
        <w:t>Castle</w:t>
      </w:r>
      <w:r>
        <w:rPr>
          <w:rFonts w:ascii="Arial" w:cs="Arial" w:eastAsia="Arial" w:hAnsi="Arial"/>
          <w:sz w:val="18"/>
          <w:szCs w:val="18"/>
          <w:color w:val="auto"/>
        </w:rPr>
        <w:t xml:space="preserve"> is a pick-and-place test handler capable of thermally conditioning devices from - -60 degrees Celsius to +160 degrees Celsius. The Castle can position from one to nine devices for testing. Its large thermal soak chamber provides a continuous flow of thermally conditioned devices to the test site allowing the handler to process parts at high speed when running at temperature. The Castle incorporates an innovative vertical tray storage system that saves space on the test floor by minimizing the handler’s footprint.</w:t>
      </w:r>
    </w:p>
    <w:p>
      <w:pPr>
        <w:spacing w:after="0" w:line="76"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 xml:space="preserve">The Delta </w:t>
      </w:r>
      <w:r>
        <w:rPr>
          <w:rFonts w:ascii="Arial" w:cs="Arial" w:eastAsia="Arial" w:hAnsi="Arial"/>
          <w:sz w:val="18"/>
          <w:szCs w:val="18"/>
          <w:b w:val="1"/>
          <w:bCs w:val="1"/>
          <w:i w:val="1"/>
          <w:iCs w:val="1"/>
          <w:color w:val="auto"/>
        </w:rPr>
        <w:t>EDGE</w:t>
      </w:r>
      <w:r>
        <w:rPr>
          <w:rFonts w:ascii="Arial" w:cs="Arial" w:eastAsia="Arial" w:hAnsi="Arial"/>
          <w:sz w:val="18"/>
          <w:szCs w:val="18"/>
          <w:color w:val="auto"/>
        </w:rPr>
        <w:t xml:space="preserve">™ is a pick-and-place handler that combines an economical design with a small footprint and fast index time (processing speed of the contactor placement mechanism). The </w:t>
      </w:r>
      <w:r>
        <w:rPr>
          <w:rFonts w:ascii="Arial" w:cs="Arial" w:eastAsia="Arial" w:hAnsi="Arial"/>
          <w:sz w:val="18"/>
          <w:szCs w:val="18"/>
          <w:b w:val="1"/>
          <w:bCs w:val="1"/>
          <w:i w:val="1"/>
          <w:iCs w:val="1"/>
          <w:color w:val="auto"/>
        </w:rPr>
        <w:t>EDGE</w:t>
      </w:r>
      <w:r>
        <w:rPr>
          <w:rFonts w:ascii="Arial" w:cs="Arial" w:eastAsia="Arial" w:hAnsi="Arial"/>
          <w:sz w:val="18"/>
          <w:szCs w:val="18"/>
          <w:color w:val="auto"/>
        </w:rPr>
        <w:t>™ handler is designed to meet the needs of integrated circuit manufacturers and subcontractors who test at ambient and hot temperatures.</w:t>
      </w:r>
    </w:p>
    <w:p>
      <w:pPr>
        <w:spacing w:after="0" w:line="6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The Delta </w:t>
      </w:r>
      <w:r>
        <w:rPr>
          <w:rFonts w:ascii="Arial" w:cs="Arial" w:eastAsia="Arial" w:hAnsi="Arial"/>
          <w:sz w:val="18"/>
          <w:szCs w:val="18"/>
          <w:b w:val="1"/>
          <w:bCs w:val="1"/>
          <w:color w:val="auto"/>
        </w:rPr>
        <w:t>MATRiX</w:t>
      </w:r>
      <w:r>
        <w:rPr>
          <w:rFonts w:ascii="Arial" w:cs="Arial" w:eastAsia="Arial" w:hAnsi="Arial"/>
          <w:sz w:val="18"/>
          <w:szCs w:val="18"/>
          <w:color w:val="auto"/>
        </w:rPr>
        <w:t xml:space="preserve"> is a high performance pick-and-place handler capable of thermally conditioning devices from -60 degrees Celsius to +175 degrees Celsius. It provides increased productivity in several dimensions of performance: up to three times higher throughput and four times higher parallelism than our previous generation products, and active thermal control per test site. With an adjustable test site configuration, customers can reuse existing load-boards, including those made for gravity handlers. The system also provides flexibility with field upgradeable options including a chamberless tri-temperature test site and auto contactor cleaning.</w:t>
      </w:r>
    </w:p>
    <w:p>
      <w:pPr>
        <w:spacing w:after="0" w:line="7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 xml:space="preserve">Delta’s </w:t>
      </w:r>
      <w:r>
        <w:rPr>
          <w:rFonts w:ascii="Arial" w:cs="Arial" w:eastAsia="Arial" w:hAnsi="Arial"/>
          <w:sz w:val="18"/>
          <w:szCs w:val="18"/>
          <w:b w:val="1"/>
          <w:bCs w:val="1"/>
          <w:color w:val="auto"/>
        </w:rPr>
        <w:t>Summit</w:t>
      </w:r>
      <w:r>
        <w:rPr>
          <w:rFonts w:ascii="Arial" w:cs="Arial" w:eastAsia="Arial" w:hAnsi="Arial"/>
          <w:sz w:val="18"/>
          <w:szCs w:val="18"/>
          <w:color w:val="auto"/>
        </w:rPr>
        <w:t xml:space="preserve"> series of pick-and-place thermal handlers are designed to meet the requirements of manufacturers of microprocessors, graphic processors and other high speed, high power integrated circuits. The Summit handlers incorporate Delta’s proprietary thermal control technology. The Summit PTC, or Passive Thermal Control, and ATC, or Active Thermal Control, models dissipate the heat generated during test enabling the integrated circuit to be tested successfully at its maximum speed and performance.</w:t>
      </w:r>
    </w:p>
    <w:p>
      <w:pPr>
        <w:spacing w:after="0" w:line="72"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 xml:space="preserve">The Delta </w:t>
      </w:r>
      <w:r>
        <w:rPr>
          <w:rFonts w:ascii="Arial" w:cs="Arial" w:eastAsia="Arial" w:hAnsi="Arial"/>
          <w:sz w:val="18"/>
          <w:szCs w:val="18"/>
          <w:b w:val="1"/>
          <w:bCs w:val="1"/>
          <w:color w:val="auto"/>
        </w:rPr>
        <w:t>Pyramid</w:t>
      </w:r>
      <w:r>
        <w:rPr>
          <w:rFonts w:ascii="Arial" w:cs="Arial" w:eastAsia="Arial" w:hAnsi="Arial"/>
          <w:sz w:val="18"/>
          <w:szCs w:val="18"/>
          <w:color w:val="auto"/>
        </w:rPr>
        <w:t xml:space="preserve"> is the next generation thermal handler providing high throughput / high parallel test capabilities for microprocessors and graphics processing units. The system is highly configurable and is capable of adapting to various customer requirements ranging from small netbook microprocessor testing up to high-end server product testing.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Gravity-Feed</w:t>
      </w:r>
    </w:p>
    <w:p>
      <w:pPr>
        <w:spacing w:after="0" w:line="113"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 xml:space="preserve">Rasco’s </w:t>
      </w:r>
      <w:r>
        <w:rPr>
          <w:rFonts w:ascii="Arial" w:cs="Arial" w:eastAsia="Arial" w:hAnsi="Arial"/>
          <w:sz w:val="18"/>
          <w:szCs w:val="18"/>
          <w:b w:val="1"/>
          <w:bCs w:val="1"/>
          <w:color w:val="auto"/>
        </w:rPr>
        <w:t>SO1x00</w:t>
      </w:r>
      <w:r>
        <w:rPr>
          <w:rFonts w:ascii="Arial" w:cs="Arial" w:eastAsia="Arial" w:hAnsi="Arial"/>
          <w:sz w:val="18"/>
          <w:szCs w:val="18"/>
          <w:color w:val="auto"/>
        </w:rPr>
        <w:t xml:space="preserve"> is a high throughput gravity-feed platform that provides an economical solution for testing up to 8 devices in parallel. These handlers can be configured for tube-to-tube or metal magazine input and output, ambient-hot or tri-temperature testing and are easily kit-able for a wide range of integrated circuit packages.</w:t>
      </w:r>
    </w:p>
    <w:p>
      <w:pPr>
        <w:spacing w:after="0" w:line="68"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 xml:space="preserve">Rasco’s </w:t>
      </w:r>
      <w:r>
        <w:rPr>
          <w:rFonts w:ascii="Arial" w:cs="Arial" w:eastAsia="Arial" w:hAnsi="Arial"/>
          <w:sz w:val="18"/>
          <w:szCs w:val="18"/>
          <w:b w:val="1"/>
          <w:bCs w:val="1"/>
          <w:color w:val="auto"/>
        </w:rPr>
        <w:t>SO2x00</w:t>
      </w:r>
      <w:r>
        <w:rPr>
          <w:rFonts w:ascii="Arial" w:cs="Arial" w:eastAsia="Arial" w:hAnsi="Arial"/>
          <w:sz w:val="18"/>
          <w:szCs w:val="18"/>
          <w:color w:val="auto"/>
        </w:rPr>
        <w:t xml:space="preserve"> is a modular platform that offers a reliable solution for testing small integrated circuit packages and up to 8 devices in parallel. The base platform can be configured with various input and output modules: tube, metal magazine, bowl, bulk, tape and reel, and an optional laser marking unit. These handlers can be configured to ambient-hot or tri-temperature testing.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Test-in-strip</w:t>
      </w:r>
    </w:p>
    <w:p>
      <w:pPr>
        <w:spacing w:after="0" w:line="113" w:lineRule="exact"/>
        <w:rPr>
          <w:sz w:val="20"/>
          <w:szCs w:val="20"/>
          <w:color w:val="auto"/>
        </w:rPr>
      </w:pPr>
    </w:p>
    <w:p>
      <w:pPr>
        <w:ind w:right="180"/>
        <w:spacing w:after="0" w:line="313" w:lineRule="auto"/>
        <w:rPr>
          <w:sz w:val="20"/>
          <w:szCs w:val="20"/>
          <w:color w:val="auto"/>
        </w:rPr>
      </w:pPr>
      <w:r>
        <w:rPr>
          <w:rFonts w:ascii="Arial" w:cs="Arial" w:eastAsia="Arial" w:hAnsi="Arial"/>
          <w:sz w:val="17"/>
          <w:szCs w:val="17"/>
          <w:color w:val="auto"/>
        </w:rPr>
        <w:t xml:space="preserve">Rasco’s </w:t>
      </w:r>
      <w:r>
        <w:rPr>
          <w:rFonts w:ascii="Arial" w:cs="Arial" w:eastAsia="Arial" w:hAnsi="Arial"/>
          <w:sz w:val="17"/>
          <w:szCs w:val="17"/>
          <w:b w:val="1"/>
          <w:bCs w:val="1"/>
          <w:color w:val="auto"/>
        </w:rPr>
        <w:t>SO3000</w:t>
      </w:r>
      <w:r>
        <w:rPr>
          <w:rFonts w:ascii="Arial" w:cs="Arial" w:eastAsia="Arial" w:hAnsi="Arial"/>
          <w:sz w:val="17"/>
          <w:szCs w:val="17"/>
          <w:color w:val="auto"/>
        </w:rPr>
        <w:t>, test-in-strip handler, can process an entire strip at once or index the strip for single/multiple device testing. The system has tri-temperature capability, accommodates either stacked or slotted input/output media and can be configured with optional, automated vision alignment.</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 Electro Mechanical Systems (“MEMS”)</w:t>
      </w:r>
    </w:p>
    <w:p>
      <w:pPr>
        <w:spacing w:after="0" w:line="113"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 xml:space="preserve">Rasco’s </w:t>
      </w:r>
      <w:r>
        <w:rPr>
          <w:rFonts w:ascii="Arial" w:cs="Arial" w:eastAsia="Arial" w:hAnsi="Arial"/>
          <w:sz w:val="18"/>
          <w:szCs w:val="18"/>
          <w:b w:val="1"/>
          <w:bCs w:val="1"/>
          <w:color w:val="auto"/>
        </w:rPr>
        <w:t>SO7000</w:t>
      </w:r>
      <w:r>
        <w:rPr>
          <w:rFonts w:ascii="Arial" w:cs="Arial" w:eastAsia="Arial" w:hAnsi="Arial"/>
          <w:sz w:val="18"/>
          <w:szCs w:val="18"/>
          <w:color w:val="auto"/>
        </w:rPr>
        <w:t xml:space="preserve"> MEMS series are modules that generate a physical stimuli for testing of sensor integrated circuits typically used in the automotive (tire pressure, airbag sensors) and consumer electronics (tilt, motion and light sensors) industries. The SO7000 modules are stand-alone units that can be integrated into Delta’s or Rasco’s pick-and-place, test-in-strip, or gravity-feed handlers.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Burn-in</w:t>
      </w:r>
    </w:p>
    <w:p>
      <w:pPr>
        <w:spacing w:after="0" w:line="113"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 xml:space="preserve">Delta’s </w:t>
      </w:r>
      <w:r>
        <w:rPr>
          <w:rFonts w:ascii="Arial" w:cs="Arial" w:eastAsia="Arial" w:hAnsi="Arial"/>
          <w:sz w:val="18"/>
          <w:szCs w:val="18"/>
          <w:b w:val="1"/>
          <w:bCs w:val="1"/>
          <w:color w:val="auto"/>
        </w:rPr>
        <w:t>VTS300</w:t>
      </w:r>
      <w:r>
        <w:rPr>
          <w:rFonts w:ascii="Arial" w:cs="Arial" w:eastAsia="Arial" w:hAnsi="Arial"/>
          <w:sz w:val="18"/>
          <w:szCs w:val="18"/>
          <w:color w:val="auto"/>
        </w:rPr>
        <w:t>, is an automated burn-in system that supports asynchronous loading and unloading of devices without system interruption to transform the burn-in process from a traditional batch-oriented process to a more efficient continuous-flow process.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Thermal Sub-Systems</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Delta has developed custom thermal sub-systems that incorporate our proprietary thermal control technology which are used by integrated circuit manufacturers in high performance burn-in and system level test. These thermal sub-system products maintain and control the temperature of the integrated circuit during the testing process.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Spares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Delta and Rasco provide consumable and non-consumable items that are used to maintain, sustain or otherwise enable purchased equipment to meet or exceed its performance, availability and production requirements.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Tooling (kits)</w:t>
      </w:r>
    </w:p>
    <w:p>
      <w:pPr>
        <w:spacing w:after="0" w:line="11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Delta and Rasco design and manufacture a wide range of device dedication kits that enable their handler products to process different semiconductor packages.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Validation and Characterization</w:t>
      </w:r>
    </w:p>
    <w:p>
      <w:pPr>
        <w:spacing w:after="0" w:line="113"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 xml:space="preserve">Delta’s </w:t>
      </w:r>
      <w:r>
        <w:rPr>
          <w:rFonts w:ascii="Arial" w:cs="Arial" w:eastAsia="Arial" w:hAnsi="Arial"/>
          <w:sz w:val="18"/>
          <w:szCs w:val="18"/>
          <w:b w:val="1"/>
          <w:bCs w:val="1"/>
          <w:color w:val="auto"/>
        </w:rPr>
        <w:t>ETC 2000</w:t>
      </w:r>
      <w:r>
        <w:rPr>
          <w:rFonts w:ascii="Arial" w:cs="Arial" w:eastAsia="Arial" w:hAnsi="Arial"/>
          <w:sz w:val="18"/>
          <w:szCs w:val="18"/>
          <w:color w:val="auto"/>
        </w:rPr>
        <w:t xml:space="preserve"> is used in engineering and device characterization applications. The ETC 2000 conditions semiconductors to desired test temperature and maintains temperature set point by efficiently dissipating the heat generated during device test.</w:t>
      </w:r>
    </w:p>
    <w:p>
      <w:pPr>
        <w:spacing w:after="0" w:line="54"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color w:val="auto"/>
        </w:rPr>
        <w:t xml:space="preserve">Delta’s </w:t>
      </w:r>
      <w:r>
        <w:rPr>
          <w:rFonts w:ascii="Arial" w:cs="Arial" w:eastAsia="Arial" w:hAnsi="Arial"/>
          <w:sz w:val="18"/>
          <w:szCs w:val="18"/>
          <w:b w:val="1"/>
          <w:bCs w:val="1"/>
          <w:color w:val="auto"/>
        </w:rPr>
        <w:t>ETC 3000</w:t>
      </w:r>
      <w:r>
        <w:rPr>
          <w:rFonts w:ascii="Arial" w:cs="Arial" w:eastAsia="Arial" w:hAnsi="Arial"/>
          <w:sz w:val="18"/>
          <w:szCs w:val="18"/>
          <w:color w:val="auto"/>
        </w:rPr>
        <w:t xml:space="preserve"> is our next generation engineering and device characterization system. The ETC 3000 features fast and accurate thermal control technology for high precision characterization of high-power logic devices such as microprocessors and graphics processing units. The ETC 3000 uses the same thermal control technology as the Pyramid handler.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by Product Line</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December, 2008 we purchased Rasco, which expanded our product line to include gravity-feed and test-in-strip semiconductor test handling equipment. During the year ended December 26, 2009, sales of our semiconductor equipment segment were distributed as follows: semiconductor test handler systems — 24%; thermal sub-systems and burn-in equipment — 8%; and spares, tooling (kits) and service — 68%. During the same period semiconductor test handler system sales were comprised of approximately 76% pick-and-place handlers with the balance attributed to gravity-feed products.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Microwave Communications</w:t>
      </w:r>
    </w:p>
    <w:p>
      <w:pPr>
        <w:spacing w:after="0" w:line="12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BMS develops, manufactures and sells microwave communications equipment, antenna systems and associated equipment. These products are used in the transmission of video, audio and telemetry. Applications for these microwave data-links include unmanned aerial vehicles (UAVs), law enforcement, security and surveillance and electronic news gathering. Customers include government agencies, law enforcement and public safety organizations, unmanned air vehicle program contractors, television broadcasters, entertainment companies, professional sports teams and other commercial entities.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Video Cameras</w:t>
      </w:r>
    </w:p>
    <w:p>
      <w:pPr>
        <w:spacing w:after="0" w:line="121"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The Electronics Division has developed, manufactured and sold closed circuit video or CCTV cameras, equipment and systems for over 50 years. The customer base for these products is distributed among traffic control and management, scientific imaging, security/surveillance and machine vision. The product line consists of a wide selection of video cameras and related products, specializing in video solutions for security, surveillance and traffic monitoring. Its products are high-performance, high-resolution cameras that meet the most demanding performance requirements and are resistant to harsh environments. To support its camera products, the Electronics Division also offers accessories including monitors, lenses and camera test equipment.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Semiconductor Equipment</w:t>
      </w:r>
    </w:p>
    <w:p>
      <w:pPr>
        <w:spacing w:after="0" w:line="117"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Our customers include semiconductor manufacturers and subcontractors that perform test services for semiconductor manufacturers. Repeat sales to existing customers represent a significant portion of our sales. We rely on a limited number of customers for a substantial percentage of our net sales. During the last three years, two customers from our semiconductor equipment segment have comprised 10% or greater of our consolidated net sales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700" w:type="dxa"/>
            <w:vAlign w:val="bottom"/>
            <w:vMerge w:val="restart"/>
          </w:tcPr>
          <w:p>
            <w:pPr>
              <w:spacing w:after="0"/>
              <w:rPr>
                <w:sz w:val="20"/>
                <w:szCs w:val="20"/>
                <w:color w:val="auto"/>
              </w:rPr>
            </w:pPr>
            <w:r>
              <w:rPr>
                <w:rFonts w:ascii="Arial" w:cs="Arial" w:eastAsia="Arial" w:hAnsi="Arial"/>
                <w:sz w:val="18"/>
                <w:szCs w:val="18"/>
                <w:color w:val="auto"/>
              </w:rPr>
              <w:t>Intel</w:t>
            </w: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color w:val="auto"/>
              </w:rPr>
              <w:t>2009</w:t>
            </w:r>
          </w:p>
        </w:tc>
        <w:tc>
          <w:tcPr>
            <w:tcW w:w="14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color w:val="auto"/>
              </w:rPr>
              <w:t>2008</w:t>
            </w:r>
          </w:p>
        </w:tc>
        <w:tc>
          <w:tcPr>
            <w:tcW w:w="11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09"/>
        </w:trPr>
        <w:tc>
          <w:tcPr>
            <w:tcW w:w="7700" w:type="dxa"/>
            <w:vAlign w:val="bottom"/>
            <w:vMerge w:val="continue"/>
          </w:tcPr>
          <w:p>
            <w:pPr>
              <w:spacing w:after="0"/>
              <w:rPr>
                <w:sz w:val="18"/>
                <w:szCs w:val="18"/>
                <w:color w:val="auto"/>
              </w:rPr>
            </w:pPr>
          </w:p>
        </w:tc>
        <w:tc>
          <w:tcPr>
            <w:tcW w:w="1200" w:type="dxa"/>
            <w:vAlign w:val="bottom"/>
          </w:tcPr>
          <w:p>
            <w:pPr>
              <w:jc w:val="right"/>
              <w:ind w:right="456"/>
              <w:spacing w:after="0"/>
              <w:rPr>
                <w:sz w:val="20"/>
                <w:szCs w:val="20"/>
                <w:color w:val="auto"/>
              </w:rPr>
            </w:pPr>
            <w:r>
              <w:rPr>
                <w:rFonts w:ascii="Arial" w:cs="Arial" w:eastAsia="Arial" w:hAnsi="Arial"/>
                <w:sz w:val="18"/>
                <w:szCs w:val="18"/>
                <w:color w:val="auto"/>
              </w:rPr>
              <w:t>30%</w:t>
            </w:r>
          </w:p>
        </w:tc>
        <w:tc>
          <w:tcPr>
            <w:tcW w:w="1420" w:type="dxa"/>
            <w:vAlign w:val="bottom"/>
          </w:tcPr>
          <w:p>
            <w:pPr>
              <w:jc w:val="right"/>
              <w:ind w:right="436"/>
              <w:spacing w:after="0"/>
              <w:rPr>
                <w:sz w:val="20"/>
                <w:szCs w:val="20"/>
                <w:color w:val="auto"/>
              </w:rPr>
            </w:pPr>
            <w:r>
              <w:rPr>
                <w:rFonts w:ascii="Arial" w:cs="Arial" w:eastAsia="Arial" w:hAnsi="Arial"/>
                <w:sz w:val="18"/>
                <w:szCs w:val="18"/>
                <w:color w:val="auto"/>
              </w:rPr>
              <w:t>30%</w:t>
            </w:r>
          </w:p>
        </w:tc>
        <w:tc>
          <w:tcPr>
            <w:tcW w:w="1100" w:type="dxa"/>
            <w:vAlign w:val="bottom"/>
          </w:tcPr>
          <w:p>
            <w:pPr>
              <w:jc w:val="right"/>
              <w:ind w:right="96"/>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Advanced Micro Devices</w:t>
            </w:r>
          </w:p>
        </w:tc>
        <w:tc>
          <w:tcPr>
            <w:tcW w:w="1200" w:type="dxa"/>
            <w:vAlign w:val="bottom"/>
          </w:tcPr>
          <w:p>
            <w:pPr>
              <w:jc w:val="right"/>
              <w:ind w:right="456"/>
              <w:spacing w:after="0"/>
              <w:rPr>
                <w:sz w:val="20"/>
                <w:szCs w:val="20"/>
                <w:color w:val="auto"/>
              </w:rPr>
            </w:pPr>
            <w:r>
              <w:rPr>
                <w:rFonts w:ascii="Arial" w:cs="Arial" w:eastAsia="Arial" w:hAnsi="Arial"/>
                <w:sz w:val="18"/>
                <w:szCs w:val="18"/>
                <w:color w:val="auto"/>
              </w:rPr>
              <w:t>11%</w:t>
            </w:r>
          </w:p>
        </w:tc>
        <w:tc>
          <w:tcPr>
            <w:tcW w:w="1420" w:type="dxa"/>
            <w:vAlign w:val="bottom"/>
          </w:tcPr>
          <w:p>
            <w:pPr>
              <w:jc w:val="right"/>
              <w:ind w:right="436"/>
              <w:spacing w:after="0"/>
              <w:rPr>
                <w:sz w:val="20"/>
                <w:szCs w:val="20"/>
                <w:color w:val="auto"/>
              </w:rPr>
            </w:pPr>
            <w:r>
              <w:rPr>
                <w:rFonts w:ascii="Arial" w:cs="Arial" w:eastAsia="Arial" w:hAnsi="Arial"/>
                <w:sz w:val="18"/>
                <w:szCs w:val="18"/>
                <w:color w:val="auto"/>
              </w:rPr>
              <w:t>15%</w:t>
            </w:r>
          </w:p>
        </w:tc>
        <w:tc>
          <w:tcPr>
            <w:tcW w:w="1100" w:type="dxa"/>
            <w:vAlign w:val="bottom"/>
          </w:tcPr>
          <w:p>
            <w:pPr>
              <w:jc w:val="right"/>
              <w:ind w:right="96"/>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loss of, or a significant reduction in, orders by these or other significant customers, including reductions due to market, economic or competitive conditions or the outsourcing of final integrated circuit test to subcontractors that are not our customers would adversely affect our financial condition and results of operations and as a result, we believe that our customer concentration is a significant business risk.</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Microwave Communications</w:t>
      </w:r>
    </w:p>
    <w:p>
      <w:pPr>
        <w:spacing w:after="0" w:line="11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Our customer base for microwave communications equipment is diverse and includes government agencies, law enforcement and public safety organizations, unmanned air vehicle program contractors, television broadcasters, entertainment companies, professional sports teams and other commercial entities throughout the world. No single customer of this segment accounted for 10% or more of our consolidated net sales in 2009, 2008 or 2007.</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 Cameras</w:t>
      </w:r>
    </w:p>
    <w:p>
      <w:pPr>
        <w:spacing w:after="0" w:line="11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Our customer base in the video camera industry segment is also diverse and includes end-users, government agencies, original equipment manufacturers, contractors and value-added resellers. No single customer of this segment accounted for 10% or more of our consolidated net sales in 2009, 2008 or 2007.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market our products worldwide through a combination of a direct sales force and independent sales representatives. In geographic areas where we believe there is sufficient sales potential, we generally employ our own personnel. The U.S. sales office for our semiconductor equipment businesses is located at Delta’s Poway, California facility. In 1993, a foreign subsidiary was formed in Singapore to handle the sales and service of our test handling products to customers located in Southeast Asia. In 1995, a branch of the Singapore sales and service subsidiary was opened in Taipei, Taiwan. As a result of our acquisition of Rasco in December 2008 we have a direct sales force in Europe. Sales in Japan and Korea are made primarily through independent sales representatives.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Semiconductor Equipment</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semiconductor equipment industry is intensely competitive and is characterized by rapid technological change and demanding worldwide service requirements. Significant competitive factors include product performance, price, reliability, customer support and installed base of products. While we are a leading worldwide supplier of semiconductor test handling equipment, we face substantial competition and there are a large number of competitors for a relatively small worldwide market. The Japanese and Korean markets for test handling equipment are large and represent a significant percentage of the worldwide market. During each of the last three years our sales to Japanese and Korean customers, who have historically purchased test handling equipment from Asian suppliers, have represented less than 10% of our total sales. Some of our current and potential competitors have substantially greater financial, engineering, manufacturing and customer support capabilities and offer more extensive product offerings than Cohu. To remain competitive we believe we will require significant financial resources to offer a broad range of products, maintain customer support and service centers worldwide and to invest in research and development of new products. Failure to introduce new products in a timely manner or the introduction by competitors of products with actual or perceived advantages could result in a loss of competitive position and reduced sales of existing products. No assurance can be given that we will continue to compete successfully in the U.S. or throughout the world.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Microwave Communications and Video Camera</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products in the microwave communications and video camera segments are sold in highly competitive markets throughout the world, where competition is on the basis of price, product performance and integration with customer requirements, service, product quality and reliability. Many of our competitors are divisions or segments of large, diversified companies with substantially greater financial, engineering, marketing, manufacturing and customer support capabilities than Cohu. No assurance can be given that we will continue to compete successfully in these market segments.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backlog of unfilled orders for products, by segment, at December 26, 2009 and December 27, 2008,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28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9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Semiconductor equipment</w:t>
            </w:r>
          </w:p>
        </w:tc>
        <w:tc>
          <w:tcPr>
            <w:tcW w:w="14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59.9</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Microwave communications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Video cameras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Total consolidated backlog</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r>
              <w:rPr>
                <w:rFonts w:ascii="Arial" w:cs="Arial" w:eastAsia="Arial" w:hAnsi="Arial"/>
                <w:sz w:val="18"/>
                <w:szCs w:val="18"/>
                <w:u w:val="single" w:color="auto"/>
                <w:color w:val="auto"/>
              </w:rPr>
              <w:t>1</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r>
              <w:rPr>
                <w:rFonts w:ascii="Arial" w:cs="Arial" w:eastAsia="Arial" w:hAnsi="Arial"/>
                <w:sz w:val="18"/>
                <w:szCs w:val="18"/>
                <w:u w:val="single" w:color="auto"/>
                <w:color w:val="auto"/>
              </w:rPr>
              <w:t>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Backlog is generally expected to be shipped within the next twelve months. Our backlog at any point in time may not be representative of actual sales in any future period due to the possibility of customer changes in delivery schedules, cancellation of orders, potential delays in product shipments, difficulties in obtaining parts from suppliers, failure to satisfy customer acceptance requirements and the inability to recognize revenue under accounting requirements. Furthermore, many orders are subject to cancellation or rescheduling by the customer with limited or no penalty. A reduction in backlog during any particular period could have a material adverse effect on our business, financial condition and results of operations. There is no significant seasonal aspect to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Raw Materials</w:t>
      </w:r>
    </w:p>
    <w:p>
      <w:pPr>
        <w:spacing w:after="0" w:line="1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manufacturing operations are currently located in Poway, California (BMS, Delta and Electronics Division); Tijuana, B.C. Mexico (Delta); Laguna, the Philippines (Delta); Kolbermoor, Germany (Rasco); and Kemel, Germany (BMS). Our microwave communications and video camera businesses perform internal assembly, final integration and test. Rasco relies on contract manufacturers for sub-assemblies while performing final integration and test in their Kolbermoor facility and Delta is in the process of transitioning its internal handler manufacturing model to an outsourced model utilizing contract manufacturers. We expect outsourcing to improve our ability to manage costs in a cyclical market, reduce inventory costs and exposure, improve our responsiveness to customer demand and improve gross margin.</w:t>
      </w:r>
    </w:p>
    <w:p>
      <w:pPr>
        <w:spacing w:after="0" w:line="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Many of the components and subassemblies we utilize are standard products, although certain items are made to our specifications. Certain components, particularly in our semiconductor equipment businesses, are obtained or are available from a limited number of suppliers. We seek to reduce our dependence on sole and limited source suppliers, however in some cases the complete or partial loss of certain of these sources could have a material adverse effect on our operations while we attempt to locate and qualify replacement suppliers.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proprietary technology is protected by various intellectual property laws including patents, licenses, trademarks, copyrights and trade secrets. In addition, we believe that, due to the rapid pace of technological change in the semiconductor equipment industry and our other business segments, the successful manufacture and sale of our products also depend upon our experience, technological know-how, manufacturing and marketing skills and speed of response to sales opportunities. In the absence of patent protection, we would be vulnerable to competitors who attempt to copy or imitate our products or processes. We believe our intellectual property has value and we have in the past and will in the future take actions we deem appropriate to protect such property from misappropriation. However, there can be no assurance such actions will provide meaningful protection from competition. Protecting our intellectual property rights or defending against claims brought by other holders of such rights, either directly against us or against customers we have agreed to indemnify, would likely be expensive and time consuming and could have a material adverse effect on our operations.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Certain of the markets in which we compete, particularly the semiconductor equipment industry, are characterized by rapid technological change. Research and development activities are carried on in our various subsidiaries and division and are directed toward development of new products and equipment, as well as enhancements to existing products and equipment. Our total research and development expense was $32.0 million in 2009, $38.1 million in 2008 and $38.3 million in 2007.</w:t>
      </w:r>
    </w:p>
    <w:p>
      <w:pPr>
        <w:spacing w:after="0" w:line="7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work closely with our customers to make improvements to our existing products and in the development of new products. We expect to continue to invest heavily in research and development and must manage product transitions successfully as introductions of new products could adversely impact sales of existing products.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Laws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business is subject to numerous federal, state, local and international environmental laws. On occasion, we have been notified by local authorities of instances of noncompliance with local and/or state environmental laws. We believe we are in compliance with applicable federal, state, local and international regulations. Compliance with foreign, federal, state and local laws which have been enacted or adopted regulating the discharge of materials into the environment or otherwise relating to the protection of the environment and the prevention of climate change have not had a material effect and is not expected to have a material effect upon the capital expenditures, results of operations or our competitive position. However, future changes in regulations may require expenditures that could adversely impact earnings in future years.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sets forth the names, ages, positions and offices held by all executive officers of Cohu as of February 12, 2010. Executive Officers serve at the discretion of the Board of Directors, until their successors are appointed.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6480" w:type="dxa"/>
            <w:vAlign w:val="bottom"/>
            <w:gridSpan w:val="2"/>
          </w:tcPr>
          <w:p>
            <w:pPr>
              <w:ind w:left="34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20" w:type="dxa"/>
            <w:vAlign w:val="bottom"/>
          </w:tcPr>
          <w:p>
            <w:pPr>
              <w:spacing w:after="0"/>
              <w:rPr>
                <w:sz w:val="18"/>
                <w:szCs w:val="18"/>
                <w:color w:val="auto"/>
              </w:rPr>
            </w:pPr>
          </w:p>
        </w:tc>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Cohu:</w:t>
            </w:r>
          </w:p>
        </w:tc>
        <w:tc>
          <w:tcPr>
            <w:tcW w:w="3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14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James A. Donahue</w:t>
            </w:r>
          </w:p>
        </w:tc>
        <w:tc>
          <w:tcPr>
            <w:tcW w:w="74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61</w:t>
            </w:r>
          </w:p>
        </w:tc>
        <w:tc>
          <w:tcPr>
            <w:tcW w:w="6480" w:type="dxa"/>
            <w:vAlign w:val="bottom"/>
            <w:gridSpan w:val="2"/>
          </w:tcPr>
          <w:p>
            <w:pPr>
              <w:ind w:left="34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Jeffrey D. Jones</w:t>
            </w:r>
          </w:p>
        </w:tc>
        <w:tc>
          <w:tcPr>
            <w:tcW w:w="74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89"/>
              </w:rPr>
              <w:t>48</w:t>
            </w:r>
          </w:p>
        </w:tc>
        <w:tc>
          <w:tcPr>
            <w:tcW w:w="6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Vice President, Finance and Chief Financial Officer</w:t>
            </w:r>
          </w:p>
        </w:tc>
      </w:tr>
      <w:tr>
        <w:trPr>
          <w:trHeight w:val="432"/>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Cohu wholly owned subsidiaries:</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James G. McFarlane</w:t>
            </w:r>
          </w:p>
        </w:tc>
        <w:tc>
          <w:tcPr>
            <w:tcW w:w="74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89"/>
              </w:rPr>
              <w:t>59</w:t>
            </w:r>
          </w:p>
        </w:tc>
        <w:tc>
          <w:tcPr>
            <w:tcW w:w="6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Senior Vice President — Delta Design</w:t>
            </w: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Roger J. Hopkins</w:t>
            </w:r>
          </w:p>
        </w:tc>
        <w:tc>
          <w:tcPr>
            <w:tcW w:w="74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60</w:t>
            </w:r>
          </w:p>
        </w:tc>
        <w:tc>
          <w:tcPr>
            <w:tcW w:w="6480" w:type="dxa"/>
            <w:vAlign w:val="bottom"/>
            <w:gridSpan w:val="2"/>
          </w:tcPr>
          <w:p>
            <w:pPr>
              <w:ind w:left="340"/>
              <w:spacing w:after="0"/>
              <w:rPr>
                <w:sz w:val="20"/>
                <w:szCs w:val="20"/>
                <w:color w:val="auto"/>
              </w:rPr>
            </w:pPr>
            <w:r>
              <w:rPr>
                <w:rFonts w:ascii="Arial" w:cs="Arial" w:eastAsia="Arial" w:hAnsi="Arial"/>
                <w:sz w:val="18"/>
                <w:szCs w:val="18"/>
                <w:color w:val="auto"/>
              </w:rPr>
              <w:t>Vice President, Sales and Service Delta — Rasco</w:t>
            </w: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James P. Walsh</w:t>
            </w:r>
          </w:p>
        </w:tc>
        <w:tc>
          <w:tcPr>
            <w:tcW w:w="74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89"/>
              </w:rPr>
              <w:t>40</w:t>
            </w:r>
          </w:p>
        </w:tc>
        <w:tc>
          <w:tcPr>
            <w:tcW w:w="6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Vice President, Manufacturing — Delta Design</w:t>
            </w:r>
          </w:p>
        </w:tc>
      </w:tr>
    </w:tbl>
    <w:p>
      <w:pPr>
        <w:spacing w:after="0" w:line="94"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Mr. Donahue has been employed by Delta Design since 1978 and has been President of Delta Design since May, 1983. In October, 1999, Mr. Donahue was named to the position of President and Chief Operating Officer of Cohu and was appointed to Cohu’s Board of Directors. In June, 2000, Mr. Donahue was promoted to Chief Executive Officer.</w:t>
      </w:r>
    </w:p>
    <w:p>
      <w:pPr>
        <w:spacing w:after="0" w:line="7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Mr. Jones joined Delta Design in 2005 as Vice President Finance. In November, 2007, Mr. Jones was named to the position of Vice President, Finance and Chief Financial Officer of Cohu. Prior to joining Delta Design, Mr. Jones, was a consultant from 2004 to June, 2005 and Vice President and General Manager of the Systems Group at SBS Technologies, Inc., a designer and manufacturer of embedded computer products, from 1998 to 2003.</w:t>
      </w:r>
    </w:p>
    <w:p>
      <w:pPr>
        <w:spacing w:after="0" w:line="5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Mr. McFarlane has been employed by Delta Design since 1989. He was Director of Engineering from 1992 to 1998 and was promoted to Vice President of Engineering in 1998. In 2000, Mr. McFarlane was promoted to Senior Vice President.</w:t>
      </w:r>
    </w:p>
    <w:p>
      <w:pPr>
        <w:spacing w:after="0" w:line="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Mr. Hopkins has been employed by Delta Design since April 2008 as Vice President, Sales and Service. Prior to joining Delta, from January, 2003 until April, 2008 Mr. Hopkins was the Asian and Western Regional Manager at Aetrium, Incorporated, a supplier of semiconductor test handlers and reliability test systems. Additionally, Mr. Hopkins worked as Delta’s Director of Sales from April, 2001 until December, 2002.</w:t>
      </w:r>
    </w:p>
    <w:p>
      <w:pPr>
        <w:spacing w:after="0" w:line="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Mr. Walsh has been employed by Delta Design since 2004. In October, 2007, Mr. Walsh was promoted to Vice President, Manufacturing. Prior to joining Delta Design, Mr. Walsh was a consultant from 2003 to June, 2004, and held various positions at Asymtek (a subsidiary of Nordson Corporation) a maker of automated dispensing equipment for the semiconductor industry from 1994 to 2003.</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At December 26, 2009, we had approximately 1,000 employees. Our employee headcount has fluctuated in the last five years primarily due to the volatile business conditions in the semiconductor equipment industry. None of our employees are covered by collective bargaining agreements. We believe that a great part of our future success will depend on our continued ability to attract and retain qualified employees. Competition for the services of certain personnel, particularly those with technical skills, is intense. There can be no assurance that we will be able to attract, hire, assimilate and retain a sufficient number of qualified employees.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Our web site address is </w:t>
      </w:r>
      <w:r>
        <w:rPr>
          <w:rFonts w:ascii="Arial" w:cs="Arial" w:eastAsia="Arial" w:hAnsi="Arial"/>
          <w:sz w:val="16"/>
          <w:szCs w:val="16"/>
          <w:u w:val="single" w:color="auto"/>
          <w:color w:val="auto"/>
        </w:rPr>
        <w:t>www.cohu.com</w:t>
      </w:r>
      <w:r>
        <w:rPr>
          <w:rFonts w:ascii="Arial" w:cs="Arial" w:eastAsia="Arial" w:hAnsi="Arial"/>
          <w:sz w:val="16"/>
          <w:szCs w:val="16"/>
          <w:color w:val="auto"/>
        </w:rPr>
        <w:t xml:space="preserve">. We make available free of charge, on or through our web site, our annual report on Form 10-K, quarterly reports on Form 10-Q, current reports on Form 8-K, and all amendments to those reports, as soon as reasonably practicable after such material is electronically filed with the Securities and Exchange Commission. Our Code of Business Conduct and Ethics and other documents related to our corporate governance is also posted on our web site at </w:t>
      </w:r>
      <w:r>
        <w:rPr>
          <w:rFonts w:ascii="Arial" w:cs="Arial" w:eastAsia="Arial" w:hAnsi="Arial"/>
          <w:sz w:val="16"/>
          <w:szCs w:val="16"/>
          <w:u w:val="single" w:color="auto"/>
          <w:color w:val="auto"/>
        </w:rPr>
        <w:t>www.cohu.com/investors/corporategovernance</w:t>
      </w:r>
      <w:r>
        <w:rPr>
          <w:rFonts w:ascii="Arial" w:cs="Arial" w:eastAsia="Arial" w:hAnsi="Arial"/>
          <w:sz w:val="16"/>
          <w:szCs w:val="16"/>
          <w:color w:val="auto"/>
        </w:rPr>
        <w:t>. Information contained on our web site is not deemed part of this report.</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Set forth below and elsewhere in this report on Form 10-K and in other documents we file with the SEC, are risks and uncertainties that could cause actual results to differ materially from the results expressed or implied by the forward-looking statements contained in this Annual Report. Before deciding to purchase, hold or sell our common stock, you should carefully consider the risks described below in addition to the other cautionary statements and risks described elsewhere, and the other information contained, in this Annual Report on Form 10-K. The risks and uncertainties described below are not the only ones we face. Additional risks and uncertainties not presently known to us or that we currently deem immaterial may also affect our business. If any of these known or unknown risks or uncertainties actually occurs with material adverse effects on Cohu, our business, financial condition and results of operations could be seriously harmed. The trading price of our common stock could decline due to any of these risks, and you may lose all or part of your investment.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industry we serve is highly volatile and unpredictable.</w:t>
      </w:r>
    </w:p>
    <w:p>
      <w:pPr>
        <w:spacing w:after="0" w:line="117"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Visibility into our markets is limited. Our operating results are substantially dependent on our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we manufacture and market. We anticipate that the markets for newer generations of semiconductors and semiconductor equipment may also be subject to similar cycles and severe downturns. Any significant reductions in capital equipment investment by semiconductor manufacturers and semiconductor test subcontractors will materially and adversely affect our business, financial position and results of operations. In addition, the volatile and unpredictable nature of semiconductor equipment demand has in the past and may in the future expose us to significant excess and obsolete and lower of cost or market inventory write-offs and reserve requirements. In 2009, 2008, and 2007, we recorded pre-tax inventory-related charges of approximately $4.4 million, $6.2 million, and $4.6 million, respectively, primarily as a result of changes in customer forecasts.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equipment industry in general and the test handler market in particular, is highly competitive.</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The semiconductor test handler industry is intensely competitive and we face substantial competition from numerous companies throughout the world. The test handler industry, while relatively small in terms of worldwide market size compared to other segments of the semiconductor equipment industry, has an inordinately large number of participants resulting in intense competitive pricing pressures. Future competition may include companies that do not currently supply test handlers. Some of our competitors have substantially greater financial, engineering, manufacturing and customer support capabilities and provide more extensive product offerings. In addition, there are emerging semiconductor equipment companies that provide or may provide innovative technology incorporated in products that may compete successfully against our products. We expect our competitors to continue to improve the design and performance of their current products and introduce new products with improved performance capabilities. Our failure to introduce new products in a timely manner, the introduction by our competitors of products with perceived or actual advantages, or disputes over rights to use certain intellectual property or technology could result in a loss of our competitive position and reduced sales of, or margins on our existing products. We believe that competitive conditions in the semiconductor test handler market have intensified over the last several years. This intense competition has adversely impacted our product average selling prices and gross margins on certain products. If we are unable to reduce the cost of our existing products and successfully introduce new lower cost products we expect these competitive conditions to negatively impact our gross margin and operating results in the foreseeable future.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Semiconductor equipment is subject to rapid technological change, product introductions and transitions may result in inventory write-offs and our new product development involves numerous risks and uncertainties.</w:t>
      </w:r>
    </w:p>
    <w:p>
      <w:pPr>
        <w:spacing w:after="0" w:line="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including the products obtained in our acquisitions, may adversely impact sales and/or margins of existing products. In addition, the introduction of new products by us or by our competitors, the concentration of our revenues in a limited number of large customers, the migration to new semiconductor testing methodologies and the custom nature of our inventory parts increases the risk that our established products and related inventory may become obsolete, resulting in significant excess and obsolete inventory exposure. This increased exposure resulted in significant charges to operations during each of the years in the three-year period ended December 26, 2009. Future inventory write-offs and increased inventory reserve requirements could have a material adverse impact on our results of operations and financial condition.</w:t>
      </w:r>
    </w:p>
    <w:p>
      <w:pPr>
        <w:spacing w:after="0" w:line="5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design, development, commercial introduction and manufacture of new semiconductor equipment is an inherently complex process that involves a number of risks and uncertainties. These risks include potential problems in meeting customer acceptance and performance requirements, integration of the equipment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semiconductor equipment is heavily influenced by changes in integrated circuit assembly, test and final manufacturing processes and integrated circuit package design changes. We believe that the rate of change in such processes and integrated circuit packages is accelerating. As a result of these changes and other factors, assessing the market potential and commercial viability of handling and burn-in test equipment is extremely difficult and subject to a great deal of risk. In addition, not all integrated circuit manufacturers employ the same manufacturing processes. Differences in such processes make it difficult to design standard test products that are capable of achieving broad market acceptance. As a result, we might not accurately assess the semiconductor industry’s future equipment requirements and fail to design and develop products that meet such requirements and achieve market acceptance. Failure to accurately assess customer requirements and market trends for new semiconductor test products may have a material adverse impact on our operations, financial condition and results of operations.</w:t>
      </w:r>
    </w:p>
    <w:p>
      <w:pPr>
        <w:spacing w:after="0" w:line="6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equipment. In addition, as is common with semiconductor equipment, our after sale support and warranty costs have typically been significantly higher with new products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economic conditions may have an impact on our business and financial condition in ways that we currently cannot predict.</w:t>
      </w:r>
    </w:p>
    <w:p>
      <w:pPr>
        <w:spacing w:after="0" w:line="11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Our operations and financial results depend on worldwide economic conditions and their impact on levels of business spending, which have deteriorated significantly in many countries and regions and may remain depressed for the foreseeable future. Continued uncertainties may reduce future sales of our products and services. While we believe we have a strong customer base and have experienced strong collections in the past, if the current market conditions deteriorate, we may experience increased collection times and greater write-offs, either of which could have a material adverse effect on our cash flow.</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In addition, the tightening of credit markets and concerns regarding the availability of credit may make it more difficult for our customers to raise capital, whether debt or equity, to finance their purchases of capital equipment, including the products we sell. Delays in our customers’ ability to obtain such financing, or the unavailability of such financing, would adversely affect our product sales and revenues and therefore harm our business and operating results. We cannot predict the timing, duration of or effect on our business of the economic slowdown or the timing or strength of a subsequent recovery.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customers account for a substantial percentage of our net sales.</w:t>
      </w:r>
    </w:p>
    <w:p>
      <w:pPr>
        <w:spacing w:after="0" w:line="11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A small number of customers historically have been responsible for a significant portion of our net sales. In the year ended December 26, 2009, two customers of the semiconductor equipment segment accounted for 41% (45% in 2008, and 55% in 2007) of our net sales. During the past five years, the percentage of our sales derived from each of these and other significant customers has varied greatly. Such variations are due to changes in the customers’ business and their purchase of products from our competitors. It is common in the semiconductor test handler industry for customers to purchase equipment from more than one equipment supplier, increasing the risk that our competitive position with a specific customer may deteriorate. No assurance can be given that we will continue to maintain our competitive position with these or other significant customers. Furthermore, we expect the percentage of our revenues derived from significant customers will vary greatly in future periods. The loss of, or a significant reduction in, orders by these or other significant customers as a result of competitive products, market conditions, outsourcing final semiconductor test to test subcontractors that are not our customers or other factors, would have a material adverse impact on our business, financial condition and results of operations. Furthermore, the concentration of our revenues in a limited number of large customers is likely to cause significant fluctuations in our future annual and quarterly operating results.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participate in the DRAM test handler market.</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Pick-and-place handlers used in DRAM applications account for a significant portion of the worldwide test handler market. We do not participate in the DRAM market segment; therefore our total available sales market is limited.</w:t>
      </w:r>
    </w:p>
    <w:p>
      <w:pPr>
        <w:spacing w:after="0" w:line="6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we cannot continue to develop, manufacture and market products and services that meet customer requirements for innovation and quality, our revenue and gross margin may suffer.</w:t>
      </w:r>
    </w:p>
    <w:p>
      <w:pPr>
        <w:spacing w:after="0" w:line="6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process of developing new high technology products and services and enhancing existing products and services is complex, costly and uncertain, and any failure by us to anticipate customers’ changing needs and emerging technological trends accurately could significantly harm our market share and results of operations. In addition, in the course of conducting our business, we must adequately address quality issues associated with our products and services, including defects in our engineering, design and manufacturing processes, as well as defects in third-party components included in our products. In order to address quality issues, we work extensively with our customers and suppliers and engage in product testing to determine the cause of quality problems and to determine appropriate solutions. Finding solutions to quality issues can be expensive and may result in additional warranty, replacement and other costs, adversely affecting our profits. In addition, quality issues can impair our relationships with new or existing customers and adversely affect our reputation, which could lead to a material adverse effect on our operating results.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cyclical nature of the semiconductor equipment industry places enormous demands on our employees, operations and infrastructure.</w:t>
      </w:r>
    </w:p>
    <w:p>
      <w:pPr>
        <w:spacing w:after="0" w:line="1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semiconductor equipment industry is characterized by dramatic and sometimes volatile changes in demand for its products. Changes in product demand result from a number of factors including the semiconductor industry’s continually changing and unpredictable capacity requirements and changes in integrated circuit design and packaging. Sudden changes in demand for semiconductor equipment have a significant impact on our operations. Typically, we reduce and increase our workforce, particularly in manufacturing, based on customer demand for our products. These changes in workforce levels place enormous demands on our employees, operations and infrastructure since newly hired personnel rarely possess the expertise and level of experience of current employees. Additionally, these transitions divert management time and attention from other activities and adversely impact employee morale. We have in the past and may in the future experience difficulties, particularly in manufacturing, in training and recruiting the large number of additions to our workforce. The volatility in headcount and business levels, combined with the cyclical nature of the semiconductor industry, may require that we invest substantial amounts in new operational and financial systems, procedures and controls. We may not be able to successfully adjust our systems, facilities and production capacity to meet our customers’ changing requirements. The inability to meet such requirements will have an adverse impact on our business, financial position and results of operations.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adversely impact our business.</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Certain key personnel are critical to our business. Our future operating results depend substantially upon the continued service of our key personnel, many of whom are not bound by employment or non-competition agreements. Our future operating results also depend in significant part upon our ability to attract and retain qualified management, manufacturing, technical, engineering, marketing, sales and support personnel. Competition for qualified personnel, particularly those with technical skills, is intense, and we cannot ensure success in attracting or retaining qualified personnel. In addition, the cost of living in the San Diego, California area, where the majority of our personnel are located, is very high and we have had difficulty in recruiting prospective employees from other locations. There may be only a limited number of persons with the requisite skills and relevant industry experience to serve in these positions and it may become increasingly difficult for us to hire personnel over time. Our business, financial condition and results of operations could be materially adversely affected by the loss of any of our key employees, by the failure of any key employee to perform in his or her current position, or by our inability to attract and retain skilled employees.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regulations may impact sales to foreign customers.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Certain products and services that we offer require compliance with United States export and other regulations. Compliance with complex U.S. laws and regulations that apply to our international sales activities increases our cost of doing business in international jurisdictions and could expose us or our employees to fines and penalties. These laws and regulations include import and export requirements, the U.S. State Department International Traffic in Arms Regulations (ITAR) and U.S. laws such as the Foreign Corrupt Practices Act (FCPA), and local laws prohibiting corrupt payments to governmental officials. Violations of these laws and regulations could result in fines, criminal sanctions against us, our officers or our employees, prohibitions on the conduct of our business and damage to our reputation. Although we have implemented policies and procedures designed to ensure compliance with these laws, there can be no assurance that our employees, contractors or agents will not violate our policies, or that our policies will be effective in preventing all potential violations. Any such violations could include prohibitions on our ability to offer our products and services to one or more countries, and could also materially damage our reputation, our brand, our international expansion efforts, our ability to attract and retain employees, our business and our operating results. Further, defending against claims of violations of these laws and regulations, even if we are successful, could be time-consuming, result in costly litigation, divert management’s attention and resources and cause us to incur significant expenses.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the risks of operating a global business.</w:t>
      </w:r>
    </w:p>
    <w:p>
      <w:pPr>
        <w:spacing w:after="0" w:line="11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We are a global corporation with offices and subsidiaries in certain foreign locations to support our sales and services to the global semiconductor industry and, as such, we face risks in doing business abroad that we do not face domestically. Certain aspects inherent in transacting business internationally could negatively impact our operating results, including:</w:t>
      </w:r>
    </w:p>
    <w:p>
      <w:pPr>
        <w:spacing w:after="0" w:line="73" w:lineRule="exact"/>
        <w:rPr>
          <w:sz w:val="20"/>
          <w:szCs w:val="20"/>
          <w:color w:val="auto"/>
        </w:rPr>
      </w:pPr>
    </w:p>
    <w:p>
      <w:pPr>
        <w:ind w:left="440" w:hanging="216"/>
        <w:spacing w:after="0"/>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costs and difficulties in staffing and managing international operations;</w:t>
      </w:r>
    </w:p>
    <w:p>
      <w:pPr>
        <w:spacing w:after="0" w:line="117" w:lineRule="exact"/>
        <w:rPr>
          <w:rFonts w:ascii="Arial" w:cs="Arial" w:eastAsia="Arial" w:hAnsi="Arial"/>
          <w:sz w:val="18"/>
          <w:szCs w:val="18"/>
          <w:b w:val="1"/>
          <w:bCs w:val="1"/>
          <w:color w:val="auto"/>
        </w:rPr>
      </w:pPr>
    </w:p>
    <w:p>
      <w:pPr>
        <w:ind w:left="440" w:hanging="216"/>
        <w:spacing w:after="0"/>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unexpected changes in regulatory requirements;</w:t>
      </w:r>
    </w:p>
    <w:p>
      <w:pPr>
        <w:spacing w:after="0" w:line="117" w:lineRule="exact"/>
        <w:rPr>
          <w:rFonts w:ascii="Arial" w:cs="Arial" w:eastAsia="Arial" w:hAnsi="Arial"/>
          <w:sz w:val="18"/>
          <w:szCs w:val="18"/>
          <w:b w:val="1"/>
          <w:bCs w:val="1"/>
          <w:color w:val="auto"/>
        </w:rPr>
      </w:pPr>
    </w:p>
    <w:p>
      <w:pPr>
        <w:ind w:left="440" w:hanging="216"/>
        <w:spacing w:after="0"/>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difficulties in enforcing contractual and intellectual property rights;</w:t>
      </w:r>
    </w:p>
    <w:p>
      <w:pPr>
        <w:spacing w:after="0" w:line="117" w:lineRule="exact"/>
        <w:rPr>
          <w:rFonts w:ascii="Arial" w:cs="Arial" w:eastAsia="Arial" w:hAnsi="Arial"/>
          <w:sz w:val="18"/>
          <w:szCs w:val="18"/>
          <w:b w:val="1"/>
          <w:bCs w:val="1"/>
          <w:color w:val="auto"/>
        </w:rPr>
      </w:pPr>
    </w:p>
    <w:p>
      <w:pPr>
        <w:ind w:left="440" w:hanging="216"/>
        <w:spacing w:after="0"/>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longer payment cycles;</w:t>
      </w:r>
    </w:p>
    <w:p>
      <w:pPr>
        <w:spacing w:after="0" w:line="117" w:lineRule="exact"/>
        <w:rPr>
          <w:rFonts w:ascii="Arial" w:cs="Arial" w:eastAsia="Arial" w:hAnsi="Arial"/>
          <w:sz w:val="18"/>
          <w:szCs w:val="18"/>
          <w:b w:val="1"/>
          <w:bCs w:val="1"/>
          <w:color w:val="auto"/>
        </w:rPr>
      </w:pPr>
    </w:p>
    <w:p>
      <w:pPr>
        <w:ind w:left="440" w:hanging="216"/>
        <w:spacing w:after="0"/>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local political and economic conditions;</w:t>
      </w:r>
    </w:p>
    <w:p>
      <w:pPr>
        <w:spacing w:after="0" w:line="117" w:lineRule="exact"/>
        <w:rPr>
          <w:rFonts w:ascii="Arial" w:cs="Arial" w:eastAsia="Arial" w:hAnsi="Arial"/>
          <w:sz w:val="18"/>
          <w:szCs w:val="18"/>
          <w:b w:val="1"/>
          <w:bCs w:val="1"/>
          <w:color w:val="auto"/>
        </w:rPr>
      </w:pPr>
    </w:p>
    <w:p>
      <w:pPr>
        <w:ind w:left="440" w:hanging="216"/>
        <w:spacing w:after="0"/>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potentially adverse tax consequences, including restrictions on repatriating earnings and the threat of “double taxation”; and</w:t>
      </w:r>
    </w:p>
    <w:p>
      <w:pPr>
        <w:spacing w:after="0" w:line="117" w:lineRule="exact"/>
        <w:rPr>
          <w:rFonts w:ascii="Arial" w:cs="Arial" w:eastAsia="Arial" w:hAnsi="Arial"/>
          <w:sz w:val="18"/>
          <w:szCs w:val="18"/>
          <w:b w:val="1"/>
          <w:bCs w:val="1"/>
          <w:color w:val="auto"/>
        </w:rPr>
      </w:pPr>
    </w:p>
    <w:p>
      <w:pPr>
        <w:ind w:left="440" w:hanging="216"/>
        <w:spacing w:after="0"/>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fluctuations in currency exchange rates, which can affect demand and increase our costs.</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Additionally, managing geographically dispersed operations presents difficult challenges associated with organizational alignment and infrastructure, communications and information technology, inventory control, customer relationship management, terrorist threats and related security matters and cultural diversities. If we are unsuccessful in managing such operations effectively, our business and results of operations will be adversely affected.</w:t>
      </w:r>
    </w:p>
    <w:p>
      <w:pPr>
        <w:spacing w:after="0" w:line="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utilize contract manufacturers and changes to those relationships, expected or unexpected, may result in delays or disruptions that could cause us to lose revenue and damage our customer relationships.</w:t>
      </w:r>
    </w:p>
    <w:p>
      <w:pPr>
        <w:spacing w:after="0" w:line="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reliance on contract manufacturers gives us less control over the manufacturing process and exposes us to significant risks, including limited control over capacity, late delivery, quality and costs. In addition, it is time consuming and costly to qualify and implement additional contract manufacturer relationships. Therefore, if we should fail to effectively manage our contract manufacturer relationships or if one or more of them should experience delays, disruptions or quality control problems, or if we had to change or add additional contract manufacturers or contract manufacturing sites, our ability to ship products to our customers could be delayed. Also, the addition of manufacturing locations or contract manufacturers may increase the complexity of our supply chain management. We cannot be certain that existing or future contract manufacturers will be able to manufacture our products on a timely and cost-effective basis, or to our quality and performance specifications. If our contract manufacturers are unable to meet our manufacturing requirements in a timely manner, our ability to ship products and to realize the related revenues when anticipated could be materially affected.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of critical suppliers to deliver sufficient quantities of parts in a timely and cost-effective manner could adversely impact our operations.</w:t>
      </w:r>
    </w:p>
    <w:p>
      <w:pPr>
        <w:spacing w:after="0" w:line="14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use numerous vendors to supply parts, components and subassemblies for the manufacture of our products. It is not always possible to maintain multiple qualified suppliers for all of our parts, components and subassemblies. As a result, certain key parts may be available only from a single supplier or a limited number of suppliers. In addition, suppliers may cease manufacturing certain components that are difficult to replace without significant reengineering of our products. On occasion, we have experienced problems in obtaining adequate and reliable quantities of various parts and components from certain key suppliers. Our results of operations may be materially and adversely impacted if we do not receive sufficient parts to meet our requirements in a timely and cost effective manner.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acquisitions and investments.</w:t>
      </w:r>
    </w:p>
    <w:p>
      <w:pPr>
        <w:spacing w:after="0" w:line="11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We have made, and may in the future make, acquisitions of, or significant investments in, businesses with complementary products, services and/or technologies. Acquisitions and investments involve numerous risks, including, but not limited to:</w:t>
      </w:r>
    </w:p>
    <w:p>
      <w:pPr>
        <w:spacing w:after="0" w:line="62" w:lineRule="exact"/>
        <w:rPr>
          <w:sz w:val="20"/>
          <w:szCs w:val="20"/>
          <w:color w:val="auto"/>
        </w:rPr>
      </w:pPr>
    </w:p>
    <w:p>
      <w:pPr>
        <w:ind w:left="440" w:hanging="216"/>
        <w:spacing w:after="0"/>
        <w:tabs>
          <w:tab w:leader="none" w:pos="44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difficulties and increased costs in connection with integration of the personnel, operations, technologies and products of acquired businesses;</w:t>
      </w:r>
    </w:p>
    <w:p>
      <w:pPr>
        <w:spacing w:after="0" w:line="128" w:lineRule="exact"/>
        <w:rPr>
          <w:rFonts w:ascii="Arial" w:cs="Arial" w:eastAsia="Arial" w:hAnsi="Arial"/>
          <w:sz w:val="17"/>
          <w:szCs w:val="17"/>
          <w:b w:val="1"/>
          <w:bCs w:val="1"/>
          <w:color w:val="auto"/>
        </w:rPr>
      </w:pPr>
    </w:p>
    <w:p>
      <w:pPr>
        <w:ind w:left="440" w:hanging="216"/>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diversion of management’s attention from other operational matters;</w:t>
      </w:r>
    </w:p>
    <w:p>
      <w:pPr>
        <w:spacing w:after="0" w:line="117" w:lineRule="exact"/>
        <w:rPr>
          <w:rFonts w:ascii="Arial" w:cs="Arial" w:eastAsia="Arial" w:hAnsi="Arial"/>
          <w:sz w:val="18"/>
          <w:szCs w:val="18"/>
          <w:b w:val="1"/>
          <w:bCs w:val="1"/>
          <w:color w:val="auto"/>
        </w:rPr>
      </w:pPr>
    </w:p>
    <w:p>
      <w:pPr>
        <w:ind w:left="440" w:hanging="216"/>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potential loss of key employees of acquired businesses;</w:t>
      </w:r>
    </w:p>
    <w:p>
      <w:pPr>
        <w:spacing w:after="0" w:line="117" w:lineRule="exact"/>
        <w:rPr>
          <w:rFonts w:ascii="Arial" w:cs="Arial" w:eastAsia="Arial" w:hAnsi="Arial"/>
          <w:sz w:val="18"/>
          <w:szCs w:val="18"/>
          <w:b w:val="1"/>
          <w:bCs w:val="1"/>
          <w:color w:val="auto"/>
        </w:rPr>
      </w:pPr>
    </w:p>
    <w:p>
      <w:pPr>
        <w:ind w:left="440" w:hanging="216"/>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lack of synergy, or the inability to realize expected synergies, resulting from the acquisition;</w:t>
      </w:r>
    </w:p>
    <w:p>
      <w:pPr>
        <w:spacing w:after="0" w:line="117" w:lineRule="exact"/>
        <w:rPr>
          <w:rFonts w:ascii="Arial" w:cs="Arial" w:eastAsia="Arial" w:hAnsi="Arial"/>
          <w:sz w:val="18"/>
          <w:szCs w:val="18"/>
          <w:b w:val="1"/>
          <w:bCs w:val="1"/>
          <w:color w:val="auto"/>
        </w:rPr>
      </w:pPr>
    </w:p>
    <w:p>
      <w:pPr>
        <w:ind w:left="440" w:hanging="216"/>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failure to commercialize purchased technology; and</w:t>
      </w:r>
    </w:p>
    <w:p>
      <w:pPr>
        <w:spacing w:after="0" w:line="117" w:lineRule="exact"/>
        <w:rPr>
          <w:rFonts w:ascii="Arial" w:cs="Arial" w:eastAsia="Arial" w:hAnsi="Arial"/>
          <w:sz w:val="18"/>
          <w:szCs w:val="18"/>
          <w:b w:val="1"/>
          <w:bCs w:val="1"/>
          <w:color w:val="auto"/>
        </w:rPr>
      </w:pPr>
    </w:p>
    <w:p>
      <w:pPr>
        <w:ind w:left="440" w:hanging="216"/>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impairment of acquired intangible assets and goodwill that could result in significant charges to operating results in future periods.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Mergers, acquisitions and investments are inherently risky and the inability to effectively manage these risks could materially and adversely affect our business, financial condition and results of operations. At December 26, 2009 we had goodwill and net purchased intangible assets balances of $61.8 million and $35.5 million,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violate our proprietary rights or accuse us of infringing upon their proprietary rights.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rely on patent, copyright, trademark and trade secret laws to establish and maintain proprietary rights in our technology and products. Any of our proprietary rights may expire due to patent life, or be challenged, invalidated or circumvented. In addition, from time to time, we receive notices from third parties regarding patent or copyright claims. Any such claims, with or without merit, could be time-consuming to defend, result in costly litigation, divert management’s attention and resources and cause us to incur significant expenses. In the event of a successful claim of infringement against us and our failure or inability to license the infringed technology or to substitute similar non-infringing technology, our business, financial condition and results of operations could be adversely affected.</w:t>
      </w:r>
    </w:p>
    <w:p>
      <w:pPr>
        <w:spacing w:after="0" w:line="8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 majority of our revenues are generated from exports to foreign countries, primarily in Asia, that are subject to economic and political instability and we compete against a number of Asian test handling equipment suppliers.</w:t>
      </w:r>
    </w:p>
    <w:p>
      <w:pPr>
        <w:spacing w:after="0" w:line="6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majority of our export sales are made to destinations in Asia. Political or economic instability, particularly in Asia, may adversely impact the demand for capital equipment, including equipment of the type we manufacture and market. In addition, we face intense competition from a number of Asian suppliers that have certain advantages over U.S. suppliers, including us. These advantages include, among other things, proximity to customers,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occurrence of natural disasters in Asia may adversely impact our operations and sales.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Asian sales and service headquarters is located in Singapore and the majority of our sales are made to destinations in Asia. In addition, we have an operation in the Philippines that fabricates certain component parts used in our products. These regions are known for being vulnerable to natural disasters and other risks, such as earthquakes, tsunamis, floods and fires, which at times have disrupted the local economies. A significant earthquake, tsunami or other geological event could materially affect our operating results. We are not insured for most losses and business interruptions of this kind, and do not presently have redundant, multiple site capacity in the event of a natural disaster. In the event of such disaster, our business would suffer.</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and operating results may vary and may fall below analysts’ estimates, which may cause the price of our common stock to decline.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may fluctuate from quarter to quarter due to a variety of factors including, but not limited to:</w:t>
      </w:r>
    </w:p>
    <w:p>
      <w:pPr>
        <w:spacing w:after="0" w:line="117" w:lineRule="exact"/>
        <w:rPr>
          <w:sz w:val="20"/>
          <w:szCs w:val="20"/>
          <w:color w:val="auto"/>
        </w:rPr>
      </w:pPr>
    </w:p>
    <w:p>
      <w:pPr>
        <w:ind w:left="440" w:hanging="216"/>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timing and amount of orders from customers and shipments to customers;</w:t>
      </w:r>
    </w:p>
    <w:p>
      <w:pPr>
        <w:spacing w:after="0" w:line="117" w:lineRule="exact"/>
        <w:rPr>
          <w:rFonts w:ascii="Arial" w:cs="Arial" w:eastAsia="Arial" w:hAnsi="Arial"/>
          <w:sz w:val="18"/>
          <w:szCs w:val="18"/>
          <w:b w:val="1"/>
          <w:bCs w:val="1"/>
          <w:color w:val="auto"/>
        </w:rPr>
      </w:pPr>
    </w:p>
    <w:p>
      <w:pPr>
        <w:ind w:left="440" w:hanging="216"/>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inability to recognize revenue due to accounting requirements;</w:t>
      </w:r>
    </w:p>
    <w:p>
      <w:pPr>
        <w:spacing w:after="0" w:line="117" w:lineRule="exact"/>
        <w:rPr>
          <w:rFonts w:ascii="Arial" w:cs="Arial" w:eastAsia="Arial" w:hAnsi="Arial"/>
          <w:sz w:val="18"/>
          <w:szCs w:val="18"/>
          <w:b w:val="1"/>
          <w:bCs w:val="1"/>
          <w:color w:val="auto"/>
        </w:rPr>
      </w:pPr>
    </w:p>
    <w:p>
      <w:pPr>
        <w:ind w:left="440" w:hanging="216"/>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inventory writedowns;</w:t>
      </w:r>
    </w:p>
    <w:p>
      <w:pPr>
        <w:spacing w:after="0" w:line="117" w:lineRule="exact"/>
        <w:rPr>
          <w:rFonts w:ascii="Arial" w:cs="Arial" w:eastAsia="Arial" w:hAnsi="Arial"/>
          <w:sz w:val="18"/>
          <w:szCs w:val="18"/>
          <w:b w:val="1"/>
          <w:bCs w:val="1"/>
          <w:color w:val="auto"/>
        </w:rPr>
      </w:pPr>
    </w:p>
    <w:p>
      <w:pPr>
        <w:ind w:left="440" w:hanging="216"/>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inability to deliver solutions as expected by our customers; and</w:t>
      </w:r>
    </w:p>
    <w:p>
      <w:pPr>
        <w:spacing w:after="0" w:line="117" w:lineRule="exact"/>
        <w:rPr>
          <w:rFonts w:ascii="Arial" w:cs="Arial" w:eastAsia="Arial" w:hAnsi="Arial"/>
          <w:sz w:val="18"/>
          <w:szCs w:val="18"/>
          <w:b w:val="1"/>
          <w:bCs w:val="1"/>
          <w:color w:val="auto"/>
        </w:rPr>
      </w:pPr>
    </w:p>
    <w:p>
      <w:pPr>
        <w:ind w:left="440" w:hanging="216"/>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intangible and deferred tax asset writedowns.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Due to these factors or other unanticipated events, quarter-to-quarter comparisons of our operating results may not be reliable indicators of our future performance. In addition, from time to time our quarterly financial results may fall below the expectations of the securities and industry analysts who publish reports on our company or of investors in general. This could cause the market price of our stock to decline, perhaps significantly.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significant volatility in our stock price.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variety of factors may cause the price of our stock to be volatile. In recent years, the stock market in general, and the market for shares of high-technology companies in particular, including ours, have experienced extreme price fluctuations, which have often been unrelated to the operating performance of affected companies. During the last three years the price of our common stock has ranged from $7.00 to $23.70. The price of our stock may be more volatile than the stock of other companies due to, among other factors, the unpredictable and cyclical nature of the semiconductor industry, our significant customer concentration, intense competition in the test handler industry, our limited backlog making earnings predictability difficult and our relatively low daily stock trading volume. The market price of our common stock is likely to continue to fluctuate significantly in the future, including fluctuations related and unrelated to our performance.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Certain information concerning our principal properties at December 26, 2009, identified by business segment is set forth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w:t>
            </w:r>
          </w:p>
        </w:tc>
        <w:tc>
          <w:tcPr>
            <w:tcW w:w="540" w:type="dxa"/>
            <w:vAlign w:val="bottom"/>
          </w:tcPr>
          <w:p>
            <w:pPr>
              <w:spacing w:after="0"/>
              <w:rPr>
                <w:sz w:val="14"/>
                <w:szCs w:val="14"/>
                <w:color w:val="auto"/>
              </w:rPr>
            </w:pPr>
          </w:p>
        </w:tc>
        <w:tc>
          <w:tcPr>
            <w:tcW w:w="1260" w:type="dxa"/>
            <w:vAlign w:val="bottom"/>
          </w:tcPr>
          <w:p>
            <w:pPr>
              <w:jc w:val="right"/>
              <w:ind w:right="142"/>
              <w:spacing w:after="0"/>
              <w:rPr>
                <w:sz w:val="20"/>
                <w:szCs w:val="20"/>
                <w:color w:val="auto"/>
              </w:rPr>
            </w:pPr>
            <w:r>
              <w:rPr>
                <w:rFonts w:ascii="Arial" w:cs="Arial" w:eastAsia="Arial" w:hAnsi="Arial"/>
                <w:sz w:val="14"/>
                <w:szCs w:val="14"/>
                <w:b w:val="1"/>
                <w:bCs w:val="1"/>
                <w:color w:val="auto"/>
              </w:rPr>
              <w:t>Approximate</w:t>
            </w:r>
          </w:p>
        </w:tc>
        <w:tc>
          <w:tcPr>
            <w:tcW w:w="56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0" w:type="dxa"/>
            <w:vAlign w:val="bottom"/>
          </w:tcPr>
          <w:p>
            <w:pPr>
              <w:spacing w:after="0"/>
              <w:rPr>
                <w:sz w:val="1"/>
                <w:szCs w:val="1"/>
                <w:color w:val="auto"/>
              </w:rPr>
            </w:pPr>
          </w:p>
        </w:tc>
      </w:tr>
      <w:tr>
        <w:trPr>
          <w:trHeight w:val="171"/>
        </w:trPr>
        <w:tc>
          <w:tcPr>
            <w:tcW w:w="828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jc w:val="right"/>
              <w:ind w:right="202"/>
              <w:spacing w:after="0"/>
              <w:rPr>
                <w:sz w:val="20"/>
                <w:szCs w:val="20"/>
                <w:color w:val="auto"/>
              </w:rPr>
            </w:pPr>
            <w:r>
              <w:rPr>
                <w:rFonts w:ascii="Arial" w:cs="Arial" w:eastAsia="Arial" w:hAnsi="Arial"/>
                <w:sz w:val="14"/>
                <w:szCs w:val="14"/>
                <w:b w:val="1"/>
                <w:bCs w:val="1"/>
                <w:color w:val="auto"/>
              </w:rPr>
              <w:t>Sq. Footage</w:t>
            </w:r>
          </w:p>
        </w:tc>
        <w:tc>
          <w:tcPr>
            <w:tcW w:w="5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Poway, California (1) (2) (3) (4)</w:t>
            </w:r>
          </w:p>
        </w:tc>
        <w:tc>
          <w:tcPr>
            <w:tcW w:w="54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262"/>
              <w:spacing w:after="0"/>
              <w:rPr>
                <w:sz w:val="20"/>
                <w:szCs w:val="20"/>
                <w:color w:val="auto"/>
              </w:rPr>
            </w:pPr>
            <w:r>
              <w:rPr>
                <w:rFonts w:ascii="Arial" w:cs="Arial" w:eastAsia="Arial" w:hAnsi="Arial"/>
                <w:sz w:val="18"/>
                <w:szCs w:val="18"/>
                <w:color w:val="auto"/>
              </w:rPr>
              <w:t>338,000</w:t>
            </w:r>
          </w:p>
        </w:tc>
        <w:tc>
          <w:tcPr>
            <w:tcW w:w="5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Kolbermoor, Germany (1)</w:t>
            </w:r>
          </w:p>
        </w:tc>
        <w:tc>
          <w:tcPr>
            <w:tcW w:w="1800" w:type="dxa"/>
            <w:vAlign w:val="bottom"/>
            <w:gridSpan w:val="2"/>
          </w:tcPr>
          <w:p>
            <w:pPr>
              <w:jc w:val="right"/>
              <w:ind w:right="262"/>
              <w:spacing w:after="0"/>
              <w:rPr>
                <w:sz w:val="20"/>
                <w:szCs w:val="20"/>
                <w:color w:val="auto"/>
              </w:rPr>
            </w:pPr>
            <w:r>
              <w:rPr>
                <w:rFonts w:ascii="Arial" w:cs="Arial" w:eastAsia="Arial" w:hAnsi="Arial"/>
                <w:sz w:val="18"/>
                <w:szCs w:val="18"/>
                <w:color w:val="auto"/>
              </w:rPr>
              <w:t>40,000</w:t>
            </w:r>
          </w:p>
        </w:tc>
        <w:tc>
          <w:tcPr>
            <w:tcW w:w="5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Calamba City, Laguna, Philippines (1)</w:t>
            </w:r>
          </w:p>
        </w:tc>
        <w:tc>
          <w:tcPr>
            <w:tcW w:w="180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37,000</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Singapore (1)</w:t>
            </w:r>
          </w:p>
        </w:tc>
        <w:tc>
          <w:tcPr>
            <w:tcW w:w="1800" w:type="dxa"/>
            <w:vAlign w:val="bottom"/>
            <w:gridSpan w:val="2"/>
          </w:tcPr>
          <w:p>
            <w:pPr>
              <w:jc w:val="right"/>
              <w:ind w:right="262"/>
              <w:spacing w:after="0"/>
              <w:rPr>
                <w:sz w:val="20"/>
                <w:szCs w:val="20"/>
                <w:color w:val="auto"/>
              </w:rPr>
            </w:pPr>
            <w:r>
              <w:rPr>
                <w:rFonts w:ascii="Arial" w:cs="Arial" w:eastAsia="Arial" w:hAnsi="Arial"/>
                <w:sz w:val="18"/>
                <w:szCs w:val="18"/>
                <w:color w:val="auto"/>
              </w:rPr>
              <w:t>24,000</w:t>
            </w:r>
          </w:p>
        </w:tc>
        <w:tc>
          <w:tcPr>
            <w:tcW w:w="5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Chandler, Arizona (1)</w:t>
            </w:r>
          </w:p>
        </w:tc>
        <w:tc>
          <w:tcPr>
            <w:tcW w:w="180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10,000</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Heidenrod — Kemel, Germany (3)</w:t>
            </w:r>
          </w:p>
        </w:tc>
        <w:tc>
          <w:tcPr>
            <w:tcW w:w="1800" w:type="dxa"/>
            <w:vAlign w:val="bottom"/>
            <w:gridSpan w:val="2"/>
          </w:tcPr>
          <w:p>
            <w:pPr>
              <w:jc w:val="right"/>
              <w:ind w:right="262"/>
              <w:spacing w:after="0"/>
              <w:rPr>
                <w:sz w:val="20"/>
                <w:szCs w:val="20"/>
                <w:color w:val="auto"/>
              </w:rPr>
            </w:pPr>
            <w:r>
              <w:rPr>
                <w:rFonts w:ascii="Arial" w:cs="Arial" w:eastAsia="Arial" w:hAnsi="Arial"/>
                <w:sz w:val="18"/>
                <w:szCs w:val="18"/>
                <w:color w:val="auto"/>
              </w:rPr>
              <w:t>5,000</w:t>
            </w:r>
          </w:p>
        </w:tc>
        <w:tc>
          <w:tcPr>
            <w:tcW w:w="5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Semiconductor equipment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Video cameras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Microwave Communications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Cohu Corporate offices</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addition to the locations listed above, we lease other properties primarily for sales and service offices in various locations. We believe our facilities are suitable for their respective uses and are adequate for our present needs.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previously disclosed that in May 2007 BMS received a subpoena from a grand jury seated in the Southern District of California, requesting the production of certain documents related to BMS’ export of microwave communications equipment. BMS completed production of documents responsive to the request in September 2007 and has fully cooperated. We also disclosed that on April 30, 2009, BMS received a letter from the U. S. Department of State requesting that BMS provide certain information related to their review of this matter. Based upon their review of the information provided, the U.S. Department of State informed us, during the third quarter of 2009, that they believed BMS did not obtain the required licenses for the export of certain products and services. The U. S. Department of State requested that BMS apply for commodity jurisdiction rulings to determine if certain products are subject to export controls, obtain export licenses as required and engage an independent third party to conduct an export compliance audit. On January 15, 2010, BMS provided the U.S. Department of State with the results of the export compliance audit and an update on the status of export licenses and commodity jurisdiction rulings. On January 20, 2010, BMS received notification from the U.S. Department of State that they were closing the case without taking action to impose a civil penalty, while reserving the right to reopen the case if it is later determined that circumstances warrant the initiation of administrative proceedings.</w:t>
      </w:r>
    </w:p>
    <w:p>
      <w:pPr>
        <w:spacing w:after="0" w:line="61"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In addition to the above matter, from time-to-time we are involved in various legal proceedings, examinations by various tax authorities and claims that have arisen in the ordinary course of our businesses. Although the outcome of such legal proceedings, claims and examinations cannot be predicted with certainty, we do not believe any such matters exist at this time that will have a material adverse effect on our financial position or results of our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10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(a) Market Information</w:t>
      </w:r>
    </w:p>
    <w:p>
      <w:pPr>
        <w:ind w:right="160"/>
        <w:spacing w:after="0" w:line="277" w:lineRule="auto"/>
        <w:rPr>
          <w:sz w:val="20"/>
          <w:szCs w:val="20"/>
          <w:color w:val="auto"/>
        </w:rPr>
      </w:pPr>
      <w:r>
        <w:rPr>
          <w:rFonts w:ascii="Arial" w:cs="Arial" w:eastAsia="Arial" w:hAnsi="Arial"/>
          <w:sz w:val="18"/>
          <w:szCs w:val="18"/>
          <w:color w:val="auto"/>
        </w:rPr>
        <w:t>Cohu, Inc. stock is traded on the NASDAQ Global Select Market under the symbol “COHU”. The following table sets forth the high and low sales prices as reported on the NASDAQ Global Select Market during the last two years.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Fiscal 2009</w:t>
            </w:r>
          </w:p>
        </w:tc>
        <w:tc>
          <w:tcPr>
            <w:tcW w:w="72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Fiscal 2008</w:t>
            </w:r>
          </w:p>
        </w:tc>
        <w:tc>
          <w:tcPr>
            <w:tcW w:w="720" w:type="dxa"/>
            <w:vAlign w:val="bottom"/>
            <w:tcBorders>
              <w:bottom w:val="single" w:sz="8" w:color="auto"/>
            </w:tcBorders>
          </w:tcPr>
          <w:p>
            <w:pPr>
              <w:spacing w:after="0"/>
              <w:rPr>
                <w:sz w:val="14"/>
                <w:szCs w:val="14"/>
                <w:color w:val="auto"/>
              </w:rPr>
            </w:pPr>
          </w:p>
        </w:tc>
      </w:tr>
      <w:tr>
        <w:trPr>
          <w:trHeight w:val="142"/>
        </w:trPr>
        <w:tc>
          <w:tcPr>
            <w:tcW w:w="5780" w:type="dxa"/>
            <w:vAlign w:val="bottom"/>
          </w:tcPr>
          <w:p>
            <w:pPr>
              <w:spacing w:after="0"/>
              <w:rPr>
                <w:sz w:val="12"/>
                <w:szCs w:val="12"/>
                <w:color w:val="auto"/>
              </w:rPr>
            </w:pPr>
          </w:p>
        </w:tc>
        <w:tc>
          <w:tcPr>
            <w:tcW w:w="82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High</w:t>
            </w:r>
          </w:p>
        </w:tc>
        <w:tc>
          <w:tcPr>
            <w:tcW w:w="20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color w:val="auto"/>
              </w:rPr>
              <w:t>Low</w:t>
            </w:r>
          </w:p>
        </w:tc>
        <w:tc>
          <w:tcPr>
            <w:tcW w:w="520" w:type="dxa"/>
            <w:vAlign w:val="bottom"/>
          </w:tcPr>
          <w:p>
            <w:pPr>
              <w:spacing w:after="0"/>
              <w:rPr>
                <w:sz w:val="12"/>
                <w:szCs w:val="12"/>
                <w:color w:val="auto"/>
              </w:rPr>
            </w:pPr>
          </w:p>
        </w:tc>
        <w:tc>
          <w:tcPr>
            <w:tcW w:w="8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High</w:t>
            </w:r>
          </w:p>
        </w:tc>
        <w:tc>
          <w:tcPr>
            <w:tcW w:w="20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color w:val="auto"/>
              </w:rPr>
              <w:t>Low</w:t>
            </w: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$12.37</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7.05</w:t>
            </w:r>
          </w:p>
        </w:tc>
        <w:tc>
          <w:tcPr>
            <w:tcW w:w="13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$20.52</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84"/>
              </w:rPr>
              <w:t>13.27</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Second Quarter</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$10.48</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4"/>
              <w:spacing w:after="0"/>
              <w:rPr>
                <w:sz w:val="20"/>
                <w:szCs w:val="20"/>
                <w:color w:val="auto"/>
              </w:rPr>
            </w:pPr>
            <w:r>
              <w:rPr>
                <w:rFonts w:ascii="Arial" w:cs="Arial" w:eastAsia="Arial" w:hAnsi="Arial"/>
                <w:sz w:val="18"/>
                <w:szCs w:val="18"/>
                <w:color w:val="auto"/>
              </w:rPr>
              <w:t>7.00</w:t>
            </w:r>
          </w:p>
        </w:tc>
        <w:tc>
          <w:tcPr>
            <w:tcW w:w="1340" w:type="dxa"/>
            <w:vAlign w:val="bottom"/>
            <w:gridSpan w:val="2"/>
          </w:tcPr>
          <w:p>
            <w:pPr>
              <w:jc w:val="right"/>
              <w:ind w:right="48"/>
              <w:spacing w:after="0"/>
              <w:rPr>
                <w:sz w:val="20"/>
                <w:szCs w:val="20"/>
                <w:color w:val="auto"/>
              </w:rPr>
            </w:pPr>
            <w:r>
              <w:rPr>
                <w:rFonts w:ascii="Arial" w:cs="Arial" w:eastAsia="Arial" w:hAnsi="Arial"/>
                <w:sz w:val="18"/>
                <w:szCs w:val="18"/>
                <w:color w:val="auto"/>
              </w:rPr>
              <w:t>$18.90</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4"/>
              <w:spacing w:after="0"/>
              <w:rPr>
                <w:sz w:val="20"/>
                <w:szCs w:val="20"/>
                <w:color w:val="auto"/>
              </w:rPr>
            </w:pPr>
            <w:r>
              <w:rPr>
                <w:rFonts w:ascii="Arial" w:cs="Arial" w:eastAsia="Arial" w:hAnsi="Arial"/>
                <w:sz w:val="18"/>
                <w:szCs w:val="18"/>
                <w:color w:val="auto"/>
                <w:w w:val="84"/>
              </w:rPr>
              <w:t>16.13</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$13.94</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8.22</w:t>
            </w:r>
          </w:p>
        </w:tc>
        <w:tc>
          <w:tcPr>
            <w:tcW w:w="13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$19.10</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84"/>
              </w:rPr>
              <w:t>14.31</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Fourth Quarter</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$14.19</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4"/>
              <w:spacing w:after="0"/>
              <w:rPr>
                <w:sz w:val="20"/>
                <w:szCs w:val="20"/>
                <w:color w:val="auto"/>
              </w:rPr>
            </w:pPr>
            <w:r>
              <w:rPr>
                <w:rFonts w:ascii="Arial" w:cs="Arial" w:eastAsia="Arial" w:hAnsi="Arial"/>
                <w:sz w:val="18"/>
                <w:szCs w:val="18"/>
                <w:color w:val="auto"/>
                <w:w w:val="88"/>
              </w:rPr>
              <w:t>10.80</w:t>
            </w:r>
          </w:p>
        </w:tc>
        <w:tc>
          <w:tcPr>
            <w:tcW w:w="1340" w:type="dxa"/>
            <w:vAlign w:val="bottom"/>
            <w:gridSpan w:val="2"/>
          </w:tcPr>
          <w:p>
            <w:pPr>
              <w:jc w:val="right"/>
              <w:ind w:right="48"/>
              <w:spacing w:after="0"/>
              <w:rPr>
                <w:sz w:val="20"/>
                <w:szCs w:val="20"/>
                <w:color w:val="auto"/>
              </w:rPr>
            </w:pPr>
            <w:r>
              <w:rPr>
                <w:rFonts w:ascii="Arial" w:cs="Arial" w:eastAsia="Arial" w:hAnsi="Arial"/>
                <w:sz w:val="18"/>
                <w:szCs w:val="18"/>
                <w:color w:val="auto"/>
              </w:rPr>
              <w:t>$16.65</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4"/>
              <w:spacing w:after="0"/>
              <w:rPr>
                <w:sz w:val="20"/>
                <w:szCs w:val="20"/>
                <w:color w:val="auto"/>
              </w:rPr>
            </w:pPr>
            <w:r>
              <w:rPr>
                <w:rFonts w:ascii="Arial" w:cs="Arial" w:eastAsia="Arial" w:hAnsi="Arial"/>
                <w:sz w:val="18"/>
                <w:szCs w:val="18"/>
                <w:color w:val="auto"/>
              </w:rPr>
              <w:t>9.13</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 February 10, 2010, Cohu had 676 stockholders of record.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have paid consecutive quarterly dividends since 1977 and expect to continue doing so. Cash dividends, per share, declared in 2009 and 2008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2"/>
              </w:rPr>
              <w:t>Fiscal 2009</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2"/>
              </w:rPr>
              <w:t>Fiscal 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320" w:type="dxa"/>
            <w:vAlign w:val="bottom"/>
            <w:gridSpan w:val="2"/>
            <w:shd w:val="clear" w:color="auto" w:fill="CCEEFF"/>
          </w:tcPr>
          <w:p>
            <w:pPr>
              <w:ind w:left="4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0.06</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Second quarter</w:t>
            </w:r>
          </w:p>
        </w:tc>
        <w:tc>
          <w:tcPr>
            <w:tcW w:w="4320" w:type="dxa"/>
            <w:vAlign w:val="bottom"/>
            <w:gridSpan w:val="2"/>
          </w:tcPr>
          <w:p>
            <w:pPr>
              <w:ind w:left="4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0.06</w:t>
            </w:r>
          </w:p>
        </w:tc>
        <w:tc>
          <w:tcPr>
            <w:tcW w:w="5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320" w:type="dxa"/>
            <w:vAlign w:val="bottom"/>
            <w:gridSpan w:val="2"/>
            <w:shd w:val="clear" w:color="auto" w:fill="CCEEFF"/>
          </w:tcPr>
          <w:p>
            <w:pPr>
              <w:ind w:left="4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0.06</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Fourth quarter</w:t>
            </w:r>
          </w:p>
        </w:tc>
        <w:tc>
          <w:tcPr>
            <w:tcW w:w="4320" w:type="dxa"/>
            <w:vAlign w:val="bottom"/>
            <w:gridSpan w:val="2"/>
          </w:tcPr>
          <w:p>
            <w:pPr>
              <w:ind w:left="4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06</w:t>
            </w:r>
          </w:p>
        </w:tc>
        <w:tc>
          <w:tcPr>
            <w:tcW w:w="5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320" w:type="dxa"/>
            <w:vAlign w:val="bottom"/>
            <w:gridSpan w:val="2"/>
            <w:shd w:val="clear" w:color="auto" w:fill="CCEEFF"/>
          </w:tcPr>
          <w:p>
            <w:pPr>
              <w:ind w:left="4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24</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intend to continue to pay quarterly dividends subject to capital availability and periodic determinations by our Board of Directors that cash dividends are in the best interests of our stockholders. Our dividend policy may be affected by, among other items, our views on potential future capital requirements, including those related to research and development, investments and acquisitions, legal risks and stock repurchases.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The following table summarizes information with respect to equity awards under Cohu’s equity compensation plans at December 26, 2009 </w:t>
      </w:r>
      <w:r>
        <w:rPr>
          <w:rFonts w:ascii="Arial" w:cs="Arial" w:eastAsia="Arial" w:hAnsi="Arial"/>
          <w:sz w:val="18"/>
          <w:szCs w:val="18"/>
          <w:i w:val="1"/>
          <w:iCs w:val="1"/>
          <w:color w:val="auto"/>
        </w:rPr>
        <w:t>(in thousands,</w:t>
      </w:r>
      <w:r>
        <w:rPr>
          <w:rFonts w:ascii="Arial" w:cs="Arial" w:eastAsia="Arial" w:hAnsi="Arial"/>
          <w:sz w:val="18"/>
          <w:szCs w:val="18"/>
          <w:color w:val="auto"/>
        </w:rPr>
        <w:t xml:space="preserve"> </w:t>
      </w:r>
      <w:r>
        <w:rPr>
          <w:rFonts w:ascii="Arial" w:cs="Arial" w:eastAsia="Arial" w:hAnsi="Arial"/>
          <w:sz w:val="18"/>
          <w:szCs w:val="18"/>
          <w:i w:val="1"/>
          <w:iCs w:val="1"/>
          <w:color w:val="auto"/>
        </w:rPr>
        <w:t>except per share amounts)</w:t>
      </w:r>
      <w:r>
        <w:rPr>
          <w:rFonts w:ascii="Arial" w:cs="Arial" w:eastAsia="Arial" w:hAnsi="Arial"/>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40" w:type="dxa"/>
            <w:vAlign w:val="bottom"/>
          </w:tcPr>
          <w:p>
            <w:pPr>
              <w:ind w:left="320"/>
              <w:spacing w:after="0"/>
              <w:rPr>
                <w:sz w:val="20"/>
                <w:szCs w:val="20"/>
                <w:color w:val="auto"/>
              </w:rPr>
            </w:pPr>
            <w:r>
              <w:rPr>
                <w:rFonts w:ascii="Arial" w:cs="Arial" w:eastAsia="Arial" w:hAnsi="Arial"/>
                <w:sz w:val="14"/>
                <w:szCs w:val="14"/>
                <w:color w:val="auto"/>
              </w:rPr>
              <w:t>Number of securities</w:t>
            </w: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440" w:type="dxa"/>
            <w:vAlign w:val="bottom"/>
            <w:gridSpan w:val="2"/>
          </w:tcPr>
          <w:p>
            <w:pPr>
              <w:ind w:left="820"/>
              <w:spacing w:after="0" w:line="149" w:lineRule="exact"/>
              <w:rPr>
                <w:sz w:val="20"/>
                <w:szCs w:val="20"/>
                <w:color w:val="auto"/>
              </w:rPr>
            </w:pPr>
            <w:r>
              <w:rPr>
                <w:rFonts w:ascii="Arial" w:cs="Arial" w:eastAsia="Arial" w:hAnsi="Arial"/>
                <w:sz w:val="14"/>
                <w:szCs w:val="14"/>
                <w:color w:val="auto"/>
              </w:rPr>
              <w:t>Number of securities</w:t>
            </w:r>
          </w:p>
        </w:tc>
        <w:tc>
          <w:tcPr>
            <w:tcW w:w="1740" w:type="dxa"/>
            <w:vAlign w:val="bottom"/>
          </w:tcPr>
          <w:p>
            <w:pPr>
              <w:ind w:left="260"/>
              <w:spacing w:after="0" w:line="149" w:lineRule="exact"/>
              <w:rPr>
                <w:sz w:val="20"/>
                <w:szCs w:val="20"/>
                <w:color w:val="auto"/>
              </w:rPr>
            </w:pPr>
            <w:r>
              <w:rPr>
                <w:rFonts w:ascii="Arial" w:cs="Arial" w:eastAsia="Arial" w:hAnsi="Arial"/>
                <w:sz w:val="14"/>
                <w:szCs w:val="14"/>
                <w:color w:val="auto"/>
              </w:rPr>
              <w:t>Weighted average</w:t>
            </w:r>
          </w:p>
        </w:tc>
        <w:tc>
          <w:tcPr>
            <w:tcW w:w="2040" w:type="dxa"/>
            <w:vAlign w:val="bottom"/>
          </w:tcPr>
          <w:p>
            <w:pPr>
              <w:ind w:left="320"/>
              <w:spacing w:after="0" w:line="149" w:lineRule="exact"/>
              <w:rPr>
                <w:sz w:val="20"/>
                <w:szCs w:val="20"/>
                <w:color w:val="auto"/>
              </w:rPr>
            </w:pPr>
            <w:r>
              <w:rPr>
                <w:rFonts w:ascii="Arial" w:cs="Arial" w:eastAsia="Arial" w:hAnsi="Arial"/>
                <w:sz w:val="14"/>
                <w:szCs w:val="14"/>
                <w:color w:val="auto"/>
              </w:rPr>
              <w:t>available for future</w:t>
            </w: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440" w:type="dxa"/>
            <w:vAlign w:val="bottom"/>
            <w:gridSpan w:val="2"/>
          </w:tcPr>
          <w:p>
            <w:pPr>
              <w:ind w:left="820"/>
              <w:spacing w:after="0" w:line="149" w:lineRule="exact"/>
              <w:rPr>
                <w:sz w:val="20"/>
                <w:szCs w:val="20"/>
                <w:color w:val="auto"/>
              </w:rPr>
            </w:pPr>
            <w:r>
              <w:rPr>
                <w:rFonts w:ascii="Arial" w:cs="Arial" w:eastAsia="Arial" w:hAnsi="Arial"/>
                <w:sz w:val="14"/>
                <w:szCs w:val="14"/>
                <w:color w:val="auto"/>
              </w:rPr>
              <w:t>to be issued upon</w:t>
            </w:r>
          </w:p>
        </w:tc>
        <w:tc>
          <w:tcPr>
            <w:tcW w:w="1740" w:type="dxa"/>
            <w:vAlign w:val="bottom"/>
          </w:tcPr>
          <w:p>
            <w:pPr>
              <w:ind w:left="260"/>
              <w:spacing w:after="0" w:line="149" w:lineRule="exact"/>
              <w:rPr>
                <w:sz w:val="20"/>
                <w:szCs w:val="20"/>
                <w:color w:val="auto"/>
              </w:rPr>
            </w:pPr>
            <w:r>
              <w:rPr>
                <w:rFonts w:ascii="Arial" w:cs="Arial" w:eastAsia="Arial" w:hAnsi="Arial"/>
                <w:sz w:val="14"/>
                <w:szCs w:val="14"/>
                <w:color w:val="auto"/>
              </w:rPr>
              <w:t>exercise price of</w:t>
            </w:r>
          </w:p>
        </w:tc>
        <w:tc>
          <w:tcPr>
            <w:tcW w:w="2040" w:type="dxa"/>
            <w:vAlign w:val="bottom"/>
          </w:tcPr>
          <w:p>
            <w:pPr>
              <w:ind w:left="320"/>
              <w:spacing w:after="0" w:line="149" w:lineRule="exact"/>
              <w:rPr>
                <w:sz w:val="20"/>
                <w:szCs w:val="20"/>
                <w:color w:val="auto"/>
              </w:rPr>
            </w:pPr>
            <w:r>
              <w:rPr>
                <w:rFonts w:ascii="Arial" w:cs="Arial" w:eastAsia="Arial" w:hAnsi="Arial"/>
                <w:sz w:val="14"/>
                <w:szCs w:val="14"/>
                <w:color w:val="auto"/>
              </w:rPr>
              <w:t>issuance under equity</w:t>
            </w: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440" w:type="dxa"/>
            <w:vAlign w:val="bottom"/>
            <w:gridSpan w:val="2"/>
          </w:tcPr>
          <w:p>
            <w:pPr>
              <w:ind w:left="820"/>
              <w:spacing w:after="0" w:line="149" w:lineRule="exact"/>
              <w:rPr>
                <w:sz w:val="20"/>
                <w:szCs w:val="20"/>
                <w:color w:val="auto"/>
              </w:rPr>
            </w:pPr>
            <w:r>
              <w:rPr>
                <w:rFonts w:ascii="Arial" w:cs="Arial" w:eastAsia="Arial" w:hAnsi="Arial"/>
                <w:sz w:val="14"/>
                <w:szCs w:val="14"/>
                <w:color w:val="auto"/>
              </w:rPr>
              <w:t>exercise of outstanding</w:t>
            </w:r>
          </w:p>
        </w:tc>
        <w:tc>
          <w:tcPr>
            <w:tcW w:w="1740" w:type="dxa"/>
            <w:vAlign w:val="bottom"/>
          </w:tcPr>
          <w:p>
            <w:pPr>
              <w:ind w:left="260"/>
              <w:spacing w:after="0" w:line="149" w:lineRule="exact"/>
              <w:rPr>
                <w:sz w:val="20"/>
                <w:szCs w:val="20"/>
                <w:color w:val="auto"/>
              </w:rPr>
            </w:pPr>
            <w:r>
              <w:rPr>
                <w:rFonts w:ascii="Arial" w:cs="Arial" w:eastAsia="Arial" w:hAnsi="Arial"/>
                <w:sz w:val="14"/>
                <w:szCs w:val="14"/>
                <w:color w:val="auto"/>
              </w:rPr>
              <w:t>outstanding options,</w:t>
            </w:r>
          </w:p>
        </w:tc>
        <w:tc>
          <w:tcPr>
            <w:tcW w:w="2040" w:type="dxa"/>
            <w:vAlign w:val="bottom"/>
          </w:tcPr>
          <w:p>
            <w:pPr>
              <w:ind w:left="320"/>
              <w:spacing w:after="0" w:line="149" w:lineRule="exact"/>
              <w:rPr>
                <w:sz w:val="20"/>
                <w:szCs w:val="20"/>
                <w:color w:val="auto"/>
              </w:rPr>
            </w:pPr>
            <w:r>
              <w:rPr>
                <w:rFonts w:ascii="Arial" w:cs="Arial" w:eastAsia="Arial" w:hAnsi="Arial"/>
                <w:sz w:val="14"/>
                <w:szCs w:val="14"/>
                <w:color w:val="auto"/>
              </w:rPr>
              <w:t>compensation plans</w:t>
            </w: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440" w:type="dxa"/>
            <w:vAlign w:val="bottom"/>
            <w:gridSpan w:val="2"/>
          </w:tcPr>
          <w:p>
            <w:pPr>
              <w:ind w:left="820"/>
              <w:spacing w:after="0" w:line="149" w:lineRule="exact"/>
              <w:rPr>
                <w:sz w:val="20"/>
                <w:szCs w:val="20"/>
                <w:color w:val="auto"/>
              </w:rPr>
            </w:pPr>
            <w:r>
              <w:rPr>
                <w:rFonts w:ascii="Arial" w:cs="Arial" w:eastAsia="Arial" w:hAnsi="Arial"/>
                <w:sz w:val="14"/>
                <w:szCs w:val="14"/>
                <w:color w:val="auto"/>
              </w:rPr>
              <w:t>options, warrants and</w:t>
            </w:r>
          </w:p>
        </w:tc>
        <w:tc>
          <w:tcPr>
            <w:tcW w:w="1740" w:type="dxa"/>
            <w:vAlign w:val="bottom"/>
          </w:tcPr>
          <w:p>
            <w:pPr>
              <w:ind w:left="260"/>
              <w:spacing w:after="0" w:line="149" w:lineRule="exact"/>
              <w:rPr>
                <w:sz w:val="20"/>
                <w:szCs w:val="20"/>
                <w:color w:val="auto"/>
              </w:rPr>
            </w:pPr>
            <w:r>
              <w:rPr>
                <w:rFonts w:ascii="Arial" w:cs="Arial" w:eastAsia="Arial" w:hAnsi="Arial"/>
                <w:sz w:val="14"/>
                <w:szCs w:val="14"/>
                <w:color w:val="auto"/>
              </w:rPr>
              <w:t>warrants and rights</w:t>
            </w:r>
          </w:p>
        </w:tc>
        <w:tc>
          <w:tcPr>
            <w:tcW w:w="2040" w:type="dxa"/>
            <w:vAlign w:val="bottom"/>
          </w:tcPr>
          <w:p>
            <w:pPr>
              <w:ind w:left="320"/>
              <w:spacing w:after="0" w:line="149" w:lineRule="exact"/>
              <w:rPr>
                <w:sz w:val="20"/>
                <w:szCs w:val="20"/>
                <w:color w:val="auto"/>
              </w:rPr>
            </w:pPr>
            <w:r>
              <w:rPr>
                <w:rFonts w:ascii="Arial" w:cs="Arial" w:eastAsia="Arial" w:hAnsi="Arial"/>
                <w:sz w:val="14"/>
                <w:szCs w:val="14"/>
                <w:color w:val="auto"/>
              </w:rPr>
              <w:t>(excluding securities</w:t>
            </w:r>
          </w:p>
        </w:tc>
      </w:tr>
      <w:tr>
        <w:trPr>
          <w:trHeight w:val="174"/>
        </w:trPr>
        <w:tc>
          <w:tcPr>
            <w:tcW w:w="5200" w:type="dxa"/>
            <w:vAlign w:val="bottom"/>
            <w:gridSpan w:val="2"/>
          </w:tcPr>
          <w:p>
            <w:pPr>
              <w:spacing w:after="0"/>
              <w:rPr>
                <w:sz w:val="20"/>
                <w:szCs w:val="20"/>
                <w:color w:val="auto"/>
              </w:rPr>
            </w:pPr>
            <w:r>
              <w:rPr>
                <w:rFonts w:ascii="Arial" w:cs="Arial" w:eastAsia="Arial" w:hAnsi="Arial"/>
                <w:sz w:val="14"/>
                <w:szCs w:val="14"/>
                <w:color w:val="auto"/>
              </w:rPr>
              <w:t>Plan category</w:t>
            </w:r>
          </w:p>
        </w:tc>
        <w:tc>
          <w:tcPr>
            <w:tcW w:w="2440" w:type="dxa"/>
            <w:vAlign w:val="bottom"/>
            <w:gridSpan w:val="2"/>
          </w:tcPr>
          <w:p>
            <w:pPr>
              <w:ind w:left="820"/>
              <w:spacing w:after="0"/>
              <w:rPr>
                <w:sz w:val="20"/>
                <w:szCs w:val="20"/>
                <w:color w:val="auto"/>
              </w:rPr>
            </w:pPr>
            <w:r>
              <w:rPr>
                <w:rFonts w:ascii="Arial" w:cs="Arial" w:eastAsia="Arial" w:hAnsi="Arial"/>
                <w:sz w:val="14"/>
                <w:szCs w:val="14"/>
                <w:color w:val="auto"/>
              </w:rPr>
              <w:t>rights (a) (1)</w:t>
            </w:r>
          </w:p>
        </w:tc>
        <w:tc>
          <w:tcPr>
            <w:tcW w:w="1740" w:type="dxa"/>
            <w:vAlign w:val="bottom"/>
          </w:tcPr>
          <w:p>
            <w:pPr>
              <w:ind w:left="260"/>
              <w:spacing w:after="0"/>
              <w:rPr>
                <w:sz w:val="20"/>
                <w:szCs w:val="20"/>
                <w:color w:val="auto"/>
              </w:rPr>
            </w:pPr>
            <w:r>
              <w:rPr>
                <w:rFonts w:ascii="Arial" w:cs="Arial" w:eastAsia="Arial" w:hAnsi="Arial"/>
                <w:sz w:val="14"/>
                <w:szCs w:val="14"/>
                <w:color w:val="auto"/>
              </w:rPr>
              <w:t>(b) (2)</w:t>
            </w:r>
          </w:p>
        </w:tc>
        <w:tc>
          <w:tcPr>
            <w:tcW w:w="2040" w:type="dxa"/>
            <w:vAlign w:val="bottom"/>
          </w:tcPr>
          <w:p>
            <w:pPr>
              <w:ind w:left="320"/>
              <w:spacing w:after="0"/>
              <w:rPr>
                <w:sz w:val="20"/>
                <w:szCs w:val="20"/>
                <w:color w:val="auto"/>
              </w:rPr>
            </w:pPr>
            <w:r>
              <w:rPr>
                <w:rFonts w:ascii="Arial" w:cs="Arial" w:eastAsia="Arial" w:hAnsi="Arial"/>
                <w:sz w:val="14"/>
                <w:szCs w:val="14"/>
                <w:color w:val="auto"/>
              </w:rPr>
              <w:t>reflected in column (a)) (c)</w:t>
            </w:r>
          </w:p>
        </w:tc>
      </w:tr>
      <w:tr>
        <w:trPr>
          <w:trHeight w:val="216"/>
        </w:trPr>
        <w:tc>
          <w:tcPr>
            <w:tcW w:w="20" w:type="dxa"/>
            <w:vAlign w:val="bottom"/>
          </w:tcPr>
          <w:p>
            <w:pPr>
              <w:spacing w:after="0"/>
              <w:rPr>
                <w:sz w:val="18"/>
                <w:szCs w:val="18"/>
                <w:color w:val="auto"/>
              </w:rPr>
            </w:pPr>
          </w:p>
        </w:tc>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440" w:type="dxa"/>
            <w:vAlign w:val="bottom"/>
            <w:tcBorders>
              <w:top w:val="single" w:sz="8" w:color="auto"/>
            </w:tcBorders>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3,376</w:t>
            </w:r>
          </w:p>
        </w:tc>
        <w:tc>
          <w:tcPr>
            <w:tcW w:w="1740" w:type="dxa"/>
            <w:vAlign w:val="bottom"/>
            <w:tcBorders>
              <w:top w:val="single" w:sz="8" w:color="auto"/>
            </w:tcBorders>
            <w:shd w:val="clear" w:color="auto" w:fill="CCEEFF"/>
          </w:tcPr>
          <w:p>
            <w:pPr>
              <w:jc w:val="right"/>
              <w:ind w:right="521"/>
              <w:spacing w:after="0"/>
              <w:rPr>
                <w:sz w:val="20"/>
                <w:szCs w:val="20"/>
                <w:color w:val="auto"/>
              </w:rPr>
            </w:pPr>
            <w:r>
              <w:rPr>
                <w:rFonts w:ascii="Arial" w:cs="Arial" w:eastAsia="Arial" w:hAnsi="Arial"/>
                <w:sz w:val="18"/>
                <w:szCs w:val="18"/>
                <w:color w:val="auto"/>
              </w:rPr>
              <w:t>$12.87</w:t>
            </w:r>
          </w:p>
        </w:tc>
        <w:tc>
          <w:tcPr>
            <w:tcW w:w="2040" w:type="dxa"/>
            <w:vAlign w:val="bottom"/>
            <w:tcBorders>
              <w:top w:val="single" w:sz="8" w:color="auto"/>
            </w:tcBorders>
            <w:shd w:val="clear" w:color="auto" w:fill="CCEEFF"/>
          </w:tcPr>
          <w:p>
            <w:pPr>
              <w:jc w:val="right"/>
              <w:ind w:right="382"/>
              <w:spacing w:after="0"/>
              <w:rPr>
                <w:sz w:val="20"/>
                <w:szCs w:val="20"/>
                <w:color w:val="auto"/>
              </w:rPr>
            </w:pPr>
            <w:r>
              <w:rPr>
                <w:rFonts w:ascii="Arial" w:cs="Arial" w:eastAsia="Arial" w:hAnsi="Arial"/>
                <w:sz w:val="18"/>
                <w:szCs w:val="18"/>
                <w:color w:val="auto"/>
              </w:rPr>
              <w:t>2,201(3)</w:t>
            </w: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820" w:type="dxa"/>
            <w:vAlign w:val="bottom"/>
          </w:tcPr>
          <w:p>
            <w:pPr>
              <w:spacing w:after="0"/>
              <w:rPr>
                <w:sz w:val="19"/>
                <w:szCs w:val="19"/>
                <w:color w:val="auto"/>
              </w:rPr>
            </w:pPr>
          </w:p>
        </w:tc>
        <w:tc>
          <w:tcPr>
            <w:tcW w:w="16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521"/>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tcPr>
          <w:p>
            <w:pPr>
              <w:jc w:val="right"/>
              <w:ind w:right="58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3,376</w:t>
            </w:r>
          </w:p>
        </w:tc>
        <w:tc>
          <w:tcPr>
            <w:tcW w:w="1740" w:type="dxa"/>
            <w:vAlign w:val="bottom"/>
            <w:shd w:val="clear" w:color="auto" w:fill="CCEEFF"/>
          </w:tcPr>
          <w:p>
            <w:pPr>
              <w:jc w:val="right"/>
              <w:ind w:right="521"/>
              <w:spacing w:after="0"/>
              <w:rPr>
                <w:sz w:val="20"/>
                <w:szCs w:val="20"/>
                <w:color w:val="auto"/>
              </w:rPr>
            </w:pPr>
            <w:r>
              <w:rPr>
                <w:rFonts w:ascii="Arial" w:cs="Arial" w:eastAsia="Arial" w:hAnsi="Arial"/>
                <w:sz w:val="18"/>
                <w:szCs w:val="18"/>
                <w:color w:val="auto"/>
              </w:rPr>
              <w:t>$12.87</w:t>
            </w:r>
          </w:p>
        </w:tc>
        <w:tc>
          <w:tcPr>
            <w:tcW w:w="204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2,201</w:t>
            </w: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82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options and restricted stock units (RSUs) outstanding under Cohu’s equity incentive plans, as no stock warrants or other rights were outstanding as of December 26, 2009.</w:t>
      </w:r>
    </w:p>
    <w:p>
      <w:pPr>
        <w:spacing w:after="0" w:line="21" w:lineRule="exact"/>
        <w:rPr>
          <w:rFonts w:ascii="Arial" w:cs="Arial" w:eastAsia="Arial" w:hAnsi="Arial"/>
          <w:sz w:val="18"/>
          <w:szCs w:val="18"/>
          <w:color w:val="auto"/>
        </w:rPr>
      </w:pPr>
    </w:p>
    <w:p>
      <w:pPr>
        <w:ind w:left="460" w:right="8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weighted average exercise price of outstanding options, warrants and rights does not take RSUs into account as RSUs have a de minimus purchase price.</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370,339 shares of common stock reserved for future issuance under the Cohu 1997 Employee Stock Purchase Plan.</w:t>
      </w:r>
    </w:p>
    <w:p>
      <w:pPr>
        <w:spacing w:after="0" w:line="117" w:lineRule="exact"/>
        <w:rPr>
          <w:sz w:val="20"/>
          <w:szCs w:val="20"/>
          <w:color w:val="auto"/>
        </w:rPr>
      </w:pPr>
    </w:p>
    <w:p>
      <w:pPr>
        <w:jc w:val="center"/>
        <w:ind w:right="340"/>
        <w:spacing w:after="0" w:line="481" w:lineRule="auto"/>
        <w:rPr>
          <w:sz w:val="20"/>
          <w:szCs w:val="20"/>
          <w:color w:val="auto"/>
        </w:rPr>
      </w:pPr>
      <w:r>
        <w:rPr>
          <w:rFonts w:ascii="Arial" w:cs="Arial" w:eastAsia="Arial" w:hAnsi="Arial"/>
          <w:sz w:val="18"/>
          <w:szCs w:val="18"/>
          <w:color w:val="auto"/>
        </w:rPr>
        <w:t>For further details regarding Cohu’s equity compensation plans, see Note 4, “Employee Benefit Plans”, included in Part IV, Item 15(a) of this Form 10-K.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Stock Performance Graph</w:t>
      </w:r>
    </w:p>
    <w:p>
      <w:pPr>
        <w:spacing w:after="0" w:line="12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i w:val="1"/>
          <w:iCs w:val="1"/>
          <w:color w:val="auto"/>
        </w:rPr>
        <w:t>The information contained in this Stock Performance Graph section shall not be deemed to be “soliciting material” or “filed” with the SEC or subject to the liabilities of Section 18 of the Exchange Act except to the extent that Cohu specifically incorporates it by reference into a document filed under the Securities Act or the Exchange Act.</w:t>
      </w:r>
    </w:p>
    <w:p>
      <w:pPr>
        <w:spacing w:after="0" w:line="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graph below compares the cumulative total stockholder return on the common stock of Cohu for the last five fiscal years with the cumulative total return on a Peer Group Index and a NASDAQ Market Index over the same period (assuming the investment of $100 in Cohu’s common stock, Peer Group Index and NASDAQ Market Index on January 1, 2005 and reinvestment of all dividends). The Peer Group Index set forth on the Performance Graph is the index for Hemscott, Inc., Industry Group 834 “Semiconductor Equipment/Material”. Industry Group 834 is comprised of approximately 60 publicly-held semiconductor equipment and other related companies. Historical stock price performance is not necessarily indicative of future stock price performance.</w:t>
      </w:r>
    </w:p>
    <w:p>
      <w:pPr>
        <w:spacing w:after="0" w:line="154" w:lineRule="exact"/>
        <w:rPr>
          <w:sz w:val="20"/>
          <w:szCs w:val="20"/>
          <w:color w:val="auto"/>
        </w:rPr>
      </w:pPr>
    </w:p>
    <w:p>
      <w:pPr>
        <w:jc w:val="center"/>
        <w:ind w:left="260" w:right="2520"/>
        <w:spacing w:after="0" w:line="266" w:lineRule="auto"/>
        <w:rPr>
          <w:sz w:val="20"/>
          <w:szCs w:val="20"/>
          <w:color w:val="auto"/>
        </w:rPr>
      </w:pPr>
      <w:r>
        <w:rPr>
          <w:rFonts w:ascii="Arial" w:cs="Arial" w:eastAsia="Arial" w:hAnsi="Arial"/>
          <w:sz w:val="18"/>
          <w:szCs w:val="18"/>
          <w:b w:val="1"/>
          <w:bCs w:val="1"/>
          <w:color w:val="auto"/>
        </w:rPr>
        <w:t>COMPARISON OF 5-YEAR CUMULATIVE TOTAL RETURN AMONG COHU, INC., NASDAQ MARKET INDEX, SEMICONDUCTOR EQUIPMENT &amp;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123190</wp:posOffset>
            </wp:positionV>
            <wp:extent cx="4802505" cy="23926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802505" cy="239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60" w:type="dxa"/>
            <w:vAlign w:val="bottom"/>
            <w:vMerge w:val="restart"/>
          </w:tcPr>
          <w:p>
            <w:pPr>
              <w:spacing w:after="0"/>
              <w:rPr>
                <w:sz w:val="20"/>
                <w:szCs w:val="20"/>
                <w:color w:val="auto"/>
              </w:rPr>
            </w:pPr>
            <w:r>
              <w:rPr>
                <w:rFonts w:ascii="Arial" w:cs="Arial" w:eastAsia="Arial" w:hAnsi="Arial"/>
                <w:sz w:val="18"/>
                <w:szCs w:val="18"/>
                <w:color w:val="auto"/>
              </w:rPr>
              <w:t>Cohu, Inc.</w:t>
            </w:r>
          </w:p>
        </w:tc>
        <w:tc>
          <w:tcPr>
            <w:tcW w:w="880" w:type="dxa"/>
            <w:vAlign w:val="bottom"/>
          </w:tcPr>
          <w:p>
            <w:pPr>
              <w:jc w:val="right"/>
              <w:ind w:right="214"/>
              <w:spacing w:after="0"/>
              <w:rPr>
                <w:sz w:val="20"/>
                <w:szCs w:val="20"/>
                <w:color w:val="auto"/>
              </w:rPr>
            </w:pPr>
            <w:r>
              <w:rPr>
                <w:rFonts w:ascii="Arial" w:cs="Arial" w:eastAsia="Arial" w:hAnsi="Arial"/>
                <w:sz w:val="14"/>
                <w:szCs w:val="14"/>
                <w:color w:val="auto"/>
              </w:rPr>
              <w:t>2004</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2005</w:t>
            </w:r>
          </w:p>
        </w:tc>
        <w:tc>
          <w:tcPr>
            <w:tcW w:w="1640" w:type="dxa"/>
            <w:vAlign w:val="bottom"/>
            <w:gridSpan w:val="3"/>
          </w:tcPr>
          <w:p>
            <w:pPr>
              <w:jc w:val="right"/>
              <w:ind w:right="210"/>
              <w:spacing w:after="0"/>
              <w:rPr>
                <w:sz w:val="20"/>
                <w:szCs w:val="20"/>
                <w:color w:val="auto"/>
              </w:rPr>
            </w:pPr>
            <w:r>
              <w:rPr>
                <w:rFonts w:ascii="Arial" w:cs="Arial" w:eastAsia="Arial" w:hAnsi="Arial"/>
                <w:sz w:val="14"/>
                <w:szCs w:val="14"/>
                <w:color w:val="auto"/>
              </w:rPr>
              <w:t>2006</w:t>
            </w:r>
          </w:p>
        </w:tc>
        <w:tc>
          <w:tcPr>
            <w:tcW w:w="1440" w:type="dxa"/>
            <w:vAlign w:val="bottom"/>
            <w:gridSpan w:val="3"/>
          </w:tcPr>
          <w:p>
            <w:pPr>
              <w:jc w:val="right"/>
              <w:ind w:right="230"/>
              <w:spacing w:after="0"/>
              <w:rPr>
                <w:sz w:val="20"/>
                <w:szCs w:val="20"/>
                <w:color w:val="auto"/>
              </w:rPr>
            </w:pPr>
            <w:r>
              <w:rPr>
                <w:rFonts w:ascii="Arial" w:cs="Arial" w:eastAsia="Arial" w:hAnsi="Arial"/>
                <w:sz w:val="14"/>
                <w:szCs w:val="14"/>
                <w:color w:val="auto"/>
              </w:rPr>
              <w:t>2007</w:t>
            </w:r>
          </w:p>
        </w:tc>
        <w:tc>
          <w:tcPr>
            <w:tcW w:w="1360" w:type="dxa"/>
            <w:vAlign w:val="bottom"/>
            <w:gridSpan w:val="2"/>
          </w:tcPr>
          <w:p>
            <w:pPr>
              <w:jc w:val="right"/>
              <w:ind w:right="190"/>
              <w:spacing w:after="0"/>
              <w:rPr>
                <w:sz w:val="20"/>
                <w:szCs w:val="20"/>
                <w:color w:val="auto"/>
              </w:rPr>
            </w:pPr>
            <w:r>
              <w:rPr>
                <w:rFonts w:ascii="Arial" w:cs="Arial" w:eastAsia="Arial" w:hAnsi="Arial"/>
                <w:sz w:val="14"/>
                <w:szCs w:val="14"/>
                <w:color w:val="auto"/>
              </w:rPr>
              <w:t>2008</w:t>
            </w:r>
          </w:p>
        </w:tc>
        <w:tc>
          <w:tcPr>
            <w:tcW w:w="1440" w:type="dxa"/>
            <w:vAlign w:val="bottom"/>
            <w:gridSpan w:val="3"/>
          </w:tcPr>
          <w:p>
            <w:pPr>
              <w:jc w:val="right"/>
              <w:ind w:right="230"/>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95"/>
        </w:trPr>
        <w:tc>
          <w:tcPr>
            <w:tcW w:w="3460" w:type="dxa"/>
            <w:vAlign w:val="bottom"/>
            <w:vMerge w:val="continue"/>
          </w:tcPr>
          <w:p>
            <w:pPr>
              <w:spacing w:after="0"/>
              <w:rPr>
                <w:sz w:val="16"/>
                <w:szCs w:val="16"/>
                <w:color w:val="auto"/>
              </w:rPr>
            </w:pPr>
          </w:p>
        </w:tc>
        <w:tc>
          <w:tcPr>
            <w:tcW w:w="880" w:type="dxa"/>
            <w:vAlign w:val="bottom"/>
            <w:tcBorders>
              <w:top w:val="single" w:sz="8" w:color="auto"/>
            </w:tcBorders>
          </w:tcPr>
          <w:p>
            <w:pPr>
              <w:jc w:val="right"/>
              <w:ind w:right="214"/>
              <w:spacing w:after="0" w:line="195" w:lineRule="exact"/>
              <w:rPr>
                <w:sz w:val="20"/>
                <w:szCs w:val="20"/>
                <w:color w:val="auto"/>
              </w:rPr>
            </w:pPr>
            <w:r>
              <w:rPr>
                <w:rFonts w:ascii="Arial" w:cs="Arial" w:eastAsia="Arial" w:hAnsi="Arial"/>
                <w:sz w:val="18"/>
                <w:szCs w:val="18"/>
                <w:color w:val="auto"/>
              </w:rPr>
              <w:t>$100</w:t>
            </w:r>
          </w:p>
        </w:tc>
        <w:tc>
          <w:tcPr>
            <w:tcW w:w="520" w:type="dxa"/>
            <w:vAlign w:val="bottom"/>
          </w:tcPr>
          <w:p>
            <w:pPr>
              <w:spacing w:after="0"/>
              <w:rPr>
                <w:sz w:val="16"/>
                <w:szCs w:val="16"/>
                <w:color w:val="auto"/>
              </w:rPr>
            </w:pP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$124</w:t>
            </w:r>
          </w:p>
        </w:tc>
        <w:tc>
          <w:tcPr>
            <w:tcW w:w="220" w:type="dxa"/>
            <w:vAlign w:val="bottom"/>
            <w:tcBorders>
              <w:top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Borders>
              <w:top w:val="single" w:sz="8" w:color="auto"/>
            </w:tcBorders>
          </w:tcPr>
          <w:p>
            <w:pPr>
              <w:jc w:val="right"/>
              <w:ind w:right="230"/>
              <w:spacing w:after="0" w:line="195" w:lineRule="exact"/>
              <w:rPr>
                <w:sz w:val="20"/>
                <w:szCs w:val="20"/>
                <w:color w:val="auto"/>
              </w:rPr>
            </w:pPr>
            <w:r>
              <w:rPr>
                <w:rFonts w:ascii="Arial" w:cs="Arial" w:eastAsia="Arial" w:hAnsi="Arial"/>
                <w:sz w:val="18"/>
                <w:szCs w:val="18"/>
                <w:color w:val="auto"/>
              </w:rPr>
              <w:t>$111</w:t>
            </w:r>
          </w:p>
        </w:tc>
        <w:tc>
          <w:tcPr>
            <w:tcW w:w="520" w:type="dxa"/>
            <w:vAlign w:val="bottom"/>
          </w:tcPr>
          <w:p>
            <w:pPr>
              <w:spacing w:after="0"/>
              <w:rPr>
                <w:sz w:val="16"/>
                <w:szCs w:val="16"/>
                <w:color w:val="auto"/>
              </w:rPr>
            </w:pPr>
          </w:p>
        </w:tc>
        <w:tc>
          <w:tcPr>
            <w:tcW w:w="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ind w:right="230"/>
              <w:spacing w:after="0" w:line="195" w:lineRule="exact"/>
              <w:rPr>
                <w:sz w:val="20"/>
                <w:szCs w:val="20"/>
                <w:color w:val="auto"/>
              </w:rPr>
            </w:pPr>
            <w:r>
              <w:rPr>
                <w:rFonts w:ascii="Arial" w:cs="Arial" w:eastAsia="Arial" w:hAnsi="Arial"/>
                <w:sz w:val="18"/>
                <w:szCs w:val="18"/>
                <w:color w:val="auto"/>
              </w:rPr>
              <w:t>86</w:t>
            </w:r>
          </w:p>
        </w:tc>
        <w:tc>
          <w:tcPr>
            <w:tcW w:w="520" w:type="dxa"/>
            <w:vAlign w:val="bottom"/>
          </w:tcPr>
          <w:p>
            <w:pPr>
              <w:spacing w:after="0"/>
              <w:rPr>
                <w:sz w:val="16"/>
                <w:szCs w:val="16"/>
                <w:color w:val="auto"/>
              </w:rPr>
            </w:pPr>
          </w:p>
        </w:tc>
        <w:tc>
          <w:tcPr>
            <w:tcW w:w="840" w:type="dxa"/>
            <w:vAlign w:val="bottom"/>
            <w:tcBorders>
              <w:top w:val="single" w:sz="8" w:color="auto"/>
            </w:tcBorders>
          </w:tcPr>
          <w:p>
            <w:pPr>
              <w:jc w:val="right"/>
              <w:ind w:right="230"/>
              <w:spacing w:after="0" w:line="195" w:lineRule="exact"/>
              <w:rPr>
                <w:sz w:val="20"/>
                <w:szCs w:val="20"/>
                <w:color w:val="auto"/>
              </w:rPr>
            </w:pPr>
            <w:r>
              <w:rPr>
                <w:rFonts w:ascii="Arial" w:cs="Arial" w:eastAsia="Arial" w:hAnsi="Arial"/>
                <w:sz w:val="18"/>
                <w:szCs w:val="18"/>
                <w:color w:val="auto"/>
              </w:rPr>
              <w:t>$68</w:t>
            </w:r>
          </w:p>
        </w:tc>
        <w:tc>
          <w:tcPr>
            <w:tcW w:w="520" w:type="dxa"/>
            <w:vAlign w:val="bottom"/>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ind w:right="230"/>
              <w:spacing w:after="0" w:line="195"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NASDAQ Index</w:t>
            </w:r>
          </w:p>
        </w:tc>
        <w:tc>
          <w:tcPr>
            <w:tcW w:w="880" w:type="dxa"/>
            <w:vAlign w:val="bottom"/>
          </w:tcPr>
          <w:p>
            <w:pPr>
              <w:jc w:val="right"/>
              <w:ind w:right="214"/>
              <w:spacing w:after="0"/>
              <w:rPr>
                <w:sz w:val="20"/>
                <w:szCs w:val="20"/>
                <w:color w:val="auto"/>
              </w:rPr>
            </w:pPr>
            <w:r>
              <w:rPr>
                <w:rFonts w:ascii="Arial" w:cs="Arial" w:eastAsia="Arial" w:hAnsi="Arial"/>
                <w:sz w:val="18"/>
                <w:szCs w:val="18"/>
                <w:color w:val="auto"/>
              </w:rPr>
              <w:t>$100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1640" w:type="dxa"/>
            <w:vAlign w:val="bottom"/>
            <w:gridSpan w:val="3"/>
          </w:tcPr>
          <w:p>
            <w:pPr>
              <w:jc w:val="right"/>
              <w:ind w:right="230"/>
              <w:spacing w:after="0"/>
              <w:rPr>
                <w:sz w:val="20"/>
                <w:szCs w:val="20"/>
                <w:color w:val="auto"/>
              </w:rPr>
            </w:pPr>
            <w:r>
              <w:rPr>
                <w:rFonts w:ascii="Arial" w:cs="Arial" w:eastAsia="Arial" w:hAnsi="Arial"/>
                <w:sz w:val="18"/>
                <w:szCs w:val="18"/>
                <w:color w:val="auto"/>
              </w:rPr>
              <w:t>$113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30"/>
              <w:spacing w:after="0"/>
              <w:rPr>
                <w:sz w:val="20"/>
                <w:szCs w:val="20"/>
                <w:color w:val="auto"/>
              </w:rPr>
            </w:pPr>
            <w:r>
              <w:rPr>
                <w:rFonts w:ascii="Arial" w:cs="Arial" w:eastAsia="Arial" w:hAnsi="Arial"/>
                <w:sz w:val="18"/>
                <w:szCs w:val="18"/>
                <w:color w:val="auto"/>
                <w:w w:val="79"/>
              </w:rPr>
              <w:t>125</w:t>
            </w:r>
          </w:p>
        </w:tc>
        <w:tc>
          <w:tcPr>
            <w:tcW w:w="1360" w:type="dxa"/>
            <w:vAlign w:val="bottom"/>
            <w:gridSpan w:val="2"/>
          </w:tcPr>
          <w:p>
            <w:pPr>
              <w:jc w:val="right"/>
              <w:ind w:right="230"/>
              <w:spacing w:after="0"/>
              <w:rPr>
                <w:sz w:val="20"/>
                <w:szCs w:val="20"/>
                <w:color w:val="auto"/>
              </w:rPr>
            </w:pPr>
            <w:r>
              <w:rPr>
                <w:rFonts w:ascii="Arial" w:cs="Arial" w:eastAsia="Arial" w:hAnsi="Arial"/>
                <w:sz w:val="18"/>
                <w:szCs w:val="18"/>
                <w:color w:val="auto"/>
              </w:rPr>
              <w:t>$75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30"/>
              <w:spacing w:after="0"/>
              <w:rPr>
                <w:sz w:val="20"/>
                <w:szCs w:val="20"/>
                <w:color w:val="auto"/>
              </w:rPr>
            </w:pPr>
            <w:r>
              <w:rPr>
                <w:rFonts w:ascii="Arial" w:cs="Arial" w:eastAsia="Arial" w:hAnsi="Arial"/>
                <w:sz w:val="18"/>
                <w:szCs w:val="18"/>
                <w:color w:val="auto"/>
                <w:w w:val="86"/>
              </w:rPr>
              <w:t>109</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Peer Group</w:t>
            </w:r>
          </w:p>
        </w:tc>
        <w:tc>
          <w:tcPr>
            <w:tcW w:w="880" w:type="dxa"/>
            <w:vAlign w:val="bottom"/>
          </w:tcPr>
          <w:p>
            <w:pPr>
              <w:jc w:val="right"/>
              <w:ind w:right="214"/>
              <w:spacing w:after="0"/>
              <w:rPr>
                <w:sz w:val="20"/>
                <w:szCs w:val="20"/>
                <w:color w:val="auto"/>
              </w:rPr>
            </w:pPr>
            <w:r>
              <w:rPr>
                <w:rFonts w:ascii="Arial" w:cs="Arial" w:eastAsia="Arial" w:hAnsi="Arial"/>
                <w:sz w:val="18"/>
                <w:szCs w:val="18"/>
                <w:color w:val="auto"/>
              </w:rPr>
              <w:t>$100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640" w:type="dxa"/>
            <w:vAlign w:val="bottom"/>
            <w:gridSpan w:val="3"/>
          </w:tcPr>
          <w:p>
            <w:pPr>
              <w:jc w:val="right"/>
              <w:ind w:right="230"/>
              <w:spacing w:after="0"/>
              <w:rPr>
                <w:sz w:val="20"/>
                <w:szCs w:val="20"/>
                <w:color w:val="auto"/>
              </w:rPr>
            </w:pPr>
            <w:r>
              <w:rPr>
                <w:rFonts w:ascii="Arial" w:cs="Arial" w:eastAsia="Arial" w:hAnsi="Arial"/>
                <w:sz w:val="18"/>
                <w:szCs w:val="18"/>
                <w:color w:val="auto"/>
              </w:rPr>
              <w:t>$118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30"/>
              <w:spacing w:after="0"/>
              <w:rPr>
                <w:sz w:val="20"/>
                <w:szCs w:val="20"/>
                <w:color w:val="auto"/>
              </w:rPr>
            </w:pPr>
            <w:r>
              <w:rPr>
                <w:rFonts w:ascii="Arial" w:cs="Arial" w:eastAsia="Arial" w:hAnsi="Arial"/>
                <w:sz w:val="18"/>
                <w:szCs w:val="18"/>
                <w:color w:val="auto"/>
                <w:w w:val="79"/>
              </w:rPr>
              <w:t>113</w:t>
            </w:r>
          </w:p>
        </w:tc>
        <w:tc>
          <w:tcPr>
            <w:tcW w:w="1360" w:type="dxa"/>
            <w:vAlign w:val="bottom"/>
            <w:gridSpan w:val="2"/>
          </w:tcPr>
          <w:p>
            <w:pPr>
              <w:jc w:val="right"/>
              <w:ind w:right="230"/>
              <w:spacing w:after="0"/>
              <w:rPr>
                <w:sz w:val="20"/>
                <w:szCs w:val="20"/>
                <w:color w:val="auto"/>
              </w:rPr>
            </w:pPr>
            <w:r>
              <w:rPr>
                <w:rFonts w:ascii="Arial" w:cs="Arial" w:eastAsia="Arial" w:hAnsi="Arial"/>
                <w:sz w:val="18"/>
                <w:szCs w:val="18"/>
                <w:color w:val="auto"/>
              </w:rPr>
              <w:t>$60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405"/>
        </w:trPr>
        <w:tc>
          <w:tcPr>
            <w:tcW w:w="3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18"/>
                <w:szCs w:val="18"/>
                <w:color w:val="auto"/>
              </w:rPr>
              <w:t>17</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following selected financial data should be read in conjunction with Cohu’s Consolidated Financial Statements and Notes thereto included in Part IV, Item 15(a) and with Management’s Discussion and Analysis of Financial Condition and Results of Operations, included in Part II, Item 7. In December, 2008, we purchased Rasco. The results of Rasco’s operations have been included in our consolidated financial statements since that date. In March, 2007, we purchased Tandberg Television AVS GmbH (“AVS”). The results of AVS’ operations have been included in our consolidated financial statements since that date. In May 2006, we sold substantially all the assets of FRL, Incorporated (“FRL”), which comprised our metal detection equipment segment. As a result of the divestiture of FRL, we are reporting FRL as a discontinued operation for all periods presented. In March, 2006, we purchased certain intellectual property, fixed assets, inventory and a customer contract of Unisys’ Unigen operation (“Unigen”). The results of Unigen’s operations have been included in our consolidated financial statements since that date.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Years Ended,</w:t>
            </w:r>
          </w:p>
        </w:tc>
        <w:tc>
          <w:tcPr>
            <w:tcW w:w="10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w w:val="95"/>
              </w:rPr>
              <w:t>Dec. 26</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4"/>
                <w:szCs w:val="14"/>
                <w:color w:val="auto"/>
                <w:w w:val="95"/>
              </w:rPr>
              <w:t>Dec. 27</w:t>
            </w:r>
          </w:p>
        </w:tc>
        <w:tc>
          <w:tcPr>
            <w:tcW w:w="1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color w:val="auto"/>
              </w:rPr>
              <w:t>Dec. 29</w:t>
            </w:r>
          </w:p>
        </w:tc>
        <w:tc>
          <w:tcPr>
            <w:tcW w:w="1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color w:val="auto"/>
              </w:rPr>
              <w:t>Dec. 30</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74"/>
        </w:trPr>
        <w:tc>
          <w:tcPr>
            <w:tcW w:w="510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00" w:type="dxa"/>
            <w:vAlign w:val="bottom"/>
          </w:tcPr>
          <w:p>
            <w:pPr>
              <w:spacing w:after="0"/>
              <w:rPr>
                <w:sz w:val="15"/>
                <w:szCs w:val="15"/>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color w:val="auto"/>
              </w:rPr>
              <w:t>2009</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color w:val="auto"/>
              </w:rPr>
              <w:t>2007</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color w:val="auto"/>
              </w:rPr>
              <w:t>2006</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Consolidated Statement of Operations Data:</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171,261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199,659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241,389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270,106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231,382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Income (loss) from continuing operations </w:t>
            </w:r>
            <w:r>
              <w:rPr>
                <w:rFonts w:ascii="Arial" w:cs="Arial" w:eastAsia="Arial" w:hAnsi="Arial"/>
                <w:sz w:val="15"/>
                <w:szCs w:val="15"/>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(28,168)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(5,443)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18,626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200"/>
              <w:spacing w:after="0"/>
              <w:rPr>
                <w:sz w:val="20"/>
                <w:szCs w:val="20"/>
                <w:color w:val="auto"/>
              </w:rPr>
            </w:pPr>
            <w:r>
              <w:rPr>
                <w:rFonts w:ascii="Arial" w:cs="Arial" w:eastAsia="Arial" w:hAnsi="Arial"/>
                <w:sz w:val="18"/>
                <w:szCs w:val="18"/>
                <w:color w:val="auto"/>
              </w:rPr>
              <w:t xml:space="preserve">Net income (loss) </w:t>
            </w:r>
            <w:r>
              <w:rPr>
                <w:rFonts w:ascii="Arial" w:cs="Arial" w:eastAsia="Arial" w:hAnsi="Arial"/>
                <w:sz w:val="15"/>
                <w:szCs w:val="15"/>
                <w:color w:val="auto"/>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(28,168</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(5,443</w:t>
            </w:r>
          </w:p>
        </w:tc>
        <w:tc>
          <w:tcPr>
            <w:tcW w:w="680" w:type="dxa"/>
            <w:vAlign w:val="bottom"/>
          </w:tcPr>
          <w:p>
            <w:pPr>
              <w:jc w:val="right"/>
              <w:ind w:right="54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7,978</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shd w:val="clear" w:color="auto" w:fill="CCEEFF"/>
          </w:tcPr>
          <w:p>
            <w:pPr>
              <w:ind w:left="200"/>
              <w:spacing w:after="0" w:line="195" w:lineRule="exact"/>
              <w:rPr>
                <w:sz w:val="20"/>
                <w:szCs w:val="20"/>
                <w:color w:val="auto"/>
              </w:rPr>
            </w:pPr>
            <w:r>
              <w:rPr>
                <w:rFonts w:ascii="Arial" w:cs="Arial" w:eastAsia="Arial" w:hAnsi="Arial"/>
                <w:sz w:val="18"/>
                <w:szCs w:val="18"/>
                <w:color w:val="auto"/>
              </w:rPr>
              <w:t>Income (loss) from continuing operations per common</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 — 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200"/>
              <w:spacing w:after="0"/>
              <w:rPr>
                <w:sz w:val="20"/>
                <w:szCs w:val="20"/>
                <w:color w:val="auto"/>
              </w:rPr>
            </w:pPr>
            <w:r>
              <w:rPr>
                <w:rFonts w:ascii="Arial" w:cs="Arial" w:eastAsia="Arial" w:hAnsi="Arial"/>
                <w:sz w:val="18"/>
                <w:szCs w:val="18"/>
                <w:color w:val="auto"/>
              </w:rPr>
              <w:t>Income (loss) from continuing operations per common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400"/>
              <w:spacing w:after="0"/>
              <w:rPr>
                <w:sz w:val="20"/>
                <w:szCs w:val="20"/>
                <w:color w:val="auto"/>
              </w:rPr>
            </w:pPr>
            <w:r>
              <w:rPr>
                <w:rFonts w:ascii="Arial" w:cs="Arial" w:eastAsia="Arial" w:hAnsi="Arial"/>
                <w:sz w:val="18"/>
                <w:szCs w:val="18"/>
                <w:color w:val="auto"/>
              </w:rPr>
              <w:t>share —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(0.23)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0.34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0.81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 per common share — 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200"/>
              <w:spacing w:after="0"/>
              <w:rPr>
                <w:sz w:val="20"/>
                <w:szCs w:val="20"/>
                <w:color w:val="auto"/>
              </w:rPr>
            </w:pPr>
            <w:r>
              <w:rPr>
                <w:rFonts w:ascii="Arial" w:cs="Arial" w:eastAsia="Arial" w:hAnsi="Arial"/>
                <w:sz w:val="18"/>
                <w:szCs w:val="18"/>
                <w:color w:val="auto"/>
              </w:rPr>
              <w:t>Net income (loss) per common share —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680" w:type="dxa"/>
            <w:vAlign w:val="bottom"/>
          </w:tcPr>
          <w:p>
            <w:pPr>
              <w:jc w:val="right"/>
              <w:ind w:right="54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share, paid quarterly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Consolidated Balance Sheet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consolidated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330,118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344,169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340,379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326,339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306,977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Working Capital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139,597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155,589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234,345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225,520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206,295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80" w:hanging="452"/>
        <w:spacing w:after="0" w:line="273"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On January 1, 2006, we began to measure and recognize all share-based compensation based on the fair value method. Total share-based compensation recorded in the years ended December 26, 2009, December 27, 2008, December 29, 2007 and December 30, 2006 was approximately $3.4 million, $3.9 million, $4.1 million and $3.6 million, respectively. No share-based compensation expense was recorded in the year ended December 31, 2005. The year ended December 26, 2009 includes a charge of $19.6 million for an increase in the valuation allowance against our deferred tax assets. The year ended December 27, 2008 includes a charge for excess inventory of $5.5 million at Delta and a charge of $2.6 million for acquired in-process research and development from the acquisition of Rasco.</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Cohu operates in three business segments. Our primary business is the development, manufacture, sale and servicing of test handling and burn-in related equipment and thermal sub-systems for the global semiconductor industry through our wholly-owned subsidiaries, Delta Design, Inc. and Rasco GmbH. This business is significantly dependent on capital expenditures by semiconductor manufacturers and test subcontractors, which in turn is dependent on the current and anticipated market demand for semiconductors that is subject to cyclical trends. We expect that the semiconductor equipment industry will continue to be cyclical and volatile in part because consumer electronics, the principal end market for integrated circuits, is a highly dynamic industry and demand is difficult to accurately predict. Our other businesses produce mobile microwave communications equipment (Broadcast Microwave Services, Inc.) and video cameras and accessories (Cohu Electronics Division).</w:t>
      </w:r>
    </w:p>
    <w:p>
      <w:pPr>
        <w:spacing w:after="0" w:line="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Like other suppliers of test and assembly (“backend”) semiconductor equipment, our primary business has been severely impacted by the global recession and the dramatic decrease in consumer and business confidence that has resulted in lower sales of electronic products and sharply reduced demand for semiconductors and semiconductor equipment. Orders for backend semiconductor equipment were weak throughout the first three quarters of 2008 and declined further in the fourth quarter of 2008 and the first quarter of 2009, as the worldwide decline in semiconductor sales created significant idle production capacity at integrated device manufacturers (IDMs) and test subcontractors. During 2009, orders for device kits, spares and equipment upgrades, while lower than in 2008, were not as severely impacted as test handler systems, in part because semiconductor manufacturers frequently adjust production in response to highly dynamic demand from their customers, particularly for consumer electronics applications.</w:t>
      </w:r>
    </w:p>
    <w:p>
      <w:pPr>
        <w:spacing w:after="0" w:line="70"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During the last three quarters of 2009 we saw improvement in semiconductor equipment orders. According to the global trade organization, Semiconductor Equipment and Materials International (SEMI), orders for backend semiconductor equipment bottomed out in February 2009 and then increased for nine consecutive months before leveling-off in December. The recent trend is positive but orders remain well below the last peak levels of 2006.</w:t>
      </w:r>
    </w:p>
    <w:p>
      <w:pPr>
        <w:spacing w:after="0" w:line="3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Operating results in our semiconductor equipment business during the fourth quarter of 2009 were in-line with our expectations and benefitted from the improving conditions in the semiconductor equipment industry. The order momentum that began in the third quarter of 2009 continued to build through the fourth quarter as orders increased 25% sequentially and were broad based across many products, customers and geographies. The increasing order demand has been accompanied by requests for short delivery lead times as customers that have resisted adding capacity during the recession struggle to keep pace with delivery requirements to their customers. As a result, we are under pressure to accelerate our deliveries and have ramped production of new products in our California factory. Our plan to transfer production of certain handlers to Asia-based contract manufacturers will continue, however, we are increasing production of certain products in California beyond our original plan in order to meet the delivery requirements of our customers.</w:t>
      </w:r>
    </w:p>
    <w:p>
      <w:pPr>
        <w:spacing w:after="0" w:line="5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Inventory exposure is common in the semiconductor equipment industry due to the narrow customer base, the custom nature of the products we provide and the shortened product life cycles that are caused by rapid changes in semiconductor manufacturing technology. Our operating results in the last three years have been impacted by charges to cost of sales related to excess, obsolete and lower of cost or market inventory issues. These charges totaled approximately $15.2 million during the three-year period ended December 26, 2009 and were primarily the result of decreases or frequent changes in customer forecasts and, to a lesser extent, changes in our sales product mix.</w:t>
      </w:r>
    </w:p>
    <w:p>
      <w:pPr>
        <w:spacing w:after="0" w:line="8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non-semiconductor equipment businesses comprised approximately 22% of our consolidated revenues during the last three years (30% for the year ended December 26, 2009). Our microwave communications business develops, manufactures and sells microwave communications equipment, antenna systems and associated equipment. These products are used in the transmission of video, audio and telemetry. Applications for these microwave data-links include unmanned aerial vehicles (“UAVs”), public safety, security, surveillance and electronic news gathering. Customers for these products are government agencies, public safety organizations, UAV program contractors, television broadcasters and other commercial entities. During 2009 our microwave communications business achieved record operating income as a result of higher sales volume and improved gross margins realized primarily through product redesign programs initiated in 2008 to reduce the cost of certain systems.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Our video camera business was profitable during 2009 as a result of higher gross margin and the implementation of cost reduction measures. This business provides a wide selection of video cameras and related products, specializing in video solutions for security, surveillance and traffic monitoring. Customers for these products are distributed among security, surveillance, traffic control/management, scientific imaging and machine vision.</w:t>
      </w:r>
    </w:p>
    <w:p>
      <w:pPr>
        <w:spacing w:after="0" w:line="3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management team uses several performance metrics to manage our businesses. These metrics mainly focus on near-term forecasts due to the short-term nature of our backlog and include (i) orders and backlog for the most recently completed quarter and the forecast for the next quarter; (ii) inventory levels and related excess exposures typically based on the forecast for the next twelve months; (iii) gross margin and other operating expense trends; (iv) cash flow;</w:t>
      </w:r>
    </w:p>
    <w:p>
      <w:pPr>
        <w:ind w:right="220" w:firstLine="8"/>
        <w:spacing w:after="0" w:line="255"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industry data and trends noted in various publicly available sources; and (vi) competitive factors and information. Due to the short-term nature of our order backlog that historically has represented about three months of business and the inherent volatility of the semiconductor equipment business, our past performance is frequently not indicative of future near term operating results or cash flows.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Estimates and Policies</w:t>
      </w:r>
    </w:p>
    <w:p>
      <w:pPr>
        <w:spacing w:after="0" w:line="12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on historical experience, forecasts and on various other assumptions that are believed to be reasonable under the circumstances, however actual results may differ from those estimates under different assumptions or conditions. The methods, estimates and judgments we use in applying our accounting policies have a significant impact on the results we report in our financial statements. Some of our accounting policies require us to make difficult and subjective judgments, often as a result of the need to make estimates of matters that are inherently uncertain. Our most critical accounting estimates that we believe are the most important to an investor’s understanding of our financial results and condition and require complex management judgment include:</w:t>
      </w:r>
    </w:p>
    <w:p>
      <w:pPr>
        <w:spacing w:after="0" w:line="74"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revenue recognition, including the deferral of revenue on sales to customers, which impacts our results of operations;</w:t>
      </w:r>
    </w:p>
    <w:p>
      <w:pPr>
        <w:spacing w:after="0" w:line="130" w:lineRule="exact"/>
        <w:rPr>
          <w:rFonts w:ascii="Arial" w:cs="Arial" w:eastAsia="Arial" w:hAnsi="Arial"/>
          <w:sz w:val="18"/>
          <w:szCs w:val="18"/>
          <w:b w:val="1"/>
          <w:bCs w:val="1"/>
          <w:color w:val="auto"/>
        </w:rPr>
      </w:pPr>
    </w:p>
    <w:p>
      <w:pPr>
        <w:ind w:left="660" w:right="42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estimation of valuation allowances and accrued liabilities, specifically product warranty, inventory reserves and allowance for bad debts, which impact gross margin or operating expenses;</w:t>
      </w:r>
    </w:p>
    <w:p>
      <w:pPr>
        <w:spacing w:after="0" w:line="75" w:lineRule="exact"/>
        <w:rPr>
          <w:rFonts w:ascii="Arial" w:cs="Arial" w:eastAsia="Arial" w:hAnsi="Arial"/>
          <w:sz w:val="18"/>
          <w:szCs w:val="18"/>
          <w:b w:val="1"/>
          <w:bCs w:val="1"/>
          <w:color w:val="auto"/>
        </w:rPr>
      </w:pPr>
    </w:p>
    <w:p>
      <w:pPr>
        <w:ind w:left="660" w:right="10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recognition and measurement of current and deferred income tax assets and liabilities, unrecognized tax benefits and the valuation allowance on deferred tax assets, which impact our tax provision;</w:t>
      </w:r>
    </w:p>
    <w:p>
      <w:pPr>
        <w:spacing w:after="0" w:line="75" w:lineRule="exact"/>
        <w:rPr>
          <w:rFonts w:ascii="Arial" w:cs="Arial" w:eastAsia="Arial" w:hAnsi="Arial"/>
          <w:sz w:val="18"/>
          <w:szCs w:val="18"/>
          <w:b w:val="1"/>
          <w:bCs w:val="1"/>
          <w:color w:val="auto"/>
        </w:rPr>
      </w:pPr>
    </w:p>
    <w:p>
      <w:pPr>
        <w:ind w:left="660" w:right="62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assessment of recoverability of long-lived assets including goodwill and other intangible assets, which primarily impacts gross margin or operating expenses if we are required to record impairments of assets or accelerate their depreciation; and</w:t>
      </w:r>
    </w:p>
    <w:p>
      <w:pPr>
        <w:spacing w:after="0" w:line="75"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valuation and recognition of share-based compensation, which impacts gross margin, research and development expense, and selling, general and administrative expense.</w:t>
      </w:r>
    </w:p>
    <w:p>
      <w:pPr>
        <w:spacing w:after="0" w:line="62"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Below, we discuss these policies further, as well as the estimates and judgments involved. We also have other policies that we consider key accounting policies; however, these policies typically do not require us to make estimates or judgments that are difficult or subjective.</w:t>
      </w:r>
    </w:p>
    <w:p>
      <w:pPr>
        <w:spacing w:after="0" w:line="38"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We generally recognize revenue upon shipment and title passage for established products (i.e., those that have previously satisfied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acceptance requirements) that provide for full payment tied to shipment. Revenue for products that have not previously satisfied customer acceptance requirements or from sales where customer payment dates are not determinable is recognized upon customer acceptance. For arrangements containing multiple elements, the revenue relating to the undelivered elements is deferred at estimated fair value until delivery of the deferred elements.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Accounts Receivable: </w:t>
      </w:r>
      <w:r>
        <w:rPr>
          <w:rFonts w:ascii="Arial" w:cs="Arial" w:eastAsia="Arial" w:hAnsi="Arial"/>
          <w:sz w:val="16"/>
          <w:szCs w:val="16"/>
          <w:color w:val="auto"/>
        </w:rPr>
        <w:t>We maintain an allowance for bad debts for estimated losses resulting from the inability of our customers to make required payments.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If the financial condition of our customers deteriorates, resulting in an impairment of their ability to make payments, additional allowances may be required.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b w:val="1"/>
          <w:bCs w:val="1"/>
          <w:i w:val="1"/>
          <w:iCs w:val="1"/>
          <w:color w:val="auto"/>
        </w:rPr>
        <w:t xml:space="preserve">Warranty: </w:t>
      </w:r>
      <w:r>
        <w:rPr>
          <w:rFonts w:ascii="Arial" w:cs="Arial" w:eastAsia="Arial" w:hAnsi="Arial"/>
          <w:sz w:val="16"/>
          <w:szCs w:val="16"/>
          <w:color w:val="auto"/>
        </w:rPr>
        <w:t>We provide for the estimated costs of product warranties in the period sales are recognized. Our warranty obligation estimates are affected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historical product shipment levels, product performance and material and labor costs incurred in correcting product performance problems. Should product performance, material usage or labor repair costs differ from our estimates, revisions to the estimated warranty liability would be required.</w:t>
      </w:r>
    </w:p>
    <w:p>
      <w:pPr>
        <w:spacing w:after="0" w:line="39"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Inventory: </w:t>
      </w:r>
      <w:r>
        <w:rPr>
          <w:rFonts w:ascii="Arial" w:cs="Arial" w:eastAsia="Arial" w:hAnsi="Arial"/>
          <w:sz w:val="17"/>
          <w:szCs w:val="17"/>
          <w:color w:val="auto"/>
        </w:rPr>
        <w:t>The valuation of inventory requires us to estimate obsolete or excess inventory as well as inventory that is not of saleable quality.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determination of obsolete or excess inventory requires us to estimate the future demand for our products. The demand forecast is a direct input in the development of our short-term manufacturing plans. We record valuation reserves on our inventory for estimated excess and obsolete inventory and lower of cost or market concerns equal to the difference between the cost of inventory and the estimated market value based upon assumptions about future product demand, market conditions and product selling prices. If future product demand, market conditions or product selling prices are less than those projected by management or if continued modifications to products are required to meet specifications or other customer requirements, increases to inventory reserves may be required which would have a negative impact on our gross margin.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estimate our liability for income taxes based on the various jurisdictions where we conduct business. This requires us to estimate our</w:t>
      </w:r>
    </w:p>
    <w:p>
      <w:pPr>
        <w:spacing w:after="0" w:line="46" w:lineRule="exact"/>
        <w:rPr>
          <w:sz w:val="20"/>
          <w:szCs w:val="20"/>
          <w:color w:val="auto"/>
        </w:rPr>
      </w:pPr>
    </w:p>
    <w:p>
      <w:pPr>
        <w:ind w:firstLine="8"/>
        <w:spacing w:after="0" w:line="268" w:lineRule="auto"/>
        <w:tabs>
          <w:tab w:leader="none" w:pos="215" w:val="left"/>
        </w:tabs>
        <w:numPr>
          <w:ilvl w:val="0"/>
          <w:numId w:val="11"/>
        </w:numPr>
        <w:rPr>
          <w:rFonts w:ascii="Arial" w:cs="Arial" w:eastAsia="Arial" w:hAnsi="Arial"/>
          <w:sz w:val="17"/>
          <w:szCs w:val="17"/>
          <w:color w:val="auto"/>
        </w:rPr>
      </w:pPr>
      <w:r>
        <w:rPr>
          <w:rFonts w:ascii="Arial" w:cs="Arial" w:eastAsia="Arial" w:hAnsi="Arial"/>
          <w:sz w:val="17"/>
          <w:szCs w:val="17"/>
          <w:color w:val="auto"/>
        </w:rPr>
        <w:t>current taxes; (ii) temporary differences that result from differing treatment of certain items for tax and accounting purposes and (iii) unrecognized tax benefits. Temporary differences result in deferred tax assets and liabilities that are reflected in the consolidated balance sheet. The deferred tax assets are reduced by a valuation allowance if, based upon all available evidence, it is more likely than not that some or all of the deferred tax assets will not be realized. Establishing, reducing or increasing a valuation allowance in an accounting period generally results in an increase or decrease in tax expense in the statement of operations. We must make significant judgments to determine the provision for income taxes, deferred tax assets and liabilities, unrecognized tax benefits and any valuation allowance to be recorded against deferred tax assets. Our gross deferred tax asset balance as of December 26, 2009 was approximately $30.0 million, with a valuation allowance of approximately $24.9 million. Our deferred tax assets consist primarily of reserves and accruals that are not yet deductible for tax and tax credit and net operating loss carryforwards.</w:t>
      </w:r>
    </w:p>
    <w:p>
      <w:pPr>
        <w:spacing w:after="0" w:line="76"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b w:val="1"/>
          <w:bCs w:val="1"/>
          <w:i w:val="1"/>
          <w:iCs w:val="1"/>
          <w:color w:val="auto"/>
        </w:rPr>
        <w:t xml:space="preserve">Goodwill, Purchased Intangible Assets and Other Long-lived Assets: </w:t>
      </w:r>
      <w:r>
        <w:rPr>
          <w:rFonts w:ascii="Arial" w:cs="Arial" w:eastAsia="Arial" w:hAnsi="Arial"/>
          <w:sz w:val="16"/>
          <w:szCs w:val="16"/>
          <w:color w:val="auto"/>
        </w:rPr>
        <w:t>We evaluate goodwill for impairment annually and when an event occurs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circumstances change that indicate that the carrying value may not be recoverable. We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estimated the fair values of our reporting units primarily using the income approach valuation methodology that includes the discounted cash flow method, taking into consideration the market approach and certain market multiples as a validation of the values derived using the discounted cash flow methodology. Forecasts of future cash flows are based on our best estimate of future net sales and operating expenses, based primarily on customer forecasts, industry trade organization data and general economic conditions. We conduct our annual impairment test as of October 1 of each year, and have determined there to be no impairment. There were no events or circumstances from the date of our assessment through December 26, 2009 that would impact this conclusion. In a future period, should an event occur that leads us to determine that an interim goodwill impairment review is required, the facts and estimates utilized at that time may differ resulting in an impairment charge which could have a significant negative impact on our operating results.</w:t>
      </w:r>
    </w:p>
    <w:p>
      <w:pPr>
        <w:spacing w:after="0" w:line="6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Long-lived assets, other than goodwill,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carrying amount and estimated fair value.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color w:val="auto"/>
        </w:rPr>
        <w:t>We are subject to certain contingencies that arise in the ordinary course of our businesses which require us to assess the likelihood that future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events will confirm the existence of a loss or an impairment of an asset. If a loss or asset impairment is probable and the amount of the loss or impairment is reasonably estimable, we accrue a charge to operations in the period such conditions become known.</w:t>
      </w:r>
    </w:p>
    <w:p>
      <w:pPr>
        <w:spacing w:after="0" w:line="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Share-based Compensation: </w:t>
      </w:r>
      <w:r>
        <w:rPr>
          <w:rFonts w:ascii="Arial" w:cs="Arial" w:eastAsia="Arial" w:hAnsi="Arial"/>
          <w:sz w:val="18"/>
          <w:szCs w:val="18"/>
          <w:color w:val="auto"/>
        </w:rPr>
        <w:t>Share-based compensation expense related to stock options is recorded based on the fair value of the award on its grant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 estimate using the Black-Scholes valuation model. Share-based compensation expense related to restricted stock unit awards is calculated based on the market price of our common stock on the grant date, reduced by the present value of dividends expected to be paid on our common stock prior to vesting of the restricted stock unit.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For a description of accounting changes and recent accounting pronouncements, including the expected dates of adoption and estimated effects, if any, on our consolidated financial statements, see Note 1, “Recent Accounting Pronouncements” in Part IV, Item 15(a) of this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operating data from continuing operations as a percentage of net sales in each of the last three years.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2009</w:t>
            </w:r>
          </w:p>
        </w:tc>
        <w:tc>
          <w:tcPr>
            <w:tcW w:w="1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2008</w:t>
            </w:r>
          </w:p>
        </w:tc>
        <w:tc>
          <w:tcPr>
            <w:tcW w:w="1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2007</w:t>
            </w: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90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100.0%</w:t>
            </w:r>
          </w:p>
        </w:tc>
        <w:tc>
          <w:tcPr>
            <w:tcW w:w="16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w w:val="88"/>
              </w:rPr>
              <w:t>100.0%</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18"/>
                <w:szCs w:val="18"/>
                <w:color w:val="auto"/>
              </w:rPr>
            </w:pPr>
          </w:p>
        </w:tc>
        <w:tc>
          <w:tcPr>
            <w:tcW w:w="1580" w:type="dxa"/>
            <w:vAlign w:val="bottom"/>
            <w:gridSpan w:val="2"/>
          </w:tcPr>
          <w:p>
            <w:pPr>
              <w:jc w:val="right"/>
              <w:ind w:right="1120"/>
              <w:spacing w:after="0"/>
              <w:rPr>
                <w:sz w:val="20"/>
                <w:szCs w:val="20"/>
                <w:color w:val="auto"/>
              </w:rPr>
            </w:pPr>
            <w:r>
              <w:rPr>
                <w:rFonts w:ascii="Arial" w:cs="Arial" w:eastAsia="Arial" w:hAnsi="Arial"/>
                <w:sz w:val="18"/>
                <w:szCs w:val="18"/>
                <w:color w:val="auto"/>
                <w:w w:val="93"/>
              </w:rPr>
              <w:t>(69.4)</w:t>
            </w:r>
          </w:p>
        </w:tc>
        <w:tc>
          <w:tcPr>
            <w:tcW w:w="1600" w:type="dxa"/>
            <w:vAlign w:val="bottom"/>
            <w:gridSpan w:val="2"/>
          </w:tcPr>
          <w:p>
            <w:pPr>
              <w:jc w:val="right"/>
              <w:ind w:right="1140"/>
              <w:spacing w:after="0"/>
              <w:rPr>
                <w:sz w:val="20"/>
                <w:szCs w:val="20"/>
                <w:color w:val="auto"/>
              </w:rPr>
            </w:pPr>
            <w:r>
              <w:rPr>
                <w:rFonts w:ascii="Arial" w:cs="Arial" w:eastAsia="Arial" w:hAnsi="Arial"/>
                <w:sz w:val="18"/>
                <w:szCs w:val="18"/>
                <w:color w:val="auto"/>
                <w:w w:val="93"/>
              </w:rPr>
              <w:t>(67.5)</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(67.4)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30.6</w:t>
            </w:r>
          </w:p>
        </w:tc>
        <w:tc>
          <w:tcPr>
            <w:tcW w:w="160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32.5</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900" w:type="dxa"/>
            <w:vAlign w:val="bottom"/>
            <w:gridSpan w:val="3"/>
          </w:tcPr>
          <w:p>
            <w:pPr>
              <w:jc w:val="right"/>
              <w:ind w:right="1120"/>
              <w:spacing w:after="0"/>
              <w:rPr>
                <w:sz w:val="20"/>
                <w:szCs w:val="20"/>
                <w:color w:val="auto"/>
              </w:rPr>
            </w:pPr>
            <w:r>
              <w:rPr>
                <w:rFonts w:ascii="Arial" w:cs="Arial" w:eastAsia="Arial" w:hAnsi="Arial"/>
                <w:sz w:val="18"/>
                <w:szCs w:val="18"/>
                <w:color w:val="auto"/>
              </w:rPr>
              <w:t>(18.7)</w:t>
            </w:r>
          </w:p>
        </w:tc>
        <w:tc>
          <w:tcPr>
            <w:tcW w:w="1600" w:type="dxa"/>
            <w:vAlign w:val="bottom"/>
            <w:gridSpan w:val="2"/>
          </w:tcPr>
          <w:p>
            <w:pPr>
              <w:jc w:val="right"/>
              <w:ind w:right="1140"/>
              <w:spacing w:after="0"/>
              <w:rPr>
                <w:sz w:val="20"/>
                <w:szCs w:val="20"/>
                <w:color w:val="auto"/>
              </w:rPr>
            </w:pPr>
            <w:r>
              <w:rPr>
                <w:rFonts w:ascii="Arial" w:cs="Arial" w:eastAsia="Arial" w:hAnsi="Arial"/>
                <w:sz w:val="18"/>
                <w:szCs w:val="18"/>
                <w:color w:val="auto"/>
                <w:w w:val="93"/>
              </w:rPr>
              <w:t>(19.1)</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90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(20.7)</w:t>
            </w:r>
          </w:p>
        </w:tc>
        <w:tc>
          <w:tcPr>
            <w:tcW w:w="16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w w:val="93"/>
              </w:rPr>
              <w:t>(18.3)</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Acquired in-process research and development</w:t>
            </w:r>
          </w:p>
        </w:tc>
        <w:tc>
          <w:tcPr>
            <w:tcW w:w="320" w:type="dxa"/>
            <w:vAlign w:val="bottom"/>
          </w:tcPr>
          <w:p>
            <w:pPr>
              <w:spacing w:after="0"/>
              <w:rPr>
                <w:sz w:val="18"/>
                <w:szCs w:val="18"/>
                <w:color w:val="auto"/>
              </w:rPr>
            </w:pPr>
          </w:p>
        </w:tc>
        <w:tc>
          <w:tcPr>
            <w:tcW w:w="1580" w:type="dxa"/>
            <w:vAlign w:val="bottom"/>
            <w:gridSpan w:val="2"/>
          </w:tcPr>
          <w:p>
            <w:pPr>
              <w:jc w:val="right"/>
              <w:ind w:right="11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140"/>
              <w:spacing w:after="0"/>
              <w:rPr>
                <w:sz w:val="20"/>
                <w:szCs w:val="20"/>
                <w:color w:val="auto"/>
              </w:rPr>
            </w:pPr>
            <w:r>
              <w:rPr>
                <w:rFonts w:ascii="Arial" w:cs="Arial" w:eastAsia="Arial" w:hAnsi="Arial"/>
                <w:sz w:val="18"/>
                <w:szCs w:val="18"/>
                <w:color w:val="auto"/>
              </w:rPr>
              <w:t>(1.3)</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(8.8)%</w:t>
            </w:r>
          </w:p>
        </w:tc>
        <w:tc>
          <w:tcPr>
            <w:tcW w:w="16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(6.2)%</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December 2008, we purchased Rasco. The results of Rasco’s operations have been included in our consolidated financial statements since that date. The portion of the purchase price allocated to in-process research and development (“IPR&amp;D”) was expensed immediately upon the closing of the acquisition and therefore, $2.6 million related to IPR&amp;D was included as an operating expense in our results of operations for the year ended December 27, 2008.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Compared to 2008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During 2009, our consolidated net sales were approximately $171.3 million, a decrease of 14.2% from the prior year. Sales of semiconductor equipment decreased 21.1% to $120.0 million and accounted for 70.1% of consolidated net sales in 2009 versus 76.2% in 2008. Sales recorded by our semiconductor equipment segment during 2009 include twelve months of sales activity for Rasco. Total semiconductor equipment sales generated by Rasco, during 2009, were approximately $18.5 million. As noted in the “Overview” above, worldwide demand for semiconductors was dramatically reduced due to the global recession resulting in significant idle capacity for semiconductor manufacturers and lower demand for semiconductor equipment which impacted our sales in 2009. During the second half of 2009 demand increased for semiconductor test handlers, device kits, spares, equipment upgrades and repairs, as our customers adjusted their production to respond to increased demand from their customers.</w:t>
      </w:r>
    </w:p>
    <w:p>
      <w:pPr>
        <w:spacing w:after="0" w:line="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Sales of microwave communications equipment accounted for approximately $34.1 million or 19.9% of consolidated net sales in 2009, an increase of 16.7% when compared to 2008. The increase in sales during 2009 was primarily a result of increased product shipments to unmanned air vehicle program contractors and international customers within the public safety sector. Additionally, 2009 sales included the recognition of approximately $4.6 million in revenue previously deferred in accordance with our revenue recognition policy.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Sales of video cameras accounted for 10.0% of consolidated net sales in 2009 and decreased $1.1 million or 6.2% when compared 2008. The decreased sales in 2009 were a result of delayed funding for certain state and local government projects as a result of the economic recession. Additionally, video camera sales in 2008 benefitted from the recognition of $0.5 million in deferred revenue upon the receipt of customer acceptance on a contract with a government subcontractor.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Gross margin consists of net sales less cost of sales. Cost of sales consists primarily of the cost of materials, assembly and test labor, and overhead from operations. Our gross margin can fluctuate due to a number of factors, including, but not limited to, the mix of products sold, product support costs, inventory reserve adjustments, and utilization of manufacturing capacity. Our gross margin, as a percentage of net sales, decreased to 30.6% in 2009 from 32.5% in 2008 as a result of lower sales volume in our semiconductor equipment segment and increased costs from the initial production of next generation handler products in our California plant. During 2008 our gross margin was favorably impacted by approximately $4.5 million when we sold certain inventory for a semiconductor burn-in system that had been previously reserved due to a decline in customer forecasts.</w:t>
      </w:r>
    </w:p>
    <w:p>
      <w:pPr>
        <w:spacing w:after="0" w:line="7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Our gross margin has been impacted by charges to cost of sales related to excess, obsolete and lower of cost or market inventory issues. We compute the majority of our excess and obsolete inventory reserve requirements using a one-year inventory usage forecast. During 2009 and 2008, we recorded net charges to cost of sales of approximately $4.4 million and $6.2 million, respectively, for excess and obsolete inventory. While we believe our reserves for excess and obsolete inventory and lower of cost or market concerns are adequate to cover known exposures at December 26, 2009, reductions in customer forecasts or continued modifications to products, as a result of our failure to meet specifications or other customer requirements, may result in additional charges to operations that could negatively impact our gross margin in future periods. Conversely, if our actual inventory usage is greater than our forecasted usage, our gross margin in future periods may be favorably impacted.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 (“R&amp;D Expense”)</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R&amp;D expense consists primarily of salaries and related costs of employees engaged in ongoing research, product design and development activities, costs of engineering materials and supplies, and professional consulting expenses. R&amp;D expense in 2009 includes twelve months of costs for Rasco. During 2009 R&amp;D expense as a percentage of net sales was 18.7% compared to 19.1% in 2008, decreasing from $38.1 million in 2008 to $32.0 million in 2009. During 2009, R&amp;D spending was reduced by approximately $10.1 million primarily within our semiconductor equipment business through cost control measures. Additionally, as our new pick-in-place test handler systems began to make the transition into production we incurred lower labor and material costs associated with product development. These reductions were partially offset by $4.0 million in incremental R&amp;D expense that resulted from the acquisition of Rasco.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 (“SG&amp;A Expense)</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SG&amp;A expense consists primarily of salaries and benefit costs of employees, commission expense for independent sales representatives, product promotion and costs of professional services. SG&amp;A expense in 2009 includes twelve months of costs for Rasco. SG&amp;A expense as a percentage of net sales increased to 20.7% in 2009, from 18.3% in 2008 yet decreased, in absolute dollars, to $35.5 million in 2009 from $36.6 million in 2008. During 2009 SG&amp;A spending, across all our segments was reduced by approximately $6.6 million primarily as a result of lower business volume and through cost control measures implemented in response to the global economic crisis which included head count and pay reductions and suspension of the matching contribution to our 401(k) plan. These reductions were partially offset by $5.5 million in incremental SG&amp;A expense resulting from the acquisition of Rasco.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net</w:t>
      </w:r>
    </w:p>
    <w:p>
      <w:pPr>
        <w:spacing w:after="0" w:line="117" w:lineRule="exact"/>
        <w:rPr>
          <w:sz w:val="20"/>
          <w:szCs w:val="20"/>
          <w:color w:val="auto"/>
        </w:rPr>
      </w:pPr>
    </w:p>
    <w:p>
      <w:pPr>
        <w:jc w:val="both"/>
        <w:ind w:right="480"/>
        <w:spacing w:after="0" w:line="342" w:lineRule="auto"/>
        <w:rPr>
          <w:sz w:val="20"/>
          <w:szCs w:val="20"/>
          <w:color w:val="auto"/>
        </w:rPr>
      </w:pPr>
      <w:r>
        <w:rPr>
          <w:rFonts w:ascii="Arial" w:cs="Arial" w:eastAsia="Arial" w:hAnsi="Arial"/>
          <w:sz w:val="16"/>
          <w:szCs w:val="16"/>
          <w:color w:val="auto"/>
        </w:rPr>
        <w:t>Interest and other, net was approximately $1.3 million and $5.5 million in 2009 and 2008, respectively. Our interest income was lower in 2009 due to a decrease in our cash and investment balances as a result of the Rasco acquisition which occurred in December, 2008 and lower short-term interest rates.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provision (benefit) for income taxes expressed as a percentage of pre-tax income was 104.2% in 2009 and (20.2)% in 2008. The provision for income taxes for the year ended December 26, 2009 differs from the U.S. federal statutory rate primarily due to an increase in the valuation allowance on our deferred tax assets.</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carryforwards.</w:t>
      </w:r>
    </w:p>
    <w:p>
      <w:pPr>
        <w:spacing w:after="0" w:line="8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assessing whether a valuation allowance is required, significant weight is to be given to evidence that can be objectively verified. We have evaluated our DTAs each reporting period, including an assessment of our cumulative income or loss over the prior three-year period and future periods, to determine if a valuation allowance was required. A significant negative factor in our assessment was the possibility that Cohu would be in a three-year historical cumulative loss as of the end of 2009. This, combined with uncertain near-term market and economic conditions, reduced our ability to rely on projections of future taxable income in assessing the realization of our DTAs.</w:t>
      </w:r>
    </w:p>
    <w:p>
      <w:pPr>
        <w:spacing w:after="0" w:line="8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After a review of the four sources of taxable income described above and after considering the possibility of being in a three-year cumulative loss in the fourth quarter of 2009, with such cumulative loss confirmed with our fourth quarter 2009 results of operations, we recorded an increase in our valuation allowance on domestic DTAs, with a corresponding charge to our income tax provision, of approximately $19.6 million in the second quarter of 2009. Our valuation allowance on domestic DTAs at December 26, 2009 was approximately $24.9 million. The remaining gross deferred tax assets for which a valuation allowance was not recorded are realizable through future reversals of existing taxable temporary differences. As the realization of DTAs is determined by tax jurisdiction, the significant deferred tax liability recorded as part of the 2008 acquisition of Rasco, a German corporation, was not a source of taxable income in assessing the realization of our DTAs in the U.S.</w:t>
      </w:r>
    </w:p>
    <w:p>
      <w:pPr>
        <w:spacing w:after="0" w:line="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For a full reconciliation of our effective tax rate to the U.S. federal statutory rate and further explanation of our provision for income taxes, see Note 5, “Income Taxes”, included in Part IV, Item 15(a) of this Form 10-K, which is incorporated herein by reference.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factors set forth above, our net loss was $28.2 million in 2009, compared to a net loss of $5.4 million in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Compared to 2007</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net sales decreased 17% to $199.7 million in 2008, compared to net sales of $241.4 million in 2007. Sales of semiconductor equipment in 2008 decreased 25.1% from the comparable 2007 period and accounted for 76.2% of consolidated net sales versus 84.1% in 2007. The decrease in sales of semiconductor equipment was a result of weak conditions in the semiconductor equipment industry, particularly in the second half of 2008 as overall global economic conditions deteriorated. Additionally, 2007 sales of our semiconductor equipment business benefitted from the recognition of approximately $17.4 million in net deferred revenue related to a certain semiconductor equipment product, on which customer acceptance was obtained in 2007.</w:t>
      </w:r>
    </w:p>
    <w:p>
      <w:pPr>
        <w:spacing w:after="0" w:line="5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Sales of microwave communications equipment accounted for 14.6% of net sales in 2008 and increased 33.0% when compared to 2007. The increase in sales of our microwave communications business during 2008 was primarily attributable to demand for our products in surveillance and military applications and approximately $1.7 million in incremental sales recognized as a result of our March 30, 2007 acquisition of AVS. Additionally, 2008 sales of our microwave communications equipment business benefitted from the recognition of approximately $2.5 million in previously deferred revenue.</w:t>
      </w:r>
    </w:p>
    <w:p>
      <w:pPr>
        <w:spacing w:after="0" w:line="4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Sales of video cameras accounted for 9.2% of net sales in 2008 and increased 12.2% when compared to the same period of 2007. The primary cause of this increase in sales was a result of demand for our specialty surveillance camera products and price increases. Additionally, 2008 sales of our video camera business benefitted from the recognition of approximately $0.5 million in net deferred revenue.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Our gross margin, as a percentage of net sales, was 32.5% in 2008 and 32.6% in 2007. In 2006 we recorded a charge to cost of sales of approximately</w:t>
      </w:r>
    </w:p>
    <w:p>
      <w:pPr>
        <w:spacing w:after="0" w:line="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$4.6 million for excess and obsolete inventory as a result of a decline in customer forecasts for a semiconductor burn-in product. During 2008 we sold certain of this inventory and our gross margin was favorably impacted by approximately $4.5 million.</w:t>
      </w:r>
    </w:p>
    <w:p>
      <w:pPr>
        <w:spacing w:after="0" w:line="7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gross margin has been impacted by charges to cost of sales related to excess, obsolete and lower of cost or market inventory issues and higher warranty costs associated with certain test handlers. During 2008 and 2007, we recorded charges to cost of sales of approximately $6.2 million and $4.6 million, respectively, for excess and obsolete inventory.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R&amp;D expense as a percentage of net sales was 19.1% in 2008, compared to 15.9% in 2007, decreasing from $38.3 million in 2007 to $38.1 million in 2008. Decreased R&amp;D expense in 2008 was primarily a result of decreased labor and material costs within our semiconductor equipment businesses of approximately $1.0 million, offset by an additional $0.5 million and $0.3 million of R&amp;D related costs incurred by our microwave communications and video camera businesses, respectively, resulting from the increased material costs associated with the design and development of new products and incremental costs associated with our March 30, 2007 acquisition of AVS.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SG&amp;A expense as a percentage of net sales was 18.3% in 2008, compared to 15.0% in 2007, increasing from $36.2 million in 2007 to $36.6 million in 2008. The increase in SG&amp;A expense in 2008 was primarily a result of an additional $1.4 million of SG&amp;A related costs incurred by our microwave communications business resulting primarily from increased sales commissions related to increased business volume, additional headcount, professional service costs and incremental expense associated with the March 30, 2007 acquisition of AVS. During 2008 administrative costs within our corporate organization increased $0.6 million. The increase in costs incurred by our microwave communications segment and corporate organization were offset by decreased costs within our semiconductor equipment segment of approximately $1.5 million. The decrease in costs incurred by our semiconductor equipment business is a result of decreased sales commissions and bad debt expense as a result of decreased business volume.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Interest income was approximately $5.5 million and $8.4 million in 2008 and 2007, respectively. The decrease in interest income resulted from lower short-term interest rates and a decrease in our average cash and cash equivalents and investment balances. Additionally, during 2008 our interest income was negatively impacted by a loss of approximately $0.4 million recorded on the sale of short-term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provision (benefit) for income taxes expressed as a percentage of pre-tax income was (20.2)% in 2008 and 36.8% in 2007. The benefit for income taxes for the year ended December 27, 2008 differs from the U.S. federal statutory rate primarily due to state taxes, research and development tax credits, settlement of prior year tax returns, IPR&amp;D with no tax benefit and changes in the valuation allowance on deferred tax assets and the liability for unrecognized tax benefits, by the effects of accounting guidance that does not allow deferred tax benefits to be initially recognized on compensation expense related to incentive stock options and employee stock purchase plans and interest expense recorded on unrecognized tax benefits.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related to our unrecognized tax benefits in 2008 and 2007 was approximately $0.1 million and $0.2 million,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factors set forth above, our net loss was $5.4 million in 2008, compared to net income of $8.0 million in 2007.</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Our business is dependent on capital expenditures by semiconductor manufacturers and test subcontractors that are, in turn, dependent on the current and anticipated market demand for semiconductors. Worldwide demand for semiconductors has been dramatically reduced by the global recession resulting in significant idle capacity for semiconductor manufacturers and lower demand for semiconductor equipment. In response to lower demand for our semiconductor equipment, we implemented cost reduction programs aimed at aligning our ongoing operating costs with our currently expected revenues over the near term. The cyclical and volatile nature of our industry makes estimates of future revenues, results of operations and net cash flows difficult.</w:t>
      </w:r>
    </w:p>
    <w:p>
      <w:pPr>
        <w:spacing w:after="0" w:line="5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primary historical source of liquidity and capital resources has been cash flow generated by operations. We use cash to fund growth in our operating assets and to fund new products and product enhancements primarily through research and development.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following summarizes our cash, cash equivalents, short-term investments and working capital at December 26, 2009 and December 27,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2008:</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jc w:val="right"/>
              <w:ind w:right="99"/>
              <w:spacing w:after="0"/>
              <w:rPr>
                <w:sz w:val="20"/>
                <w:szCs w:val="20"/>
                <w:color w:val="auto"/>
              </w:rPr>
            </w:pPr>
            <w:r>
              <w:rPr>
                <w:rFonts w:ascii="Arial" w:cs="Arial" w:eastAsia="Arial" w:hAnsi="Arial"/>
                <w:sz w:val="14"/>
                <w:szCs w:val="14"/>
                <w:color w:val="auto"/>
              </w:rPr>
              <w:t>Percentage</w:t>
            </w:r>
          </w:p>
        </w:tc>
      </w:tr>
      <w:tr>
        <w:trPr>
          <w:trHeight w:val="167"/>
        </w:trPr>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1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color w:val="auto"/>
              </w:rPr>
              <w:t>2009</w:t>
            </w:r>
          </w:p>
        </w:tc>
        <w:tc>
          <w:tcPr>
            <w:tcW w:w="5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color w:val="auto"/>
              </w:rPr>
              <w:t>2008</w:t>
            </w:r>
          </w:p>
        </w:tc>
        <w:tc>
          <w:tcPr>
            <w:tcW w:w="5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color w:val="auto"/>
                <w:w w:val="90"/>
              </w:rPr>
              <w:t>Decrease</w:t>
            </w: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color w:val="auto"/>
              </w:rPr>
              <w:t>Change</w:t>
            </w:r>
          </w:p>
        </w:tc>
      </w:tr>
      <w:tr>
        <w:trPr>
          <w:trHeight w:val="209"/>
        </w:trPr>
        <w:tc>
          <w:tcPr>
            <w:tcW w:w="466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96"/>
              <w:spacing w:after="0"/>
              <w:rPr>
                <w:sz w:val="20"/>
                <w:szCs w:val="20"/>
                <w:color w:val="auto"/>
              </w:rPr>
            </w:pPr>
            <w:r>
              <w:rPr>
                <w:rFonts w:ascii="Arial" w:cs="Arial" w:eastAsia="Arial" w:hAnsi="Arial"/>
                <w:sz w:val="18"/>
                <w:szCs w:val="18"/>
                <w:color w:val="auto"/>
              </w:rPr>
              <w:t>84,906</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96"/>
              <w:spacing w:after="0"/>
              <w:rPr>
                <w:sz w:val="20"/>
                <w:szCs w:val="20"/>
                <w:color w:val="auto"/>
              </w:rPr>
            </w:pPr>
            <w:r>
              <w:rPr>
                <w:rFonts w:ascii="Arial" w:cs="Arial" w:eastAsia="Arial" w:hAnsi="Arial"/>
                <w:sz w:val="18"/>
                <w:szCs w:val="18"/>
                <w:color w:val="auto"/>
              </w:rPr>
              <w:t>88,385</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6"/>
              <w:spacing w:after="0"/>
              <w:rPr>
                <w:sz w:val="20"/>
                <w:szCs w:val="20"/>
                <w:color w:val="auto"/>
              </w:rPr>
            </w:pPr>
            <w:r>
              <w:rPr>
                <w:rFonts w:ascii="Arial" w:cs="Arial" w:eastAsia="Arial" w:hAnsi="Arial"/>
                <w:sz w:val="18"/>
                <w:szCs w:val="18"/>
                <w:color w:val="auto"/>
              </w:rPr>
              <w:t>(3,479)</w:t>
            </w:r>
          </w:p>
        </w:tc>
        <w:tc>
          <w:tcPr>
            <w:tcW w:w="1260" w:type="dxa"/>
            <w:vAlign w:val="bottom"/>
          </w:tcPr>
          <w:p>
            <w:pPr>
              <w:jc w:val="right"/>
              <w:ind w:right="99"/>
              <w:spacing w:after="0"/>
              <w:rPr>
                <w:sz w:val="20"/>
                <w:szCs w:val="20"/>
                <w:color w:val="auto"/>
              </w:rPr>
            </w:pPr>
            <w:r>
              <w:rPr>
                <w:rFonts w:ascii="Arial" w:cs="Arial" w:eastAsia="Arial" w:hAnsi="Arial"/>
                <w:sz w:val="18"/>
                <w:szCs w:val="18"/>
                <w:color w:val="auto"/>
              </w:rPr>
              <w:t>(4)%</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Working capital</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96"/>
              <w:spacing w:after="0"/>
              <w:rPr>
                <w:sz w:val="20"/>
                <w:szCs w:val="20"/>
                <w:color w:val="auto"/>
              </w:rPr>
            </w:pPr>
            <w:r>
              <w:rPr>
                <w:rFonts w:ascii="Arial" w:cs="Arial" w:eastAsia="Arial" w:hAnsi="Arial"/>
                <w:sz w:val="18"/>
                <w:szCs w:val="18"/>
                <w:color w:val="auto"/>
                <w:w w:val="89"/>
              </w:rPr>
              <w:t>139,597</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96"/>
              <w:spacing w:after="0"/>
              <w:rPr>
                <w:sz w:val="20"/>
                <w:szCs w:val="20"/>
                <w:color w:val="auto"/>
              </w:rPr>
            </w:pPr>
            <w:r>
              <w:rPr>
                <w:rFonts w:ascii="Arial" w:cs="Arial" w:eastAsia="Arial" w:hAnsi="Arial"/>
                <w:sz w:val="18"/>
                <w:szCs w:val="18"/>
                <w:color w:val="auto"/>
                <w:w w:val="89"/>
              </w:rPr>
              <w:t>155,589</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6"/>
              <w:spacing w:after="0"/>
              <w:rPr>
                <w:sz w:val="20"/>
                <w:szCs w:val="20"/>
                <w:color w:val="auto"/>
              </w:rPr>
            </w:pPr>
            <w:r>
              <w:rPr>
                <w:rFonts w:ascii="Arial" w:cs="Arial" w:eastAsia="Arial" w:hAnsi="Arial"/>
                <w:sz w:val="18"/>
                <w:szCs w:val="18"/>
                <w:color w:val="auto"/>
                <w:w w:val="92"/>
              </w:rPr>
              <w:t>(15,992)</w:t>
            </w:r>
          </w:p>
        </w:tc>
        <w:tc>
          <w:tcPr>
            <w:tcW w:w="1260" w:type="dxa"/>
            <w:vAlign w:val="bottom"/>
          </w:tcPr>
          <w:p>
            <w:pPr>
              <w:jc w:val="right"/>
              <w:ind w:right="99"/>
              <w:spacing w:after="0"/>
              <w:rPr>
                <w:sz w:val="20"/>
                <w:szCs w:val="20"/>
                <w:color w:val="auto"/>
              </w:rPr>
            </w:pPr>
            <w:r>
              <w:rPr>
                <w:rFonts w:ascii="Arial" w:cs="Arial" w:eastAsia="Arial" w:hAnsi="Arial"/>
                <w:sz w:val="18"/>
                <w:szCs w:val="18"/>
                <w:color w:val="auto"/>
              </w:rPr>
              <w:t>(10)%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Cash generated from operating activities consists of net income or loss, adjusted for non-cash expenses and changes in operating assets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liabilities. Non-cash items include depreciation and amortization; share-based compensation expense; and deferred income taxes. Our net cash flows provided from operating activities in 2009 totaled $2.8 million compared to $7.8 million in 2008. The decrease in cash provided by operating activities was primarily due to increased losses as a result of the global recession. Our net cash flows provided by operating activities were also impacted by changes in current assets and liabilities as result of increased business volume within our semiconductor equipment segment during the fourth quarter of 2009.</w:t>
      </w:r>
    </w:p>
    <w:p>
      <w:pPr>
        <w:spacing w:after="0" w:line="5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Investing cash flows consist primarily of cash used for capital expenditures in support of our businesses, proceeds from investment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maturities, and cash used for purchases of investments and business acquisitions. Our net cash provided from investing activities in 2009 totaled $9.4 million and was primarily the result of $56.5 million in net proceeds from sales and maturities of short-term investments, offset by $44.6 million in cash used for purchases of short-term investments. We invest our excess cash, in an attempt to seek the highest available return while preserving capital, in short-term investments since excess cash is only temporarily available and may be required for a business-related purpose. Expenditures in 2009 included purchases of property, plant and equipment of $2.5 million. The purchases of property, plant and equipment were primarily made to support activities in our semiconductor equipment and microwave communications business and consisted of equipment used in engineering, manufacturing and related functions.</w:t>
      </w:r>
    </w:p>
    <w:p>
      <w:pPr>
        <w:spacing w:after="0" w:line="5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Cash provided by financing activities consisted of net proceeds from the issuance of common stock under our equity incentive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stock purchase plans, which totaled $0.7 million during 2009. We issue stock options and maintain an employee stock purchase plan as components of our overall employee compensation. Cash used in financing activities consisted of amounts distributed to our stockholders in the form of cash dividends. We declared and paid dividends totaling $5.6 million, or $0.24 per common share, during 2009. On January 27, 2010, we announced a cash dividend of $0.06 per share on our common stock, payable on, April 23, 2010 to stockholders of record as of March 9, 2010. We intend to continue to pay quarterly dividends subject to capital availability and periodic determinations by our Board of Directors that cash dividends are in the best interests of our stockholders.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21"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We have a secured letter of credit facility (the “Secured Facility”) under which Bank of America, N.A., has agreed to administer the issuance of letters of credit on behalf of Cohu and our subsidiaries. The Secured Facility requires us to maintain deposits of cash or other approved investments, which serve as collateral, in amounts that approximate our outstanding standby letters of credit. As of December 26, 2009, we had approximately $0.1 million of standby letters of credit outstanding.</w:t>
      </w:r>
    </w:p>
    <w:p>
      <w:pPr>
        <w:spacing w:after="0" w:line="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expect that we will continue to make capital expenditures to support our business and we anticipate that present working capital will be sufficient to meet our operating requirements for at least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following table summarizes our significant contractual obligations at December 26, 2009, and the effect such obligations are expected to have on our liquidity and cash flows in future periods. This table excludes amounts already recorded on our balance sheet as current liabilities at December 26, 2009. Amounts excluded include our liability for unrecognized tax benefits that totaled approximately $4.9 million at December 26, 2009. We are currently unable to provide a reasonably reliable estimate of the amount or periods cash settlement of this liability may occur.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6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12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2010</w:t>
            </w:r>
          </w:p>
        </w:tc>
        <w:tc>
          <w:tcPr>
            <w:tcW w:w="14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color w:val="auto"/>
              </w:rPr>
              <w:t>2011</w:t>
            </w:r>
          </w:p>
        </w:tc>
        <w:tc>
          <w:tcPr>
            <w:tcW w:w="12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2012</w:t>
            </w: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2013</w:t>
            </w:r>
          </w:p>
        </w:tc>
        <w:tc>
          <w:tcPr>
            <w:tcW w:w="11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2014</w:t>
            </w:r>
          </w:p>
        </w:tc>
        <w:tc>
          <w:tcPr>
            <w:tcW w:w="138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Thereafter</w:t>
            </w:r>
          </w:p>
        </w:tc>
        <w:tc>
          <w:tcPr>
            <w:tcW w:w="11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Total</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w w:val="99"/>
              </w:rPr>
              <w:t>Non-cancelable operating leases</w:t>
            </w:r>
          </w:p>
        </w:tc>
        <w:tc>
          <w:tcPr>
            <w:tcW w:w="1260" w:type="dxa"/>
            <w:vAlign w:val="bottom"/>
          </w:tcPr>
          <w:p>
            <w:pPr>
              <w:jc w:val="right"/>
              <w:ind w:right="359"/>
              <w:spacing w:after="0"/>
              <w:rPr>
                <w:sz w:val="20"/>
                <w:szCs w:val="20"/>
                <w:color w:val="auto"/>
              </w:rPr>
            </w:pPr>
            <w:r>
              <w:rPr>
                <w:rFonts w:ascii="Arial" w:cs="Arial" w:eastAsia="Arial" w:hAnsi="Arial"/>
                <w:sz w:val="18"/>
                <w:szCs w:val="18"/>
                <w:color w:val="auto"/>
              </w:rPr>
              <w:t>$1,010</w:t>
            </w:r>
          </w:p>
        </w:tc>
        <w:tc>
          <w:tcPr>
            <w:tcW w:w="1420" w:type="dxa"/>
            <w:vAlign w:val="bottom"/>
          </w:tcPr>
          <w:p>
            <w:pPr>
              <w:jc w:val="right"/>
              <w:ind w:right="379"/>
              <w:spacing w:after="0"/>
              <w:rPr>
                <w:sz w:val="20"/>
                <w:szCs w:val="20"/>
                <w:color w:val="auto"/>
              </w:rPr>
            </w:pPr>
            <w:r>
              <w:rPr>
                <w:rFonts w:ascii="Arial" w:cs="Arial" w:eastAsia="Arial" w:hAnsi="Arial"/>
                <w:sz w:val="18"/>
                <w:szCs w:val="18"/>
                <w:color w:val="auto"/>
              </w:rPr>
              <w:t>$1,039</w:t>
            </w:r>
          </w:p>
        </w:tc>
        <w:tc>
          <w:tcPr>
            <w:tcW w:w="1200" w:type="dxa"/>
            <w:vAlign w:val="bottom"/>
          </w:tcPr>
          <w:p>
            <w:pPr>
              <w:jc w:val="right"/>
              <w:ind w:right="399"/>
              <w:spacing w:after="0"/>
              <w:rPr>
                <w:sz w:val="20"/>
                <w:szCs w:val="20"/>
                <w:color w:val="auto"/>
              </w:rPr>
            </w:pPr>
            <w:r>
              <w:rPr>
                <w:rFonts w:ascii="Arial" w:cs="Arial" w:eastAsia="Arial" w:hAnsi="Arial"/>
                <w:sz w:val="18"/>
                <w:szCs w:val="18"/>
                <w:color w:val="auto"/>
              </w:rPr>
              <w:t>$86</w:t>
            </w:r>
          </w:p>
        </w:tc>
        <w:tc>
          <w:tcPr>
            <w:tcW w:w="1180" w:type="dxa"/>
            <w:vAlign w:val="bottom"/>
          </w:tcPr>
          <w:p>
            <w:pPr>
              <w:jc w:val="right"/>
              <w:ind w:right="379"/>
              <w:spacing w:after="0"/>
              <w:rPr>
                <w:sz w:val="20"/>
                <w:szCs w:val="20"/>
                <w:color w:val="auto"/>
              </w:rPr>
            </w:pPr>
            <w:r>
              <w:rPr>
                <w:rFonts w:ascii="Arial" w:cs="Arial" w:eastAsia="Arial" w:hAnsi="Arial"/>
                <w:sz w:val="18"/>
                <w:szCs w:val="18"/>
                <w:color w:val="auto"/>
              </w:rPr>
              <w:t>$79</w:t>
            </w:r>
          </w:p>
        </w:tc>
        <w:tc>
          <w:tcPr>
            <w:tcW w:w="1160" w:type="dxa"/>
            <w:vAlign w:val="bottom"/>
          </w:tcPr>
          <w:p>
            <w:pPr>
              <w:jc w:val="right"/>
              <w:ind w:right="359"/>
              <w:spacing w:after="0"/>
              <w:rPr>
                <w:sz w:val="20"/>
                <w:szCs w:val="20"/>
                <w:color w:val="auto"/>
              </w:rPr>
            </w:pPr>
            <w:r>
              <w:rPr>
                <w:rFonts w:ascii="Arial" w:cs="Arial" w:eastAsia="Arial" w:hAnsi="Arial"/>
                <w:sz w:val="18"/>
                <w:szCs w:val="18"/>
                <w:color w:val="auto"/>
              </w:rPr>
              <w:t>$79</w:t>
            </w:r>
          </w:p>
        </w:tc>
        <w:tc>
          <w:tcPr>
            <w:tcW w:w="1380" w:type="dxa"/>
            <w:vAlign w:val="bottom"/>
          </w:tcPr>
          <w:p>
            <w:pPr>
              <w:ind w:left="5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9"/>
              <w:spacing w:after="0"/>
              <w:rPr>
                <w:sz w:val="20"/>
                <w:szCs w:val="20"/>
                <w:color w:val="auto"/>
              </w:rPr>
            </w:pPr>
            <w:r>
              <w:rPr>
                <w:rFonts w:ascii="Arial" w:cs="Arial" w:eastAsia="Arial" w:hAnsi="Arial"/>
                <w:sz w:val="18"/>
                <w:szCs w:val="18"/>
                <w:color w:val="auto"/>
              </w:rPr>
              <w:t>$2,293</w:t>
            </w:r>
          </w:p>
        </w:tc>
      </w:tr>
    </w:tbl>
    <w:p>
      <w:pPr>
        <w:spacing w:after="0" w:line="93"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 xml:space="preserve">Commitments to contract manufacturers and suppliers. </w:t>
      </w:r>
      <w:r>
        <w:rPr>
          <w:rFonts w:ascii="Arial" w:cs="Arial" w:eastAsia="Arial" w:hAnsi="Arial"/>
          <w:sz w:val="16"/>
          <w:szCs w:val="16"/>
          <w:color w:val="auto"/>
        </w:rPr>
        <w:t>From time to time, we enter into commitments with our suppliers to purchase inventory and contract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manufacturers to provide manufacturing services for our products at fixed prices or in guaranteed quantities. During the normal course of business, we issue purchase orders with estimates of our requirements several months ahead of the delivery dates. However, our agreements with these suppliers usually allow us the option to reschedule or adjust our requirements based on our business needs. Typically purchase orders outstanding with delivery dates within 30 days are non-cancelable. We are not able to determine the aggregate amount of such purchase orders that represent contractual obligations, as purchase orders may represent authorizations to purchase rather than binding agreements. We typically do not have significant agreements for the purchase of raw materials or other goods specifying minimum quantities or set prices that exceed our expected requirements for the next six to twelve months.</w:t>
      </w:r>
    </w:p>
    <w:p>
      <w:pPr>
        <w:spacing w:after="0" w:line="5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During the ordinary course of business, we provide standby letters of credit instruments to certain parties as required.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December 26, 2009, the maximum potential amount of future payments that we could be required to make under these standby letters of credit was approximately $0.1 million. No liability has been recorded in connection with these arrangements beyond those required to appropriately account for the underlying transaction being guaranteed. Based on historical experience and information currently available, we do not believe it is probable that any amounts will be required to be paid under these arrangements.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and Interest Rate Risk.</w:t>
      </w:r>
    </w:p>
    <w:p>
      <w:pPr>
        <w:spacing w:after="0" w:line="11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At December 26, 2009, our investment portfolio included short-term, fixed-income investment securities with a fair value of approximately $46.7 million. These securities are subject to interest rate risk and will likely decline in value if interest rates increase. Our future investment income may fall short of expectations due to changes in interest rates or we may suffer losses in principal if we are forced to sell securities that decline in market value due to changes in interest rates. As we classify our short-term securities as available-for-sale, no gains or losses are recognized due to changes in interest rates unless such securities are sold prior to maturity or declines in fair value are determined to be other-than-temporary. Due to the relatively short duration of our investment portfolio, an immediate ten percent change in interest rates would have no material impact on our financial condition or results of operations.</w:t>
      </w:r>
    </w:p>
    <w:p>
      <w:pPr>
        <w:spacing w:after="0" w:line="5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evaluate our investments periodically for possible other-than-temporary impairment by reviewing factors such as the length of time and extent to which fair value has been below cost basis, the financial condition of the issuer and our ability and intent to hold the investment for a period of time sufficient for anticipated recovery of market value. As of December 26, 2009 we evaluated our investments with loss positions and determined that these losses were temporary.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conduct business on a global basis in a number of major international currencies. As such, we are exposed to adverse as well as beneficial movements in foreign currency exchange rates. The majority of our sales are denominated in U.S. dollars except for certain of our revenues that are denominated in Euros. Certain expenses incurred by our non-U.S. operations, such as employee payroll and benefits as well as some raw materials purchases and other expenses are denominated and paid in local currency.</w:t>
      </w:r>
    </w:p>
    <w:p>
      <w:pPr>
        <w:spacing w:after="0" w:line="7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We considered a hypothetical ten percent adverse movement in foreign exchange rates to the underlying exposures described above and believe that these hypothetical market movements would not have a material effect on our consolidated financial position,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included in Part IV, Item 15(a).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Conclusion Regarding the Effectiveness of Disclosure Controls and Procedures — </w:t>
      </w:r>
      <w:r>
        <w:rPr>
          <w:rFonts w:ascii="Arial" w:cs="Arial" w:eastAsia="Arial" w:hAnsi="Arial"/>
          <w:sz w:val="18"/>
          <w:szCs w:val="18"/>
          <w:color w:val="auto"/>
        </w:rPr>
        <w:t>Under the supervision and with the participation of our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principal executive officer and principal financial officer, we conducted an evaluation of our disclosure controls and procedures, as such term is defined under Rules 13a-15(e) and 15d-15(e) promulgated under the Securities Exchange Act of 1934, as amended (the “Exchange Act”). Based on this evaluation, our principal executive officer and our principal financial officer concluded that our disclosure controls and procedures were effective as of December 26, 2009, the end of the period covered by this annual report.</w:t>
      </w:r>
    </w:p>
    <w:p>
      <w:pPr>
        <w:spacing w:after="0" w:line="76"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 xml:space="preserve">Management’s Annual Report on Internal Control Over Financial Reporting — </w:t>
      </w:r>
      <w:r>
        <w:rPr>
          <w:rFonts w:ascii="Arial" w:cs="Arial" w:eastAsia="Arial" w:hAnsi="Arial"/>
          <w:sz w:val="17"/>
          <w:szCs w:val="17"/>
          <w:color w:val="auto"/>
        </w:rPr>
        <w:t>Our management is responsible for establishing and maintaining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adequate internal 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Based on our evaluation under the framework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our management concluded that our internal control over financial reporting was effective as of December 26, 2009.</w:t>
      </w:r>
    </w:p>
    <w:p>
      <w:pPr>
        <w:spacing w:after="0" w:line="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Ernst &amp; Young LLP, the independent registered public accounting firm that audited the consolidated financial statements included in this Annual Report on Form 10-K, has also audited the effectiveness of our internal control over financial reporting as of December 26, 2009, as stated in their report which is included herein.</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audited Cohu, Inc.’s internal control over financial reporting as of December 26, 2009, based on criteria established in Internal Control—Integrated Framework issued by the Committee of Sponsoring Organizations of the Treadway Commission (the COSO criteria). Cohu,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80" w:lineRule="exact"/>
        <w:rPr>
          <w:sz w:val="20"/>
          <w:szCs w:val="20"/>
          <w:color w:val="auto"/>
        </w:rPr>
      </w:pPr>
    </w:p>
    <w:p>
      <w:pPr>
        <w:jc w:val="both"/>
        <w:ind w:right="12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our opinion, Cohu, Inc. maintained, in all material respects, effective internal control over financial reporting as of December 26, 2009, based on the COSO criteria.</w:t>
      </w:r>
    </w:p>
    <w:p>
      <w:pPr>
        <w:spacing w:after="0" w:line="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Cohu, Inc. as of December 26, 2009 and December 27, 2008, and the related consolidated statements of operations, stockholders’ equity, and cash flows for each of the three years in the period ended December 26, 2009 of Cohu, Inc. and our report dated February 23, 2010 expressed an unqualified opinion thereon.</w:t>
      </w:r>
    </w:p>
    <w:p>
      <w:pPr>
        <w:spacing w:after="0" w:line="200" w:lineRule="exact"/>
        <w:rPr>
          <w:sz w:val="20"/>
          <w:szCs w:val="20"/>
          <w:color w:val="auto"/>
        </w:rPr>
      </w:pPr>
    </w:p>
    <w:p>
      <w:pPr>
        <w:spacing w:after="0" w:line="20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 xml:space="preserve">Changes in Internal Control Over Financial Reporting — </w:t>
      </w:r>
      <w:r>
        <w:rPr>
          <w:rFonts w:ascii="Arial" w:cs="Arial" w:eastAsia="Arial" w:hAnsi="Arial"/>
          <w:sz w:val="17"/>
          <w:szCs w:val="17"/>
          <w:color w:val="auto"/>
        </w:rPr>
        <w:t>There have been no changes in our internal control over financial reporting that occurred during</w:t>
      </w:r>
      <w:r>
        <w:rPr>
          <w:rFonts w:ascii="Arial" w:cs="Arial" w:eastAsia="Arial" w:hAnsi="Arial"/>
          <w:sz w:val="17"/>
          <w:szCs w:val="17"/>
          <w:b w:val="1"/>
          <w:bCs w:val="1"/>
          <w:color w:val="auto"/>
        </w:rPr>
        <w:t xml:space="preserve"> </w:t>
      </w:r>
      <w:r>
        <w:rPr>
          <w:rFonts w:ascii="Arial" w:cs="Arial" w:eastAsia="Arial" w:hAnsi="Arial"/>
          <w:sz w:val="17"/>
          <w:szCs w:val="17"/>
          <w:color w:val="auto"/>
        </w:rPr>
        <w:t>the fourth quarter of 2009 that have materially affected, or are reasonably likely to materially affect, our internal control over financial reporting.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Information regarding Directors and Executive Officers of the Registrant, is hereby incorporated by reference to the Company’s definitive proxy statement, which will be filed with the Securities and Exchange Commission (“SEC”) within 120 days after the close of fiscal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Information regarding Executive Compensation is hereby incorporated by reference to the Company’s definitive proxy statement, which will be filed with the SEC within 120 days after the close of fiscal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Information regarding Security Ownership of Certain Beneficial Owners and Management and Related Stockholder Matters is hereby incorporated by reference to the Company’s definitive proxy statement, which will be filed with the SEC within 120 days after the close of fiscal 2009.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Information regarding Certain Relationships and Related Transactions is hereby incorporated by reference to the Company’s definitive proxy statement, which will be filed with the SEC within 120 days after the close of fiscal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Information regarding the Principal Accounting Fees and Services is hereby incorporated by reference to the Company’s definitive proxy statement, which will be filed with the SEC within 120 days after the close of fiscal 2009.</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or incorporated by reference into, this Annual Report on Form 10-K.</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 Financial Statements</w:t>
      </w:r>
    </w:p>
    <w:p>
      <w:pPr>
        <w:spacing w:after="0" w:line="117" w:lineRule="exact"/>
        <w:rPr>
          <w:sz w:val="20"/>
          <w:szCs w:val="20"/>
          <w:color w:val="auto"/>
        </w:rPr>
      </w:pPr>
    </w:p>
    <w:p>
      <w:pPr>
        <w:ind w:left="240" w:firstLine="222"/>
        <w:spacing w:after="0" w:line="277" w:lineRule="auto"/>
        <w:rPr>
          <w:sz w:val="20"/>
          <w:szCs w:val="20"/>
          <w:color w:val="auto"/>
        </w:rPr>
      </w:pPr>
      <w:r>
        <w:rPr>
          <w:rFonts w:ascii="Arial" w:cs="Arial" w:eastAsia="Arial" w:hAnsi="Arial"/>
          <w:sz w:val="18"/>
          <w:szCs w:val="18"/>
          <w:color w:val="auto"/>
        </w:rPr>
        <w:t>The following Consolidated Financial Statements of Cohu, Inc., including the report thereon of Ernst &amp; Young LLP, are included in this Annual Report on Form 10-K beginning on page 32: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color w:val="auto"/>
                <w:w w:val="96"/>
              </w:rPr>
              <w:t>Form 10-K</w:t>
            </w:r>
          </w:p>
        </w:tc>
      </w:tr>
      <w:tr>
        <w:trPr>
          <w:trHeight w:val="167"/>
        </w:trPr>
        <w:tc>
          <w:tcPr>
            <w:tcW w:w="9960" w:type="dxa"/>
            <w:vAlign w:val="bottom"/>
            <w:gridSpan w:val="9"/>
          </w:tcPr>
          <w:p>
            <w:pPr>
              <w:spacing w:after="0"/>
              <w:rPr>
                <w:sz w:val="20"/>
                <w:szCs w:val="20"/>
                <w:color w:val="auto"/>
              </w:rPr>
            </w:pPr>
            <w:r>
              <w:rPr>
                <w:rFonts w:ascii="Arial" w:cs="Arial" w:eastAsia="Arial" w:hAnsi="Arial"/>
                <w:sz w:val="14"/>
                <w:szCs w:val="14"/>
                <w:color w:val="auto"/>
              </w:rPr>
              <w:t>Description</w:t>
            </w:r>
          </w:p>
        </w:tc>
        <w:tc>
          <w:tcPr>
            <w:tcW w:w="1380" w:type="dxa"/>
            <w:vAlign w:val="bottom"/>
            <w:gridSpan w:val="3"/>
          </w:tcPr>
          <w:p>
            <w:pPr>
              <w:jc w:val="center"/>
              <w:ind w:left="453"/>
              <w:spacing w:after="0"/>
              <w:rPr>
                <w:sz w:val="20"/>
                <w:szCs w:val="20"/>
                <w:color w:val="auto"/>
              </w:rPr>
            </w:pPr>
            <w:r>
              <w:rPr>
                <w:rFonts w:ascii="Arial" w:cs="Arial" w:eastAsia="Arial" w:hAnsi="Arial"/>
                <w:sz w:val="14"/>
                <w:szCs w:val="14"/>
                <w:color w:val="auto"/>
                <w:w w:val="92"/>
              </w:rPr>
              <w:t>Page Number</w:t>
            </w:r>
          </w:p>
        </w:tc>
      </w:tr>
      <w:tr>
        <w:trPr>
          <w:trHeight w:val="169"/>
        </w:trPr>
        <w:tc>
          <w:tcPr>
            <w:tcW w:w="5440" w:type="dxa"/>
            <w:vAlign w:val="bottom"/>
            <w:tcBorders>
              <w:top w:val="single" w:sz="8" w:color="auto"/>
              <w:bottom w:val="single" w:sz="8" w:color="0000EE"/>
            </w:tcBorders>
            <w:gridSpan w:val="5"/>
          </w:tcPr>
          <w:p>
            <w:pPr>
              <w:spacing w:after="0" w:line="170"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Consolidated balance sheets at December 26, 2009 and December 27, 2008</w:t>
              </w:r>
            </w:hyperlink>
          </w:p>
        </w:tc>
        <w:tc>
          <w:tcPr>
            <w:tcW w:w="4520" w:type="dxa"/>
            <w:vAlign w:val="bottom"/>
            <w:tcBorders>
              <w:top w:val="single" w:sz="8" w:color="auto"/>
            </w:tcBorders>
            <w:gridSpan w:val="4"/>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4"/>
                <w:szCs w:val="14"/>
                <w:color w:val="auto"/>
              </w:rPr>
            </w:pPr>
          </w:p>
        </w:tc>
      </w:tr>
      <w:tr>
        <w:trPr>
          <w:trHeight w:val="412"/>
        </w:trPr>
        <w:tc>
          <w:tcPr>
            <w:tcW w:w="9960" w:type="dxa"/>
            <w:vAlign w:val="bottom"/>
            <w:gridSpan w:val="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Consolidated statements of operations for each of the three years in the period ended December 26, 2009</w:t>
              </w:r>
            </w:hyperlink>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33</w:t>
            </w:r>
          </w:p>
        </w:tc>
      </w:tr>
      <w:tr>
        <w:trPr>
          <w:trHeight w:val="20"/>
        </w:trPr>
        <w:tc>
          <w:tcPr>
            <w:tcW w:w="42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r>
      <w:tr>
        <w:trPr>
          <w:trHeight w:val="412"/>
        </w:trPr>
        <w:tc>
          <w:tcPr>
            <w:tcW w:w="828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Consolidated statements of stockholders’ equity for each of the three years in the period ended December 26, 2009</w:t>
              </w:r>
            </w:hyperlink>
          </w:p>
        </w:tc>
        <w:tc>
          <w:tcPr>
            <w:tcW w:w="1680" w:type="dxa"/>
            <w:vAlign w:val="bottom"/>
          </w:tcPr>
          <w:p>
            <w:pPr>
              <w:spacing w:after="0"/>
              <w:rPr>
                <w:sz w:val="24"/>
                <w:szCs w:val="24"/>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34</w:t>
            </w:r>
          </w:p>
        </w:tc>
      </w:tr>
      <w:tr>
        <w:trPr>
          <w:trHeight w:val="412"/>
        </w:trPr>
        <w:tc>
          <w:tcPr>
            <w:tcW w:w="75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Consolidated statements of cash flows for each of the three years in the period ended December 26, 2009</w:t>
              </w:r>
            </w:hyperlink>
          </w:p>
        </w:tc>
        <w:tc>
          <w:tcPr>
            <w:tcW w:w="2380" w:type="dxa"/>
            <w:vAlign w:val="bottom"/>
            <w:gridSpan w:val="2"/>
          </w:tcPr>
          <w:p>
            <w:pPr>
              <w:spacing w:after="0"/>
              <w:rPr>
                <w:sz w:val="24"/>
                <w:szCs w:val="24"/>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35</w:t>
            </w:r>
          </w:p>
        </w:tc>
      </w:tr>
      <w:tr>
        <w:trPr>
          <w:trHeight w:val="412"/>
        </w:trPr>
        <w:tc>
          <w:tcPr>
            <w:tcW w:w="9960" w:type="dxa"/>
            <w:vAlign w:val="bottom"/>
            <w:gridSpan w:val="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Notes to consolidated financial statements</w:t>
              </w:r>
            </w:hyperlink>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37-58</w:t>
            </w:r>
          </w:p>
        </w:tc>
      </w:tr>
      <w:tr>
        <w:trPr>
          <w:trHeight w:val="20"/>
        </w:trPr>
        <w:tc>
          <w:tcPr>
            <w:tcW w:w="42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r>
      <w:tr>
        <w:trPr>
          <w:trHeight w:val="412"/>
        </w:trPr>
        <w:tc>
          <w:tcPr>
            <w:tcW w:w="9960" w:type="dxa"/>
            <w:vAlign w:val="bottom"/>
            <w:gridSpan w:val="9"/>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Report of Independent Registered Public Accounting Firm</w:t>
              </w:r>
            </w:hyperlink>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59</w:t>
            </w:r>
          </w:p>
        </w:tc>
      </w:tr>
      <w:tr>
        <w:trPr>
          <w:trHeight w:val="453"/>
        </w:trPr>
        <w:tc>
          <w:tcPr>
            <w:tcW w:w="42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(2) Financial Statement Schedule</w:t>
            </w:r>
          </w:p>
        </w:tc>
        <w:tc>
          <w:tcPr>
            <w:tcW w:w="5740" w:type="dxa"/>
            <w:vAlign w:val="bottom"/>
            <w:gridSpan w:val="5"/>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420" w:type="dxa"/>
            <w:vAlign w:val="bottom"/>
          </w:tcPr>
          <w:p>
            <w:pPr>
              <w:spacing w:after="0"/>
              <w:rPr>
                <w:sz w:val="24"/>
                <w:szCs w:val="24"/>
                <w:color w:val="auto"/>
              </w:rPr>
            </w:pPr>
          </w:p>
        </w:tc>
        <w:tc>
          <w:tcPr>
            <w:tcW w:w="364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66">
              <w:r>
                <w:rPr>
                  <w:rFonts w:ascii="Arial" w:cs="Arial" w:eastAsia="Arial" w:hAnsi="Arial"/>
                  <w:sz w:val="18"/>
                  <w:szCs w:val="18"/>
                  <w:color w:val="0000EE"/>
                  <w:w w:val="92"/>
                </w:rPr>
                <w:t>Schedule II — Valuation and Qualifying Accounts</w:t>
              </w:r>
            </w:hyperlink>
          </w:p>
        </w:tc>
        <w:tc>
          <w:tcPr>
            <w:tcW w:w="5900" w:type="dxa"/>
            <w:vAlign w:val="bottom"/>
            <w:gridSpan w:val="6"/>
          </w:tcPr>
          <w:p>
            <w:pPr>
              <w:spacing w:after="0"/>
              <w:rPr>
                <w:sz w:val="24"/>
                <w:szCs w:val="24"/>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63</w:t>
            </w:r>
          </w:p>
        </w:tc>
      </w:tr>
    </w:tbl>
    <w:p>
      <w:pPr>
        <w:spacing w:after="0" w:line="121" w:lineRule="exact"/>
        <w:rPr>
          <w:sz w:val="20"/>
          <w:szCs w:val="20"/>
          <w:color w:val="auto"/>
        </w:rPr>
      </w:pPr>
    </w:p>
    <w:p>
      <w:pPr>
        <w:ind w:left="240" w:right="320" w:firstLine="215"/>
        <w:spacing w:after="0" w:line="342" w:lineRule="auto"/>
        <w:rPr>
          <w:sz w:val="20"/>
          <w:szCs w:val="20"/>
          <w:color w:val="auto"/>
        </w:rPr>
      </w:pPr>
      <w:r>
        <w:rPr>
          <w:rFonts w:ascii="Arial" w:cs="Arial" w:eastAsia="Arial" w:hAnsi="Arial"/>
          <w:sz w:val="16"/>
          <w:szCs w:val="16"/>
          <w:color w:val="auto"/>
        </w:rPr>
        <w:t>All other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(3) 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under Item 15(b) hereof are filed with, or incorporated by reference into, this Annual Report on Form 10-K.</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par value)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December 26,</w:t>
            </w:r>
          </w:p>
        </w:tc>
        <w:tc>
          <w:tcPr>
            <w:tcW w:w="3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27,</w:t>
            </w:r>
          </w:p>
        </w:tc>
        <w:tc>
          <w:tcPr>
            <w:tcW w:w="0" w:type="dxa"/>
            <w:vAlign w:val="bottom"/>
          </w:tcPr>
          <w:p>
            <w:pPr>
              <w:spacing w:after="0"/>
              <w:rPr>
                <w:sz w:val="1"/>
                <w:szCs w:val="1"/>
                <w:color w:val="auto"/>
              </w:rPr>
            </w:pPr>
          </w:p>
        </w:tc>
      </w:tr>
      <w:tr>
        <w:trPr>
          <w:trHeight w:val="167"/>
        </w:trPr>
        <w:tc>
          <w:tcPr>
            <w:tcW w:w="9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2009</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38,247</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30,194</w:t>
            </w:r>
          </w:p>
        </w:tc>
        <w:tc>
          <w:tcPr>
            <w:tcW w:w="0" w:type="dxa"/>
            <w:vAlign w:val="bottom"/>
          </w:tcPr>
          <w:p>
            <w:pPr>
              <w:spacing w:after="0"/>
              <w:rPr>
                <w:sz w:val="1"/>
                <w:szCs w:val="1"/>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46,659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58,191</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less allowance for bad debts of $1,013 in 2009 and $1,610 in 2008</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43,389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31,945</w:t>
            </w:r>
          </w:p>
        </w:tc>
        <w:tc>
          <w:tcPr>
            <w:tcW w:w="0" w:type="dxa"/>
            <w:vAlign w:val="bottom"/>
          </w:tcPr>
          <w:p>
            <w:pPr>
              <w:spacing w:after="0"/>
              <w:rPr>
                <w:sz w:val="1"/>
                <w:szCs w:val="1"/>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Raw materials and purchased parts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25,660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27,557</w:t>
            </w:r>
          </w:p>
        </w:tc>
        <w:tc>
          <w:tcPr>
            <w:tcW w:w="0" w:type="dxa"/>
            <w:vAlign w:val="bottom"/>
          </w:tcPr>
          <w:p>
            <w:pPr>
              <w:spacing w:after="0"/>
              <w:rPr>
                <w:sz w:val="1"/>
                <w:szCs w:val="1"/>
                <w:color w:val="auto"/>
              </w:rPr>
            </w:pPr>
          </w:p>
        </w:tc>
      </w:tr>
      <w:tr>
        <w:trPr>
          <w:trHeight w:val="216"/>
        </w:trPr>
        <w:tc>
          <w:tcPr>
            <w:tcW w:w="9020" w:type="dxa"/>
            <w:vAlign w:val="bottom"/>
          </w:tcPr>
          <w:p>
            <w:pPr>
              <w:ind w:left="42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16,148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14,159</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10,620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11,598</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52,428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3,703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16,270</w:t>
            </w:r>
          </w:p>
        </w:tc>
        <w:tc>
          <w:tcPr>
            <w:tcW w:w="0" w:type="dxa"/>
            <w:vAlign w:val="bottom"/>
          </w:tcPr>
          <w:p>
            <w:pPr>
              <w:spacing w:after="0"/>
              <w:rPr>
                <w:sz w:val="1"/>
                <w:szCs w:val="1"/>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9,122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9,345</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assets of discontinued operations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902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193,550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199,264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Land and land improvements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11,938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11,824</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Buildings and building improvements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29,538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28,341</w:t>
            </w:r>
          </w:p>
        </w:tc>
        <w:tc>
          <w:tcPr>
            <w:tcW w:w="0" w:type="dxa"/>
            <w:vAlign w:val="bottom"/>
          </w:tcPr>
          <w:p>
            <w:pPr>
              <w:spacing w:after="0"/>
              <w:rPr>
                <w:sz w:val="1"/>
                <w:szCs w:val="1"/>
                <w:color w:val="auto"/>
              </w:rPr>
            </w:pPr>
          </w:p>
        </w:tc>
      </w:tr>
      <w:tr>
        <w:trPr>
          <w:trHeight w:val="223"/>
        </w:trPr>
        <w:tc>
          <w:tcPr>
            <w:tcW w:w="9020" w:type="dxa"/>
            <w:vAlign w:val="bottom"/>
          </w:tcPr>
          <w:p>
            <w:pPr>
              <w:ind w:left="220"/>
              <w:spacing w:after="0"/>
              <w:rPr>
                <w:sz w:val="20"/>
                <w:szCs w:val="20"/>
                <w:color w:val="auto"/>
              </w:rPr>
            </w:pPr>
            <w:r>
              <w:rPr>
                <w:rFonts w:ascii="Arial" w:cs="Arial" w:eastAsia="Arial" w:hAnsi="Arial"/>
                <w:sz w:val="18"/>
                <w:szCs w:val="18"/>
                <w:color w:val="auto"/>
              </w:rPr>
              <w:t>Machinery and equipment</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36,875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78,351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73,687</w:t>
            </w:r>
          </w:p>
        </w:tc>
        <w:tc>
          <w:tcPr>
            <w:tcW w:w="0" w:type="dxa"/>
            <w:vAlign w:val="bottom"/>
          </w:tcPr>
          <w:p>
            <w:pPr>
              <w:spacing w:after="0"/>
              <w:rPr>
                <w:sz w:val="1"/>
                <w:szCs w:val="1"/>
                <w:color w:val="auto"/>
              </w:rPr>
            </w:pPr>
          </w:p>
        </w:tc>
      </w:tr>
      <w:tr>
        <w:trPr>
          <w:trHeight w:val="223"/>
        </w:trPr>
        <w:tc>
          <w:tcPr>
            <w:tcW w:w="9020" w:type="dxa"/>
            <w:vAlign w:val="bottom"/>
          </w:tcPr>
          <w:p>
            <w:pPr>
              <w:ind w:left="22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(40,345)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(34,258)</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property, plant and equipment</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2,307</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61,764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60,820</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Intangible assets, net of accumulated amortization of $11,648 in 2009 and $5,200 in 2008</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35,483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40,993</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Noncurrent assets of discontinued operations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330,118</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344,169</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22,600</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11,720</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10,715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9,867</w:t>
            </w:r>
          </w:p>
        </w:tc>
        <w:tc>
          <w:tcPr>
            <w:tcW w:w="0" w:type="dxa"/>
            <w:vAlign w:val="bottom"/>
          </w:tcPr>
          <w:p>
            <w:pPr>
              <w:spacing w:after="0"/>
              <w:rPr>
                <w:sz w:val="1"/>
                <w:szCs w:val="1"/>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Accrued warranty</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3,747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4,924</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advances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Deferred profit</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5,322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4,434</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1,486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Other accrued liabilities</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8,903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8,678</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liabilities of discontinued operations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902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53,953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4,725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14,191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11,456</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 $1 par value; 1,000 shares authorized, none issued</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020" w:type="dxa"/>
            <w:vAlign w:val="bottom"/>
          </w:tcPr>
          <w:p>
            <w:pPr>
              <w:ind w:left="220"/>
              <w:spacing w:after="0" w:line="201" w:lineRule="exact"/>
              <w:rPr>
                <w:sz w:val="20"/>
                <w:szCs w:val="20"/>
                <w:color w:val="auto"/>
              </w:rPr>
            </w:pPr>
            <w:r>
              <w:rPr>
                <w:rFonts w:ascii="Arial" w:cs="Arial" w:eastAsia="Arial" w:hAnsi="Arial"/>
                <w:sz w:val="18"/>
                <w:szCs w:val="18"/>
                <w:color w:val="auto"/>
                <w:w w:val="95"/>
              </w:rPr>
              <w:t>Common stock, $1 par value; 60,000 shares authorized, 23,547 shares issued and outstanding in 2009 and 23,344</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20" w:type="dxa"/>
            <w:vAlign w:val="bottom"/>
          </w:tcPr>
          <w:p>
            <w:pPr>
              <w:ind w:left="420"/>
              <w:spacing w:after="0"/>
              <w:rPr>
                <w:sz w:val="20"/>
                <w:szCs w:val="20"/>
                <w:color w:val="auto"/>
              </w:rPr>
            </w:pPr>
            <w:r>
              <w:rPr>
                <w:rFonts w:ascii="Arial" w:cs="Arial" w:eastAsia="Arial" w:hAnsi="Arial"/>
                <w:sz w:val="18"/>
                <w:szCs w:val="18"/>
                <w:color w:val="auto"/>
              </w:rPr>
              <w:t>shares in 2008</w:t>
            </w:r>
          </w:p>
        </w:tc>
        <w:tc>
          <w:tcPr>
            <w:tcW w:w="16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23,547</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23,344</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Paid-in capital</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64,847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61,076</w:t>
            </w:r>
          </w:p>
        </w:tc>
        <w:tc>
          <w:tcPr>
            <w:tcW w:w="0" w:type="dxa"/>
            <w:vAlign w:val="bottom"/>
          </w:tcPr>
          <w:p>
            <w:pPr>
              <w:spacing w:after="0"/>
              <w:rPr>
                <w:sz w:val="1"/>
                <w:szCs w:val="1"/>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160,193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193,985</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8,662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7,134</w:t>
            </w:r>
          </w:p>
        </w:tc>
        <w:tc>
          <w:tcPr>
            <w:tcW w:w="0" w:type="dxa"/>
            <w:vAlign w:val="bottom"/>
          </w:tcPr>
          <w:p>
            <w:pPr>
              <w:spacing w:after="0"/>
              <w:rPr>
                <w:sz w:val="1"/>
                <w:szCs w:val="1"/>
                <w:color w:val="auto"/>
              </w:rPr>
            </w:pPr>
          </w:p>
        </w:tc>
      </w:tr>
      <w:tr>
        <w:trPr>
          <w:trHeight w:val="230"/>
        </w:trPr>
        <w:tc>
          <w:tcPr>
            <w:tcW w:w="9020" w:type="dxa"/>
            <w:vAlign w:val="bottom"/>
          </w:tcPr>
          <w:p>
            <w:pPr>
              <w:ind w:left="4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257,249</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285,539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330,118</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344,169</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color w:val="auto"/>
                <w:w w:val="93"/>
              </w:rPr>
              <w:t>Years ended</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60" w:type="dxa"/>
            <w:vAlign w:val="bottom"/>
            <w:gridSpan w:val="3"/>
          </w:tcPr>
          <w:p>
            <w:pPr>
              <w:spacing w:after="0" w:line="123" w:lineRule="exact"/>
              <w:rPr>
                <w:sz w:val="20"/>
                <w:szCs w:val="20"/>
                <w:color w:val="auto"/>
              </w:rPr>
            </w:pPr>
            <w:r>
              <w:rPr>
                <w:rFonts w:ascii="Arial" w:cs="Arial" w:eastAsia="Arial" w:hAnsi="Arial"/>
                <w:sz w:val="14"/>
                <w:szCs w:val="14"/>
                <w:color w:val="auto"/>
              </w:rPr>
              <w:t>December 26,</w:t>
            </w:r>
          </w:p>
        </w:tc>
        <w:tc>
          <w:tcPr>
            <w:tcW w:w="118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December 27,</w:t>
            </w:r>
          </w:p>
        </w:tc>
        <w:tc>
          <w:tcPr>
            <w:tcW w:w="300" w:type="dxa"/>
            <w:vAlign w:val="bottom"/>
          </w:tcPr>
          <w:p>
            <w:pPr>
              <w:spacing w:after="0"/>
              <w:rPr>
                <w:sz w:val="10"/>
                <w:szCs w:val="10"/>
                <w:color w:val="auto"/>
              </w:rPr>
            </w:pPr>
          </w:p>
        </w:tc>
        <w:tc>
          <w:tcPr>
            <w:tcW w:w="820" w:type="dxa"/>
            <w:vAlign w:val="bottom"/>
            <w:gridSpan w:val="2"/>
          </w:tcPr>
          <w:p>
            <w:pPr>
              <w:spacing w:after="0" w:line="123" w:lineRule="exact"/>
              <w:rPr>
                <w:sz w:val="20"/>
                <w:szCs w:val="20"/>
                <w:color w:val="auto"/>
              </w:rPr>
            </w:pPr>
            <w:r>
              <w:rPr>
                <w:rFonts w:ascii="Arial" w:cs="Arial" w:eastAsia="Arial" w:hAnsi="Arial"/>
                <w:sz w:val="14"/>
                <w:szCs w:val="14"/>
                <w:color w:val="auto"/>
                <w:w w:val="90"/>
              </w:rPr>
              <w:t>December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2009</w:t>
            </w: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2008</w:t>
            </w: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2007</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171,261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199,659</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241,389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Cost and expenses: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sales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118,873</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134,691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162,577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31,964</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38,084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35,519</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36,612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Acquired in-process research and development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2,577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186,356</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211,964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237,101</w:t>
            </w: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7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(15,095)</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(12,305)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1,300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5,483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8,400</w:t>
            </w: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7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(13,795)</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14,373</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4,667</w:t>
            </w:r>
          </w:p>
        </w:tc>
        <w:tc>
          <w:tcPr>
            <w:tcW w:w="0" w:type="dxa"/>
            <w:vAlign w:val="bottom"/>
          </w:tcPr>
          <w:p>
            <w:pPr>
              <w:spacing w:after="0"/>
              <w:rPr>
                <w:sz w:val="1"/>
                <w:szCs w:val="1"/>
                <w:color w:val="auto"/>
              </w:rPr>
            </w:pPr>
          </w:p>
        </w:tc>
      </w:tr>
      <w:tr>
        <w:trPr>
          <w:trHeight w:val="230"/>
        </w:trPr>
        <w:tc>
          <w:tcPr>
            <w:tcW w:w="684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7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(28,168)</w:t>
            </w:r>
          </w:p>
        </w:tc>
        <w:tc>
          <w:tcPr>
            <w:tcW w:w="6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(5,443)</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(Note 12):</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Loss from discontinued metal detection equipment operation, before income taxes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benefit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Loss from discontinued operations</w:t>
            </w:r>
          </w:p>
        </w:tc>
        <w:tc>
          <w:tcPr>
            <w:tcW w:w="7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(28,168)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(5,443)</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7,978</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8"/>
                <w:szCs w:val="18"/>
                <w:color w:val="auto"/>
              </w:rPr>
              <w:t>Income (loss) per share:</w:t>
            </w: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4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00"/>
              <w:spacing w:after="0"/>
              <w:rPr>
                <w:sz w:val="20"/>
                <w:szCs w:val="20"/>
                <w:color w:val="auto"/>
              </w:rPr>
            </w:pPr>
            <w:r>
              <w:rPr>
                <w:rFonts w:ascii="Arial" w:cs="Arial" w:eastAsia="Arial" w:hAnsi="Arial"/>
                <w:sz w:val="18"/>
                <w:szCs w:val="18"/>
                <w:color w:val="auto"/>
              </w:rPr>
              <w:t>Income (loss) from continuing operations</w:t>
            </w:r>
          </w:p>
        </w:tc>
        <w:tc>
          <w:tcPr>
            <w:tcW w:w="8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(0.23)</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from discontinued operations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vMerge w:val="restart"/>
          </w:tcPr>
          <w:p>
            <w:pPr>
              <w:ind w:left="400"/>
              <w:spacing w:after="0"/>
              <w:rPr>
                <w:sz w:val="20"/>
                <w:szCs w:val="20"/>
                <w:color w:val="auto"/>
              </w:rPr>
            </w:pPr>
            <w:r>
              <w:rPr>
                <w:rFonts w:ascii="Arial" w:cs="Arial" w:eastAsia="Arial" w:hAnsi="Arial"/>
                <w:sz w:val="18"/>
                <w:szCs w:val="18"/>
                <w:color w:val="auto"/>
              </w:rPr>
              <w:t>Net income (loss)</w:t>
            </w:r>
          </w:p>
        </w:tc>
        <w:tc>
          <w:tcPr>
            <w:tcW w:w="7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(0.23)</w:t>
            </w:r>
          </w:p>
        </w:tc>
        <w:tc>
          <w:tcPr>
            <w:tcW w:w="30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00"/>
              <w:spacing w:after="0"/>
              <w:rPr>
                <w:sz w:val="20"/>
                <w:szCs w:val="20"/>
                <w:color w:val="auto"/>
              </w:rPr>
            </w:pPr>
            <w:r>
              <w:rPr>
                <w:rFonts w:ascii="Arial" w:cs="Arial" w:eastAsia="Arial" w:hAnsi="Arial"/>
                <w:sz w:val="18"/>
                <w:szCs w:val="18"/>
                <w:color w:val="auto"/>
              </w:rPr>
              <w:t>Income (loss) from continuing operations</w:t>
            </w:r>
          </w:p>
        </w:tc>
        <w:tc>
          <w:tcPr>
            <w:tcW w:w="8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(0.23)</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from discontinued operations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vMerge w:val="restart"/>
          </w:tcPr>
          <w:p>
            <w:pPr>
              <w:ind w:left="400"/>
              <w:spacing w:after="0"/>
              <w:rPr>
                <w:sz w:val="20"/>
                <w:szCs w:val="20"/>
                <w:color w:val="auto"/>
              </w:rPr>
            </w:pPr>
            <w:r>
              <w:rPr>
                <w:rFonts w:ascii="Arial" w:cs="Arial" w:eastAsia="Arial" w:hAnsi="Arial"/>
                <w:sz w:val="18"/>
                <w:szCs w:val="18"/>
                <w:color w:val="auto"/>
              </w:rPr>
              <w:t>Net income (loss)</w:t>
            </w:r>
          </w:p>
        </w:tc>
        <w:tc>
          <w:tcPr>
            <w:tcW w:w="7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(0.23)</w:t>
            </w:r>
          </w:p>
        </w:tc>
        <w:tc>
          <w:tcPr>
            <w:tcW w:w="30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0.34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 income (loss) per share: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00"/>
              <w:spacing w:after="0"/>
              <w:rPr>
                <w:sz w:val="20"/>
                <w:szCs w:val="20"/>
                <w:color w:val="auto"/>
              </w:rPr>
            </w:pPr>
            <w:r>
              <w:rPr>
                <w:rFonts w:ascii="Arial" w:cs="Arial" w:eastAsia="Arial" w:hAnsi="Arial"/>
                <w:sz w:val="18"/>
                <w:szCs w:val="18"/>
                <w:color w:val="auto"/>
              </w:rPr>
              <w:t>Basic</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23,412</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23,179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23,412</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23,179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23,270</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par value and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w w:val="93"/>
              </w:rPr>
              <w:t>Accumulated</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350"/>
              <w:spacing w:after="0" w:line="149" w:lineRule="exact"/>
              <w:rPr>
                <w:sz w:val="20"/>
                <w:szCs w:val="20"/>
                <w:color w:val="auto"/>
              </w:rPr>
            </w:pPr>
            <w:r>
              <w:rPr>
                <w:rFonts w:ascii="Arial" w:cs="Arial" w:eastAsia="Arial" w:hAnsi="Arial"/>
                <w:sz w:val="14"/>
                <w:szCs w:val="14"/>
                <w:color w:val="auto"/>
              </w:rPr>
              <w:t>Common</w:t>
            </w: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tcPr>
          <w:p>
            <w:pPr>
              <w:jc w:val="center"/>
              <w:ind w:right="470"/>
              <w:spacing w:after="0" w:line="149" w:lineRule="exact"/>
              <w:rPr>
                <w:sz w:val="20"/>
                <w:szCs w:val="20"/>
                <w:color w:val="auto"/>
              </w:rPr>
            </w:pPr>
            <w:r>
              <w:rPr>
                <w:rFonts w:ascii="Arial" w:cs="Arial" w:eastAsia="Arial" w:hAnsi="Arial"/>
                <w:sz w:val="14"/>
                <w:szCs w:val="14"/>
                <w:color w:val="auto"/>
                <w:w w:val="93"/>
              </w:rPr>
              <w:t>other</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470"/>
              <w:spacing w:after="0" w:line="149" w:lineRule="exact"/>
              <w:rPr>
                <w:sz w:val="20"/>
                <w:szCs w:val="20"/>
                <w:color w:val="auto"/>
              </w:rPr>
            </w:pPr>
            <w:r>
              <w:rPr>
                <w:rFonts w:ascii="Arial" w:cs="Arial" w:eastAsia="Arial" w:hAnsi="Arial"/>
                <w:sz w:val="14"/>
                <w:szCs w:val="14"/>
                <w:color w:val="auto"/>
              </w:rPr>
              <w:t>stock</w:t>
            </w:r>
          </w:p>
        </w:tc>
        <w:tc>
          <w:tcPr>
            <w:tcW w:w="420" w:type="dxa"/>
            <w:vAlign w:val="bottom"/>
          </w:tcPr>
          <w:p>
            <w:pPr>
              <w:spacing w:after="0"/>
              <w:rPr>
                <w:sz w:val="12"/>
                <w:szCs w:val="12"/>
                <w:color w:val="auto"/>
              </w:rPr>
            </w:pPr>
          </w:p>
        </w:tc>
        <w:tc>
          <w:tcPr>
            <w:tcW w:w="920" w:type="dxa"/>
            <w:vAlign w:val="bottom"/>
          </w:tcPr>
          <w:p>
            <w:pPr>
              <w:jc w:val="right"/>
              <w:ind w:right="411"/>
              <w:spacing w:after="0" w:line="149" w:lineRule="exact"/>
              <w:rPr>
                <w:sz w:val="20"/>
                <w:szCs w:val="20"/>
                <w:color w:val="auto"/>
              </w:rPr>
            </w:pPr>
            <w:r>
              <w:rPr>
                <w:rFonts w:ascii="Arial" w:cs="Arial" w:eastAsia="Arial" w:hAnsi="Arial"/>
                <w:sz w:val="14"/>
                <w:szCs w:val="14"/>
                <w:color w:val="auto"/>
                <w:w w:val="91"/>
              </w:rPr>
              <w:t>Paid-in</w:t>
            </w:r>
          </w:p>
        </w:tc>
        <w:tc>
          <w:tcPr>
            <w:tcW w:w="1360" w:type="dxa"/>
            <w:vAlign w:val="bottom"/>
          </w:tcPr>
          <w:p>
            <w:pPr>
              <w:jc w:val="right"/>
              <w:ind w:right="371"/>
              <w:spacing w:after="0" w:line="149" w:lineRule="exact"/>
              <w:rPr>
                <w:sz w:val="20"/>
                <w:szCs w:val="20"/>
                <w:color w:val="auto"/>
              </w:rPr>
            </w:pPr>
            <w:r>
              <w:rPr>
                <w:rFonts w:ascii="Arial" w:cs="Arial" w:eastAsia="Arial" w:hAnsi="Arial"/>
                <w:sz w:val="14"/>
                <w:szCs w:val="14"/>
                <w:color w:val="auto"/>
              </w:rPr>
              <w:t>Retained</w:t>
            </w:r>
          </w:p>
        </w:tc>
        <w:tc>
          <w:tcPr>
            <w:tcW w:w="15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comprehensive</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380" w:type="dxa"/>
            <w:vAlign w:val="bottom"/>
            <w:gridSpan w:val="3"/>
          </w:tcPr>
          <w:p>
            <w:pPr>
              <w:ind w:left="320"/>
              <w:spacing w:after="0"/>
              <w:rPr>
                <w:sz w:val="20"/>
                <w:szCs w:val="20"/>
                <w:color w:val="auto"/>
              </w:rPr>
            </w:pPr>
            <w:r>
              <w:rPr>
                <w:rFonts w:ascii="Arial" w:cs="Arial" w:eastAsia="Arial" w:hAnsi="Arial"/>
                <w:sz w:val="14"/>
                <w:szCs w:val="14"/>
                <w:color w:val="auto"/>
              </w:rPr>
              <w:t>$1 par value</w:t>
            </w:r>
          </w:p>
        </w:tc>
        <w:tc>
          <w:tcPr>
            <w:tcW w:w="420" w:type="dxa"/>
            <w:vAlign w:val="bottom"/>
          </w:tcPr>
          <w:p>
            <w:pPr>
              <w:spacing w:after="0"/>
              <w:rPr>
                <w:sz w:val="14"/>
                <w:szCs w:val="14"/>
                <w:color w:val="auto"/>
              </w:rPr>
            </w:pPr>
          </w:p>
        </w:tc>
        <w:tc>
          <w:tcPr>
            <w:tcW w:w="920" w:type="dxa"/>
            <w:vAlign w:val="bottom"/>
          </w:tcPr>
          <w:p>
            <w:pPr>
              <w:jc w:val="right"/>
              <w:ind w:right="411"/>
              <w:spacing w:after="0"/>
              <w:rPr>
                <w:sz w:val="20"/>
                <w:szCs w:val="20"/>
                <w:color w:val="auto"/>
              </w:rPr>
            </w:pPr>
            <w:r>
              <w:rPr>
                <w:rFonts w:ascii="Arial" w:cs="Arial" w:eastAsia="Arial" w:hAnsi="Arial"/>
                <w:sz w:val="14"/>
                <w:szCs w:val="14"/>
                <w:color w:val="auto"/>
                <w:w w:val="98"/>
              </w:rPr>
              <w:t>capital</w:t>
            </w:r>
          </w:p>
        </w:tc>
        <w:tc>
          <w:tcPr>
            <w:tcW w:w="1360" w:type="dxa"/>
            <w:vAlign w:val="bottom"/>
          </w:tcPr>
          <w:p>
            <w:pPr>
              <w:jc w:val="right"/>
              <w:ind w:right="371"/>
              <w:spacing w:after="0"/>
              <w:rPr>
                <w:sz w:val="20"/>
                <w:szCs w:val="20"/>
                <w:color w:val="auto"/>
              </w:rPr>
            </w:pPr>
            <w:r>
              <w:rPr>
                <w:rFonts w:ascii="Arial" w:cs="Arial" w:eastAsia="Arial" w:hAnsi="Arial"/>
                <w:sz w:val="14"/>
                <w:szCs w:val="14"/>
                <w:color w:val="auto"/>
              </w:rPr>
              <w:t>earnings</w:t>
            </w: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w w:val="93"/>
              </w:rPr>
              <w:t>income (loss)</w:t>
            </w:r>
          </w:p>
        </w:tc>
        <w:tc>
          <w:tcPr>
            <w:tcW w:w="30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30, 2006</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8"/>
              </w:rPr>
              <w:t>22,700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8"/>
              </w:rPr>
              <w:t>46,825</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$ 202,477</w:t>
            </w:r>
          </w:p>
        </w:tc>
        <w:tc>
          <w:tcPr>
            <w:tcW w:w="5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(414)</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$ 271,588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Decrease in the liability for unrecognized tax benefits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18"/>
                <w:szCs w:val="18"/>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Components of comprehensive income (loss):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7,978</w:t>
            </w:r>
          </w:p>
        </w:tc>
        <w:tc>
          <w:tcPr>
            <w:tcW w:w="500" w:type="dxa"/>
            <w:vAlign w:val="bottom"/>
          </w:tcPr>
          <w:p>
            <w:pPr>
              <w:spacing w:after="0"/>
              <w:rPr>
                <w:sz w:val="18"/>
                <w:szCs w:val="18"/>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7,978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cumulative translation adjustment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700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ind w:left="400"/>
              <w:spacing w:after="0" w:line="201" w:lineRule="exact"/>
              <w:rPr>
                <w:sz w:val="20"/>
                <w:szCs w:val="20"/>
                <w:color w:val="auto"/>
              </w:rPr>
            </w:pPr>
            <w:r>
              <w:rPr>
                <w:rFonts w:ascii="Arial" w:cs="Arial" w:eastAsia="Arial" w:hAnsi="Arial"/>
                <w:sz w:val="18"/>
                <w:szCs w:val="18"/>
                <w:color w:val="auto"/>
              </w:rPr>
              <w:t>Adjustments related to postretirement benefits, net of</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600"/>
              <w:spacing w:after="0"/>
              <w:rPr>
                <w:sz w:val="20"/>
                <w:szCs w:val="20"/>
                <w:color w:val="auto"/>
              </w:rPr>
            </w:pPr>
            <w:r>
              <w:rPr>
                <w:rFonts w:ascii="Arial" w:cs="Arial" w:eastAsia="Arial" w:hAnsi="Arial"/>
                <w:sz w:val="18"/>
                <w:szCs w:val="18"/>
                <w:color w:val="auto"/>
              </w:rPr>
              <w:t>income taxes</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123</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4"/>
              </w:rPr>
              <w:t>Changes in unrealized gains and losses on investments,</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of income taxes</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77</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Comprehensive income</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 — $0.24 per share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(5,500)</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Exercise of stock options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222</w:t>
            </w:r>
          </w:p>
        </w:tc>
        <w:tc>
          <w:tcPr>
            <w:tcW w:w="420" w:type="dxa"/>
            <w:vAlign w:val="bottom"/>
          </w:tcPr>
          <w:p>
            <w:pPr>
              <w:spacing w:after="0"/>
              <w:rPr>
                <w:sz w:val="18"/>
                <w:szCs w:val="18"/>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2,953</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issued under employee stock purchase plan</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83</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1,170</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Shares issued for restricted stock units vested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65</w:t>
            </w:r>
          </w:p>
        </w:tc>
        <w:tc>
          <w:tcPr>
            <w:tcW w:w="420" w:type="dxa"/>
            <w:vAlign w:val="bottom"/>
          </w:tcPr>
          <w:p>
            <w:pPr>
              <w:spacing w:after="0"/>
              <w:rPr>
                <w:sz w:val="18"/>
                <w:szCs w:val="18"/>
                <w:color w:val="auto"/>
              </w:rPr>
            </w:pP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(65)</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and retirement of stock</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(25)</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(502)</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Share-based compensation expense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4,078</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benefit from equity awards</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481</w:t>
            </w:r>
          </w:p>
        </w:tc>
        <w:tc>
          <w:tcPr>
            <w:tcW w:w="136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Balance at December 29, 2007</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w w:val="98"/>
              </w:rPr>
              <w:t>23,045</w:t>
            </w:r>
          </w:p>
        </w:tc>
        <w:tc>
          <w:tcPr>
            <w:tcW w:w="420" w:type="dxa"/>
            <w:vAlign w:val="bottom"/>
          </w:tcPr>
          <w:p>
            <w:pPr>
              <w:spacing w:after="0"/>
              <w:rPr>
                <w:sz w:val="19"/>
                <w:szCs w:val="19"/>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w w:val="98"/>
              </w:rPr>
              <w:t>54,940</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204,997</w:t>
            </w:r>
          </w:p>
        </w:tc>
        <w:tc>
          <w:tcPr>
            <w:tcW w:w="500" w:type="dxa"/>
            <w:vAlign w:val="bottom"/>
          </w:tcPr>
          <w:p>
            <w:pPr>
              <w:spacing w:after="0"/>
              <w:rPr>
                <w:sz w:val="19"/>
                <w:szCs w:val="19"/>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486</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283,468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Components of comprehensive income (loss):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00"/>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11"/>
              <w:spacing w:after="0"/>
              <w:rPr>
                <w:sz w:val="20"/>
                <w:szCs w:val="20"/>
                <w:color w:val="auto"/>
              </w:rPr>
            </w:pPr>
            <w:r>
              <w:rPr>
                <w:rFonts w:ascii="Arial" w:cs="Arial" w:eastAsia="Arial" w:hAnsi="Arial"/>
                <w:sz w:val="18"/>
                <w:szCs w:val="18"/>
                <w:color w:val="auto"/>
              </w:rPr>
              <w:t>(5,443)</w:t>
            </w:r>
          </w:p>
        </w:tc>
        <w:tc>
          <w:tcPr>
            <w:tcW w:w="500" w:type="dxa"/>
            <w:vAlign w:val="bottom"/>
          </w:tcPr>
          <w:p>
            <w:pPr>
              <w:spacing w:after="0"/>
              <w:rPr>
                <w:sz w:val="18"/>
                <w:szCs w:val="18"/>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cumulative translation adjustment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6,929</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ind w:left="400"/>
              <w:spacing w:after="0" w:line="201" w:lineRule="exact"/>
              <w:rPr>
                <w:sz w:val="20"/>
                <w:szCs w:val="20"/>
                <w:color w:val="auto"/>
              </w:rPr>
            </w:pPr>
            <w:r>
              <w:rPr>
                <w:rFonts w:ascii="Arial" w:cs="Arial" w:eastAsia="Arial" w:hAnsi="Arial"/>
                <w:sz w:val="18"/>
                <w:szCs w:val="18"/>
                <w:color w:val="auto"/>
              </w:rPr>
              <w:t>Adjustments related to postretirement benefits, net of</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600"/>
              <w:spacing w:after="0"/>
              <w:rPr>
                <w:sz w:val="20"/>
                <w:szCs w:val="20"/>
                <w:color w:val="auto"/>
              </w:rPr>
            </w:pPr>
            <w:r>
              <w:rPr>
                <w:rFonts w:ascii="Arial" w:cs="Arial" w:eastAsia="Arial" w:hAnsi="Arial"/>
                <w:sz w:val="18"/>
                <w:szCs w:val="18"/>
                <w:color w:val="auto"/>
              </w:rPr>
              <w:t>income taxes</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102</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4"/>
              </w:rPr>
              <w:t>Changes in unrealized gains and losses on investments,</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of income taxes</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(383)</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Comprehensive income</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 — $0.24 per share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(5,569)</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Exercise of stock options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133</w:t>
            </w:r>
          </w:p>
        </w:tc>
        <w:tc>
          <w:tcPr>
            <w:tcW w:w="420" w:type="dxa"/>
            <w:vAlign w:val="bottom"/>
          </w:tcPr>
          <w:p>
            <w:pPr>
              <w:spacing w:after="0"/>
              <w:rPr>
                <w:sz w:val="18"/>
                <w:szCs w:val="18"/>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1,566</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issued under employee stock purchase plan</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96</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1,100</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Shares issued for restricted stock units vested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105</w:t>
            </w:r>
          </w:p>
        </w:tc>
        <w:tc>
          <w:tcPr>
            <w:tcW w:w="420" w:type="dxa"/>
            <w:vAlign w:val="bottom"/>
          </w:tcPr>
          <w:p>
            <w:pPr>
              <w:spacing w:after="0"/>
              <w:rPr>
                <w:sz w:val="18"/>
                <w:szCs w:val="18"/>
                <w:color w:val="auto"/>
              </w:rPr>
            </w:pP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(105)</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and retirement of stock</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(35)</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(461)</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Share-based compensation expense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3,949</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benefit from equity awards</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87</w:t>
            </w:r>
          </w:p>
        </w:tc>
        <w:tc>
          <w:tcPr>
            <w:tcW w:w="136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Balance at December 27, 2008</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w w:val="98"/>
              </w:rPr>
              <w:t>23,344</w:t>
            </w:r>
          </w:p>
        </w:tc>
        <w:tc>
          <w:tcPr>
            <w:tcW w:w="420" w:type="dxa"/>
            <w:vAlign w:val="bottom"/>
          </w:tcPr>
          <w:p>
            <w:pPr>
              <w:spacing w:after="0"/>
              <w:rPr>
                <w:sz w:val="19"/>
                <w:szCs w:val="19"/>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w w:val="98"/>
              </w:rPr>
              <w:t>61,076</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193,985</w:t>
            </w:r>
          </w:p>
        </w:tc>
        <w:tc>
          <w:tcPr>
            <w:tcW w:w="500" w:type="dxa"/>
            <w:vAlign w:val="bottom"/>
          </w:tcPr>
          <w:p>
            <w:pPr>
              <w:spacing w:after="0"/>
              <w:rPr>
                <w:sz w:val="19"/>
                <w:szCs w:val="19"/>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7,134</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285,539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Components of comprehensive income (loss):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00"/>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11"/>
              <w:spacing w:after="0"/>
              <w:rPr>
                <w:sz w:val="20"/>
                <w:szCs w:val="20"/>
                <w:color w:val="auto"/>
              </w:rPr>
            </w:pPr>
            <w:r>
              <w:rPr>
                <w:rFonts w:ascii="Arial" w:cs="Arial" w:eastAsia="Arial" w:hAnsi="Arial"/>
                <w:sz w:val="18"/>
                <w:szCs w:val="18"/>
                <w:color w:val="auto"/>
              </w:rPr>
              <w:t>(28,168)</w:t>
            </w:r>
          </w:p>
        </w:tc>
        <w:tc>
          <w:tcPr>
            <w:tcW w:w="500" w:type="dxa"/>
            <w:vAlign w:val="bottom"/>
          </w:tcPr>
          <w:p>
            <w:pPr>
              <w:spacing w:after="0"/>
              <w:rPr>
                <w:sz w:val="18"/>
                <w:szCs w:val="18"/>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(28,168)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cumulative translation adjustment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1,538</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ind w:left="400"/>
              <w:spacing w:after="0" w:line="201" w:lineRule="exact"/>
              <w:rPr>
                <w:sz w:val="20"/>
                <w:szCs w:val="20"/>
                <w:color w:val="auto"/>
              </w:rPr>
            </w:pPr>
            <w:r>
              <w:rPr>
                <w:rFonts w:ascii="Arial" w:cs="Arial" w:eastAsia="Arial" w:hAnsi="Arial"/>
                <w:sz w:val="18"/>
                <w:szCs w:val="18"/>
                <w:color w:val="auto"/>
              </w:rPr>
              <w:t>Adjustments related to postretirement benefits, net of</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600"/>
              <w:spacing w:after="0"/>
              <w:rPr>
                <w:sz w:val="20"/>
                <w:szCs w:val="20"/>
                <w:color w:val="auto"/>
              </w:rPr>
            </w:pPr>
            <w:r>
              <w:rPr>
                <w:rFonts w:ascii="Arial" w:cs="Arial" w:eastAsia="Arial" w:hAnsi="Arial"/>
                <w:sz w:val="18"/>
                <w:szCs w:val="18"/>
                <w:color w:val="auto"/>
              </w:rPr>
              <w:t>income taxes</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(444)</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4"/>
              </w:rPr>
              <w:t>Changes in unrealized gains and losses on investments,</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of income taxes</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434</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Comprehensive loss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 — $0.24 per share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(5,624)</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Shares issued under employee stock purchase plan</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136</w:t>
            </w:r>
          </w:p>
        </w:tc>
        <w:tc>
          <w:tcPr>
            <w:tcW w:w="420" w:type="dxa"/>
            <w:vAlign w:val="bottom"/>
          </w:tcPr>
          <w:p>
            <w:pPr>
              <w:spacing w:after="0"/>
              <w:rPr>
                <w:sz w:val="18"/>
                <w:szCs w:val="18"/>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992</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issued for restricted stock units vested</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102</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(102)</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Repurchase and retirement of stock</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(35)</w:t>
            </w:r>
          </w:p>
        </w:tc>
        <w:tc>
          <w:tcPr>
            <w:tcW w:w="420" w:type="dxa"/>
            <w:vAlign w:val="bottom"/>
          </w:tcPr>
          <w:p>
            <w:pPr>
              <w:spacing w:after="0"/>
              <w:rPr>
                <w:sz w:val="18"/>
                <w:szCs w:val="18"/>
                <w:color w:val="auto"/>
              </w:rPr>
            </w:pP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(384)</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compensation expense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3,378</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Tax deficiency from equity awards</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(113)</w:t>
            </w:r>
          </w:p>
        </w:tc>
        <w:tc>
          <w:tcPr>
            <w:tcW w:w="13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26, 2009</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8"/>
              </w:rPr>
              <w:t>23,547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8"/>
              </w:rPr>
              <w:t>64,847</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$ 160,193</w:t>
            </w:r>
          </w:p>
        </w:tc>
        <w:tc>
          <w:tcPr>
            <w:tcW w:w="5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8,662</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$ 257,249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color w:val="auto"/>
                <w:w w:val="93"/>
              </w:rPr>
              <w:t>Years ended</w:t>
            </w: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60" w:type="dxa"/>
            <w:vAlign w:val="bottom"/>
            <w:gridSpan w:val="3"/>
          </w:tcPr>
          <w:p>
            <w:pPr>
              <w:spacing w:after="0" w:line="123" w:lineRule="exact"/>
              <w:rPr>
                <w:sz w:val="20"/>
                <w:szCs w:val="20"/>
                <w:color w:val="auto"/>
              </w:rPr>
            </w:pPr>
            <w:r>
              <w:rPr>
                <w:rFonts w:ascii="Arial" w:cs="Arial" w:eastAsia="Arial" w:hAnsi="Arial"/>
                <w:sz w:val="14"/>
                <w:szCs w:val="14"/>
                <w:color w:val="auto"/>
              </w:rPr>
              <w:t>December 26,</w:t>
            </w:r>
          </w:p>
        </w:tc>
        <w:tc>
          <w:tcPr>
            <w:tcW w:w="118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December 27,</w:t>
            </w:r>
          </w:p>
        </w:tc>
        <w:tc>
          <w:tcPr>
            <w:tcW w:w="300" w:type="dxa"/>
            <w:vAlign w:val="bottom"/>
          </w:tcPr>
          <w:p>
            <w:pPr>
              <w:spacing w:after="0"/>
              <w:rPr>
                <w:sz w:val="10"/>
                <w:szCs w:val="10"/>
                <w:color w:val="auto"/>
              </w:rPr>
            </w:pPr>
          </w:p>
        </w:tc>
        <w:tc>
          <w:tcPr>
            <w:tcW w:w="820" w:type="dxa"/>
            <w:vAlign w:val="bottom"/>
            <w:gridSpan w:val="2"/>
          </w:tcPr>
          <w:p>
            <w:pPr>
              <w:spacing w:after="0" w:line="123" w:lineRule="exact"/>
              <w:rPr>
                <w:sz w:val="20"/>
                <w:szCs w:val="20"/>
                <w:color w:val="auto"/>
              </w:rPr>
            </w:pPr>
            <w:r>
              <w:rPr>
                <w:rFonts w:ascii="Arial" w:cs="Arial" w:eastAsia="Arial" w:hAnsi="Arial"/>
                <w:sz w:val="14"/>
                <w:szCs w:val="14"/>
                <w:color w:val="auto"/>
                <w:w w:val="90"/>
              </w:rPr>
              <w:t>December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2009</w:t>
            </w: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2008</w:t>
            </w: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continuing operating activities: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(28,168)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(5,443)</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discontinued operations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20" w:type="dxa"/>
            <w:vAlign w:val="bottom"/>
          </w:tcPr>
          <w:p>
            <w:pPr>
              <w:ind w:left="200"/>
              <w:spacing w:after="0" w:line="201" w:lineRule="exact"/>
              <w:rPr>
                <w:sz w:val="20"/>
                <w:szCs w:val="20"/>
                <w:color w:val="auto"/>
              </w:rPr>
            </w:pPr>
            <w:r>
              <w:rPr>
                <w:rFonts w:ascii="Arial" w:cs="Arial" w:eastAsia="Arial" w:hAnsi="Arial"/>
                <w:sz w:val="18"/>
                <w:szCs w:val="18"/>
                <w:color w:val="auto"/>
                <w:w w:val="96"/>
              </w:rPr>
              <w:t>Adjustments to reconcile net income (loss) to net cash provided from continuing operating</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tcPr>
          <w:p>
            <w:pPr>
              <w:ind w:left="400"/>
              <w:spacing w:after="0"/>
              <w:rPr>
                <w:sz w:val="20"/>
                <w:szCs w:val="20"/>
                <w:color w:val="auto"/>
              </w:rPr>
            </w:pPr>
            <w:r>
              <w:rPr>
                <w:rFonts w:ascii="Arial" w:cs="Arial" w:eastAsia="Arial" w:hAnsi="Arial"/>
                <w:sz w:val="18"/>
                <w:szCs w:val="18"/>
                <w:color w:val="auto"/>
              </w:rPr>
              <w:t>activities:</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11,029</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6,943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00"/>
              <w:spacing w:after="0"/>
              <w:rPr>
                <w:sz w:val="20"/>
                <w:szCs w:val="20"/>
                <w:color w:val="auto"/>
              </w:rPr>
            </w:pPr>
            <w:r>
              <w:rPr>
                <w:rFonts w:ascii="Arial" w:cs="Arial" w:eastAsia="Arial" w:hAnsi="Arial"/>
                <w:sz w:val="18"/>
                <w:szCs w:val="18"/>
                <w:color w:val="auto"/>
              </w:rPr>
              <w:t>Share-based compensation expense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3,378</w:t>
            </w: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3,949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17,360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1,573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00"/>
              <w:spacing w:after="0"/>
              <w:rPr>
                <w:sz w:val="20"/>
                <w:szCs w:val="20"/>
                <w:color w:val="auto"/>
              </w:rPr>
            </w:pPr>
            <w:r>
              <w:rPr>
                <w:rFonts w:ascii="Arial" w:cs="Arial" w:eastAsia="Arial" w:hAnsi="Arial"/>
                <w:sz w:val="18"/>
                <w:szCs w:val="18"/>
                <w:color w:val="auto"/>
              </w:rPr>
              <w:t>Increase in accrued retiree medical benefits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348</w:t>
            </w: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867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Excess tax benefit from stock options exercised</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00"/>
              <w:spacing w:after="0"/>
              <w:rPr>
                <w:sz w:val="20"/>
                <w:szCs w:val="20"/>
                <w:color w:val="auto"/>
              </w:rPr>
            </w:pPr>
            <w:r>
              <w:rPr>
                <w:rFonts w:ascii="Arial" w:cs="Arial" w:eastAsia="Arial" w:hAnsi="Arial"/>
                <w:sz w:val="18"/>
                <w:szCs w:val="18"/>
                <w:color w:val="auto"/>
              </w:rPr>
              <w:t>Loss on investment write-down</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350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Acquired in-process research and development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2,577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20" w:type="dxa"/>
            <w:vAlign w:val="bottom"/>
          </w:tcPr>
          <w:p>
            <w:pPr>
              <w:ind w:left="400"/>
              <w:spacing w:after="0" w:line="201" w:lineRule="exact"/>
              <w:rPr>
                <w:sz w:val="20"/>
                <w:szCs w:val="20"/>
                <w:color w:val="auto"/>
              </w:rPr>
            </w:pPr>
            <w:r>
              <w:rPr>
                <w:rFonts w:ascii="Arial" w:cs="Arial" w:eastAsia="Arial" w:hAnsi="Arial"/>
                <w:sz w:val="18"/>
                <w:szCs w:val="18"/>
                <w:color w:val="auto"/>
              </w:rPr>
              <w:t>Changes in current assets and liabilities, excluding effects from acquisitions and</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tcPr>
          <w:p>
            <w:pPr>
              <w:ind w:left="600"/>
              <w:spacing w:after="0"/>
              <w:rPr>
                <w:sz w:val="20"/>
                <w:szCs w:val="20"/>
                <w:color w:val="auto"/>
              </w:rPr>
            </w:pPr>
            <w:r>
              <w:rPr>
                <w:rFonts w:ascii="Arial" w:cs="Arial" w:eastAsia="Arial" w:hAnsi="Arial"/>
                <w:sz w:val="18"/>
                <w:szCs w:val="18"/>
                <w:color w:val="auto"/>
              </w:rPr>
              <w:t>divestitures:</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receivable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(11,226)</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20,878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600"/>
              <w:spacing w:after="0"/>
              <w:rPr>
                <w:sz w:val="20"/>
                <w:szCs w:val="20"/>
                <w:color w:val="auto"/>
              </w:rPr>
            </w:pPr>
            <w:r>
              <w:rPr>
                <w:rFonts w:ascii="Arial" w:cs="Arial" w:eastAsia="Arial" w:hAnsi="Arial"/>
                <w:sz w:val="18"/>
                <w:szCs w:val="18"/>
                <w:color w:val="auto"/>
              </w:rPr>
              <w:t>Inventories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708</w:t>
            </w: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(7,854)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10,757</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(7,021)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600"/>
              <w:spacing w:after="0"/>
              <w:rPr>
                <w:sz w:val="20"/>
                <w:szCs w:val="20"/>
                <w:color w:val="auto"/>
              </w:rPr>
            </w:pPr>
            <w:r>
              <w:rPr>
                <w:rFonts w:ascii="Arial" w:cs="Arial" w:eastAsia="Arial" w:hAnsi="Arial"/>
                <w:sz w:val="18"/>
                <w:szCs w:val="18"/>
                <w:color w:val="auto"/>
              </w:rPr>
              <w:t>Other current assets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(522)</w:t>
            </w: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616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Income taxes payable, including excess stock option exercise benefits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(514)</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(2,758)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600"/>
              <w:spacing w:after="0"/>
              <w:rPr>
                <w:sz w:val="20"/>
                <w:szCs w:val="20"/>
                <w:color w:val="auto"/>
              </w:rPr>
            </w:pPr>
            <w:r>
              <w:rPr>
                <w:rFonts w:ascii="Arial" w:cs="Arial" w:eastAsia="Arial" w:hAnsi="Arial"/>
                <w:sz w:val="18"/>
                <w:szCs w:val="18"/>
                <w:color w:val="auto"/>
              </w:rPr>
              <w:t>Customer advances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(1,590)</w:t>
            </w: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(725)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Deferred profit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888</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600"/>
              <w:spacing w:after="0"/>
              <w:rPr>
                <w:sz w:val="20"/>
                <w:szCs w:val="20"/>
                <w:color w:val="auto"/>
              </w:rPr>
            </w:pPr>
            <w:r>
              <w:rPr>
                <w:rFonts w:ascii="Arial" w:cs="Arial" w:eastAsia="Arial" w:hAnsi="Arial"/>
                <w:sz w:val="18"/>
                <w:szCs w:val="18"/>
                <w:color w:val="auto"/>
              </w:rPr>
              <w:t>Accrued compensation, warranty and other liabilities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235</w:t>
            </w: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(5,588)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(2,824)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from continuing operating activities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2,762</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7,843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20" w:type="dxa"/>
            <w:vAlign w:val="bottom"/>
          </w:tcPr>
          <w:p>
            <w:pPr>
              <w:spacing w:after="0" w:line="201" w:lineRule="exact"/>
              <w:rPr>
                <w:sz w:val="20"/>
                <w:szCs w:val="20"/>
                <w:color w:val="auto"/>
              </w:rPr>
            </w:pPr>
            <w:r>
              <w:rPr>
                <w:rFonts w:ascii="Arial" w:cs="Arial" w:eastAsia="Arial" w:hAnsi="Arial"/>
                <w:sz w:val="18"/>
                <w:szCs w:val="18"/>
                <w:color w:val="auto"/>
              </w:rPr>
              <w:t>Cash flows from continuing investing activities, excluding effects from acquisitions and</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divestitures:</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maturities of short-term investments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56,458</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156,196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Purchases of short-term investments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(44,562)</w:t>
            </w: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(122,517)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(152,603)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(2,507)</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(3,870)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Payment for purchase of Rasco, net of cash received</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(80,823)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for purchase of AVS, net of cash received</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Cash advances to discontinued operations, net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Pr>
          <w:p>
            <w:pPr>
              <w:ind w:left="600"/>
              <w:spacing w:after="0"/>
              <w:rPr>
                <w:sz w:val="20"/>
                <w:szCs w:val="20"/>
                <w:color w:val="auto"/>
              </w:rPr>
            </w:pPr>
            <w:r>
              <w:rPr>
                <w:rFonts w:ascii="Arial" w:cs="Arial" w:eastAsia="Arial" w:hAnsi="Arial"/>
                <w:sz w:val="18"/>
                <w:szCs w:val="18"/>
                <w:color w:val="auto"/>
              </w:rPr>
              <w:t>Net cash provided from (used for) continuing investing activities</w:t>
            </w: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9,431</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(51,116)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continuing financing activities :</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Issuance of stock, net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709</w:t>
            </w: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2,399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 from stock options exercised</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Cash dividends paid</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(5,610)</w:t>
            </w: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(5,554)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(5,478)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for continuing financing activities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(4,901)</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(3,068)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761</w:t>
            </w: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(746)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 from continuing operations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8,053</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(47,087)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Cash and cash equivalents of continuing operations at beginning of year</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30,194</w:t>
            </w: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77,281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24,829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of continuing operations at end of year</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38,247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30,194</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color w:val="auto"/>
              </w:rPr>
              <w:t>Years ended</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60" w:type="dxa"/>
            <w:vAlign w:val="bottom"/>
            <w:gridSpan w:val="3"/>
          </w:tcPr>
          <w:p>
            <w:pPr>
              <w:spacing w:after="0" w:line="123" w:lineRule="exact"/>
              <w:rPr>
                <w:sz w:val="20"/>
                <w:szCs w:val="20"/>
                <w:color w:val="auto"/>
              </w:rPr>
            </w:pPr>
            <w:r>
              <w:rPr>
                <w:rFonts w:ascii="Arial" w:cs="Arial" w:eastAsia="Arial" w:hAnsi="Arial"/>
                <w:sz w:val="14"/>
                <w:szCs w:val="14"/>
                <w:color w:val="auto"/>
              </w:rPr>
              <w:t>December 26,</w:t>
            </w:r>
          </w:p>
        </w:tc>
        <w:tc>
          <w:tcPr>
            <w:tcW w:w="118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December 27,</w:t>
            </w:r>
          </w:p>
        </w:tc>
        <w:tc>
          <w:tcPr>
            <w:tcW w:w="300" w:type="dxa"/>
            <w:vAlign w:val="bottom"/>
          </w:tcPr>
          <w:p>
            <w:pPr>
              <w:spacing w:after="0"/>
              <w:rPr>
                <w:sz w:val="10"/>
                <w:szCs w:val="10"/>
                <w:color w:val="auto"/>
              </w:rPr>
            </w:pPr>
          </w:p>
        </w:tc>
        <w:tc>
          <w:tcPr>
            <w:tcW w:w="820" w:type="dxa"/>
            <w:vAlign w:val="bottom"/>
            <w:gridSpan w:val="2"/>
          </w:tcPr>
          <w:p>
            <w:pPr>
              <w:spacing w:after="0" w:line="123" w:lineRule="exact"/>
              <w:rPr>
                <w:sz w:val="20"/>
                <w:szCs w:val="20"/>
                <w:color w:val="auto"/>
              </w:rPr>
            </w:pPr>
            <w:r>
              <w:rPr>
                <w:rFonts w:ascii="Arial" w:cs="Arial" w:eastAsia="Arial" w:hAnsi="Arial"/>
                <w:sz w:val="14"/>
                <w:szCs w:val="14"/>
                <w:color w:val="auto"/>
                <w:w w:val="90"/>
              </w:rPr>
              <w:t>December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2009</w:t>
            </w: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2008</w:t>
            </w: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discontinued operations: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00"/>
              <w:spacing w:after="0"/>
              <w:rPr>
                <w:sz w:val="20"/>
                <w:szCs w:val="20"/>
                <w:color w:val="auto"/>
              </w:rPr>
            </w:pPr>
            <w:r>
              <w:rPr>
                <w:rFonts w:ascii="Arial" w:cs="Arial" w:eastAsia="Arial" w:hAnsi="Arial"/>
                <w:sz w:val="18"/>
                <w:szCs w:val="18"/>
                <w:color w:val="auto"/>
              </w:rPr>
              <w:t>Cash used for operating activities of discontinued operations</w:t>
            </w:r>
          </w:p>
        </w:tc>
        <w:tc>
          <w:tcPr>
            <w:tcW w:w="128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(22)</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advances from continuing operations, net</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color w:val="auto"/>
              </w:rPr>
              <w:t>Decrease in cash and cash equivalents from discontinued operations</w:t>
            </w:r>
          </w:p>
        </w:tc>
        <w:tc>
          <w:tcPr>
            <w:tcW w:w="1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of discontinued operations at beginning of year</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color w:val="auto"/>
              </w:rPr>
              <w:t>Cash and cash equivalents of discontinued operations at end of year</w:t>
            </w:r>
          </w:p>
        </w:tc>
        <w:tc>
          <w:tcPr>
            <w:tcW w:w="1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Cash paid (refunded) during the year for:</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taxes</w:t>
            </w:r>
          </w:p>
        </w:tc>
        <w:tc>
          <w:tcPr>
            <w:tcW w:w="12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(4,201)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(262)</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Inventory capitalized as capital assets</w:t>
            </w:r>
          </w:p>
        </w:tc>
        <w:tc>
          <w:tcPr>
            <w:tcW w:w="128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578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855</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declared but not yet paid</w:t>
            </w:r>
          </w:p>
        </w:tc>
        <w:tc>
          <w:tcPr>
            <w:tcW w:w="12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1,410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1,398</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30" w:lineRule="exact"/>
        <w:rPr>
          <w:rFonts w:ascii="Arial" w:cs="Arial" w:eastAsia="Arial" w:hAnsi="Arial"/>
          <w:sz w:val="18"/>
          <w:szCs w:val="18"/>
          <w:b w:val="1"/>
          <w:bCs w:val="1"/>
          <w:color w:val="auto"/>
        </w:rPr>
      </w:pPr>
    </w:p>
    <w:p>
      <w:pPr>
        <w:ind w:left="260" w:right="80"/>
        <w:spacing w:after="0" w:line="298"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 Cohu, Inc. (“Cohu”, “we”, “our” and “us”), through our wholly owned subsidiaries, is a provider of semiconductor test</w:t>
      </w:r>
      <w:r>
        <w:rPr>
          <w:rFonts w:ascii="Arial" w:cs="Arial" w:eastAsia="Arial" w:hAnsi="Arial"/>
          <w:sz w:val="16"/>
          <w:szCs w:val="16"/>
          <w:b w:val="1"/>
          <w:bCs w:val="1"/>
          <w:color w:val="auto"/>
        </w:rPr>
        <w:t xml:space="preserve"> </w:t>
      </w:r>
      <w:r>
        <w:rPr>
          <w:rFonts w:ascii="Arial" w:cs="Arial" w:eastAsia="Arial" w:hAnsi="Arial"/>
          <w:sz w:val="16"/>
          <w:szCs w:val="16"/>
          <w:color w:val="auto"/>
        </w:rPr>
        <w:t>equipment, microwave communication systems and video cameras. Our Consolidated Financial Statements include the accounts of Cohu and our wholly owned subsidiaries. All significant intercompany balances and transactions have been eliminated in consolidation. The preparation of financial statements in conformity with accounting principles generally accepted in the United States of America (“GAAP”) requires management to make estimates and assumptions that affect the amounts reported in the financial statements and accompanying notes. Actual results could differ from these estimates.</w:t>
      </w:r>
    </w:p>
    <w:p>
      <w:pPr>
        <w:spacing w:after="0" w:line="63" w:lineRule="exact"/>
        <w:rPr>
          <w:rFonts w:ascii="Arial" w:cs="Arial" w:eastAsia="Arial" w:hAnsi="Arial"/>
          <w:sz w:val="18"/>
          <w:szCs w:val="18"/>
          <w:b w:val="1"/>
          <w:bCs w:val="1"/>
          <w:color w:val="auto"/>
        </w:rPr>
      </w:pPr>
    </w:p>
    <w:p>
      <w:pPr>
        <w:ind w:left="260" w:right="1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Our fiscal years are based on a 52- or 53-week period ending on the last Saturday in December. Our current fiscal year ended on December 26, 2009 and consisted of 52 weeks. Our fiscal years ended December 27, 2008 and December 29, 2007 also consisted of 52 weeks.</w:t>
      </w:r>
    </w:p>
    <w:p>
      <w:pPr>
        <w:spacing w:after="0" w:line="51" w:lineRule="exact"/>
        <w:rPr>
          <w:rFonts w:ascii="Arial" w:cs="Arial" w:eastAsia="Arial" w:hAnsi="Arial"/>
          <w:sz w:val="18"/>
          <w:szCs w:val="18"/>
          <w:b w:val="1"/>
          <w:bCs w:val="1"/>
          <w:color w:val="auto"/>
        </w:rPr>
      </w:pPr>
    </w:p>
    <w:p>
      <w:pPr>
        <w:ind w:left="260" w:right="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In preparing the accompanying consolidated financial statements, we have evaluated all subsequent events that occurred after December 26, 2009, for any financial statement accounting or disclosure impact, through February 23, 2010, the date our financial statements were issued.</w:t>
      </w:r>
    </w:p>
    <w:p>
      <w:pPr>
        <w:spacing w:after="0" w:line="47" w:lineRule="exact"/>
        <w:rPr>
          <w:rFonts w:ascii="Arial" w:cs="Arial" w:eastAsia="Arial" w:hAnsi="Arial"/>
          <w:sz w:val="18"/>
          <w:szCs w:val="18"/>
          <w:b w:val="1"/>
          <w:bCs w:val="1"/>
          <w:color w:val="auto"/>
        </w:rPr>
      </w:pPr>
    </w:p>
    <w:p>
      <w:pPr>
        <w:ind w:left="260" w:right="20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Risks and Uncertainties </w:t>
      </w:r>
      <w:r>
        <w:rPr>
          <w:rFonts w:ascii="Arial" w:cs="Arial" w:eastAsia="Arial" w:hAnsi="Arial"/>
          <w:sz w:val="18"/>
          <w:szCs w:val="18"/>
          <w:color w:val="auto"/>
        </w:rPr>
        <w:t>— We are subject to a number of risks and uncertainties that may significantly impact our future operating results. These risks</w:t>
      </w:r>
      <w:r>
        <w:rPr>
          <w:rFonts w:ascii="Arial" w:cs="Arial" w:eastAsia="Arial" w:hAnsi="Arial"/>
          <w:sz w:val="18"/>
          <w:szCs w:val="18"/>
          <w:b w:val="1"/>
          <w:bCs w:val="1"/>
          <w:color w:val="auto"/>
        </w:rPr>
        <w:t xml:space="preserve"> </w:t>
      </w:r>
      <w:r>
        <w:rPr>
          <w:rFonts w:ascii="Arial" w:cs="Arial" w:eastAsia="Arial" w:hAnsi="Arial"/>
          <w:sz w:val="18"/>
          <w:szCs w:val="18"/>
          <w:color w:val="auto"/>
        </w:rPr>
        <w:t>and uncertainties are discussed under Part I, Item 1A. “Risk Factors” included in this Annual Report on Form 10-K. Understanding these risks and uncertainties is integral to the review of our consolidated financial statements.</w:t>
      </w:r>
    </w:p>
    <w:p>
      <w:pPr>
        <w:spacing w:after="0" w:line="81" w:lineRule="exact"/>
        <w:rPr>
          <w:rFonts w:ascii="Arial" w:cs="Arial" w:eastAsia="Arial" w:hAnsi="Arial"/>
          <w:sz w:val="18"/>
          <w:szCs w:val="18"/>
          <w:b w:val="1"/>
          <w:bCs w:val="1"/>
          <w:color w:val="auto"/>
        </w:rPr>
      </w:pPr>
    </w:p>
    <w:p>
      <w:pPr>
        <w:ind w:left="260" w:right="60"/>
        <w:spacing w:after="0" w:line="298"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Income (Loss) Per Share </w:t>
      </w:r>
      <w:r>
        <w:rPr>
          <w:rFonts w:ascii="Arial" w:cs="Arial" w:eastAsia="Arial" w:hAnsi="Arial"/>
          <w:sz w:val="17"/>
          <w:szCs w:val="17"/>
          <w:color w:val="auto"/>
        </w:rPr>
        <w:t>— Basic income (loss) per common share is computed by dividing net income (loss) by the weighted-average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shares outstanding during the reporting period. Diluted income (loss) per share includes the dilutive effect of common shares potentially issuable upon the exercise of stock options, vesting of outstanding restricted stock units and issuance of stock under our employee stock purchase plan using the treasury stock method. In loss periods, potentially dilutive securities are excluded from the per share computations due to their anti-dilutive effect. For purposes of computing diluted income per share, stock options with exercise prices that exceed the average fair market value of our common stock for the period are excluded. For the year ended December 29, 2007 approximately 684,000 shares of our common stock were excluded from the computation The following table reconciles the denominators used in computing basic and diluted income (loss) per share: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700" w:type="dxa"/>
            <w:vAlign w:val="bottom"/>
          </w:tcPr>
          <w:p>
            <w:pPr>
              <w:jc w:val="right"/>
              <w:ind w:right="114"/>
              <w:spacing w:after="0"/>
              <w:rPr>
                <w:sz w:val="20"/>
                <w:szCs w:val="20"/>
                <w:color w:val="auto"/>
              </w:rPr>
            </w:pPr>
            <w:r>
              <w:rPr>
                <w:rFonts w:ascii="Arial" w:cs="Arial" w:eastAsia="Arial" w:hAnsi="Arial"/>
                <w:sz w:val="14"/>
                <w:szCs w:val="14"/>
                <w:color w:val="auto"/>
              </w:rPr>
              <w:t>2009</w:t>
            </w:r>
          </w:p>
        </w:tc>
        <w:tc>
          <w:tcPr>
            <w:tcW w:w="680" w:type="dxa"/>
            <w:vAlign w:val="bottom"/>
          </w:tcPr>
          <w:p>
            <w:pPr>
              <w:spacing w:after="0"/>
              <w:rPr>
                <w:sz w:val="15"/>
                <w:szCs w:val="15"/>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5"/>
                <w:szCs w:val="15"/>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380" w:type="dxa"/>
            <w:vAlign w:val="bottom"/>
            <w:tcBorders>
              <w:top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23,412</w:t>
            </w:r>
          </w:p>
        </w:tc>
        <w:tc>
          <w:tcPr>
            <w:tcW w:w="1360" w:type="dxa"/>
            <w:vAlign w:val="bottom"/>
            <w:tcBorders>
              <w:top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23,179</w:t>
            </w:r>
          </w:p>
        </w:tc>
        <w:tc>
          <w:tcPr>
            <w:tcW w:w="7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22,880</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Effect of dilutive stock options and restricted stock units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23,412</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23,179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23,270</w:t>
            </w: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220" w:right="220"/>
        <w:spacing w:after="0" w:line="272" w:lineRule="auto"/>
        <w:rPr>
          <w:sz w:val="20"/>
          <w:szCs w:val="20"/>
          <w:color w:val="auto"/>
        </w:rPr>
      </w:pPr>
      <w:r>
        <w:rPr>
          <w:rFonts w:ascii="Arial" w:cs="Arial" w:eastAsia="Arial" w:hAnsi="Arial"/>
          <w:sz w:val="17"/>
          <w:szCs w:val="17"/>
          <w:b w:val="1"/>
          <w:bCs w:val="1"/>
          <w:color w:val="auto"/>
        </w:rPr>
        <w:t xml:space="preserve">Cash, Cash Equivalents and Short-term Investments </w:t>
      </w:r>
      <w:r>
        <w:rPr>
          <w:rFonts w:ascii="Arial" w:cs="Arial" w:eastAsia="Arial" w:hAnsi="Arial"/>
          <w:sz w:val="17"/>
          <w:szCs w:val="17"/>
          <w:color w:val="auto"/>
        </w:rPr>
        <w:t>— Highly liquid investments with insignificant interest rate risk and original maturities of three</w:t>
      </w:r>
      <w:r>
        <w:rPr>
          <w:rFonts w:ascii="Arial" w:cs="Arial" w:eastAsia="Arial" w:hAnsi="Arial"/>
          <w:sz w:val="17"/>
          <w:szCs w:val="17"/>
          <w:b w:val="1"/>
          <w:bCs w:val="1"/>
          <w:color w:val="auto"/>
        </w:rPr>
        <w:t xml:space="preserve"> </w:t>
      </w:r>
      <w:r>
        <w:rPr>
          <w:rFonts w:ascii="Arial" w:cs="Arial" w:eastAsia="Arial" w:hAnsi="Arial"/>
          <w:sz w:val="17"/>
          <w:szCs w:val="17"/>
          <w:color w:val="auto"/>
        </w:rPr>
        <w:t>months or less are classified as cash and cash equivalents. Cash equivalents are comprised of money market funds, certificates of deposit and corporate debt securities. Investments with maturities greater than three months are classified as short-term investments. All of our short-term investments are classified as available-for-sale and are reported at fair value, with any unrealized gains and losses, net of tax, recorded as a separate component of accumulated other comprehensive income in stockholders’ equity. We manage our cash equivalents and short-term investments as a single portfolio of highly marketable securities. We have the ability and intent, if necessary, to liquidate any of our investments in order to meet the liquidity needs of our current operations during the next 12 months. Accordingly, investments with contractual maturities greater than one year from December 26, 2009 have been classified as current assets in the accompanying consolidated balance sheets.</w:t>
      </w:r>
    </w:p>
    <w:p>
      <w:pPr>
        <w:spacing w:after="0" w:line="78" w:lineRule="exact"/>
        <w:rPr>
          <w:sz w:val="20"/>
          <w:szCs w:val="20"/>
          <w:color w:val="auto"/>
        </w:rPr>
      </w:pPr>
    </w:p>
    <w:p>
      <w:pPr>
        <w:ind w:left="220" w:right="100"/>
        <w:spacing w:after="0" w:line="347" w:lineRule="auto"/>
        <w:rPr>
          <w:sz w:val="20"/>
          <w:szCs w:val="20"/>
          <w:color w:val="auto"/>
        </w:rPr>
      </w:pPr>
      <w:r>
        <w:rPr>
          <w:rFonts w:ascii="Arial" w:cs="Arial" w:eastAsia="Arial" w:hAnsi="Arial"/>
          <w:sz w:val="16"/>
          <w:szCs w:val="16"/>
          <w:b w:val="1"/>
          <w:bCs w:val="1"/>
          <w:color w:val="auto"/>
        </w:rPr>
        <w:t xml:space="preserve">Fair Value of Financial Instruments — </w:t>
      </w:r>
      <w:r>
        <w:rPr>
          <w:rFonts w:ascii="Arial" w:cs="Arial" w:eastAsia="Arial" w:hAnsi="Arial"/>
          <w:sz w:val="16"/>
          <w:szCs w:val="16"/>
          <w:color w:val="auto"/>
        </w:rPr>
        <w:t>The carrying amounts of our financial instruments, including cash and cash equivalents, short-term investments,</w:t>
      </w:r>
      <w:r>
        <w:rPr>
          <w:rFonts w:ascii="Arial" w:cs="Arial" w:eastAsia="Arial" w:hAnsi="Arial"/>
          <w:sz w:val="16"/>
          <w:szCs w:val="16"/>
          <w:b w:val="1"/>
          <w:bCs w:val="1"/>
          <w:color w:val="auto"/>
        </w:rPr>
        <w:t xml:space="preserve"> </w:t>
      </w:r>
      <w:r>
        <w:rPr>
          <w:rFonts w:ascii="Arial" w:cs="Arial" w:eastAsia="Arial" w:hAnsi="Arial"/>
          <w:sz w:val="16"/>
          <w:szCs w:val="16"/>
          <w:color w:val="auto"/>
        </w:rPr>
        <w:t>accounts receivable, accounts payable and accrued expenses, approximate fair value due to the short maturities of these financial instruments.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left="220"/>
        <w:spacing w:after="0" w:line="281" w:lineRule="auto"/>
        <w:rPr>
          <w:sz w:val="20"/>
          <w:szCs w:val="20"/>
          <w:color w:val="auto"/>
        </w:rPr>
      </w:pPr>
      <w:r>
        <w:rPr>
          <w:rFonts w:ascii="Arial" w:cs="Arial" w:eastAsia="Arial" w:hAnsi="Arial"/>
          <w:sz w:val="17"/>
          <w:szCs w:val="17"/>
          <w:b w:val="1"/>
          <w:bCs w:val="1"/>
          <w:color w:val="auto"/>
        </w:rPr>
        <w:t xml:space="preserve">Concentration of Credit Risk — </w:t>
      </w:r>
      <w:r>
        <w:rPr>
          <w:rFonts w:ascii="Arial" w:cs="Arial" w:eastAsia="Arial" w:hAnsi="Arial"/>
          <w:sz w:val="17"/>
          <w:szCs w:val="17"/>
          <w:color w:val="auto"/>
        </w:rPr>
        <w:t>Financial instruments that potentially subject us to significant credit risk consist principally of cash equivalents, short-term investments and trade accounts receivable. We invest in a variety of financial instruments and, by policy, limit the amount of credit exposure with any one issuer. Our customers include semiconductor manufacturers and semiconductor test subcontractors and other customers located throughout many areas of the world. We perform ongoing credit evaluations of our customers and generally require no collateral.</w:t>
      </w:r>
    </w:p>
    <w:p>
      <w:pPr>
        <w:spacing w:after="0" w:line="70" w:lineRule="exact"/>
        <w:rPr>
          <w:sz w:val="20"/>
          <w:szCs w:val="20"/>
          <w:color w:val="auto"/>
        </w:rPr>
      </w:pPr>
    </w:p>
    <w:p>
      <w:pPr>
        <w:ind w:left="220"/>
        <w:spacing w:after="0" w:line="274" w:lineRule="auto"/>
        <w:rPr>
          <w:sz w:val="20"/>
          <w:szCs w:val="20"/>
          <w:color w:val="auto"/>
        </w:rPr>
      </w:pPr>
      <w:r>
        <w:rPr>
          <w:rFonts w:ascii="Arial" w:cs="Arial" w:eastAsia="Arial" w:hAnsi="Arial"/>
          <w:sz w:val="17"/>
          <w:szCs w:val="17"/>
          <w:b w:val="1"/>
          <w:bCs w:val="1"/>
          <w:color w:val="auto"/>
        </w:rPr>
        <w:t xml:space="preserve">Inventories — </w:t>
      </w:r>
      <w:r>
        <w:rPr>
          <w:rFonts w:ascii="Arial" w:cs="Arial" w:eastAsia="Arial" w:hAnsi="Arial"/>
          <w:sz w:val="17"/>
          <w:szCs w:val="17"/>
          <w:color w:val="auto"/>
        </w:rPr>
        <w:t>Inventories are stated at the lower of cost, determined on a current average or first-in, first-out basis, or market. Cost includes labor,</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 and overhead costs. Determining market value of inventories involves numerous estimates and judgments including projecting average selling prices and sales volumes for future periods and costs to complete and dispose of inventory. As a result of these analyses, we record a charge to cost of sales in advance of the period when the inventory is sold when market values are below our costs. Charges to cost of sales for excess and obsolete inventories aggregated $4.4 million, $6.2 million, and $4.6 million in 2009, 2008 and 2007, respectively. During 2008 we sold certain inventory that was reserved in 2006 and our gross margin was favorably impacted by approximately $4.5 million.</w:t>
      </w:r>
    </w:p>
    <w:p>
      <w:pPr>
        <w:spacing w:after="0" w:line="79" w:lineRule="exact"/>
        <w:rPr>
          <w:sz w:val="20"/>
          <w:szCs w:val="20"/>
          <w:color w:val="auto"/>
        </w:rPr>
      </w:pPr>
    </w:p>
    <w:p>
      <w:pPr>
        <w:jc w:val="both"/>
        <w:ind w:left="220" w:right="140"/>
        <w:spacing w:after="0" w:line="266"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 Depreciation and amortization of property, plant and equipment is calculated principally on the straight-line method</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estimated useful lives of thirty to forty years for buildings, five to fifteen years for building improvements and three to ten years for machinery, equipment and software.</w:t>
      </w:r>
    </w:p>
    <w:p>
      <w:pPr>
        <w:spacing w:after="0" w:line="82" w:lineRule="exact"/>
        <w:rPr>
          <w:sz w:val="20"/>
          <w:szCs w:val="20"/>
          <w:color w:val="auto"/>
        </w:rPr>
      </w:pPr>
    </w:p>
    <w:p>
      <w:pPr>
        <w:ind w:left="220" w:right="20"/>
        <w:spacing w:after="0" w:line="255" w:lineRule="auto"/>
        <w:rPr>
          <w:sz w:val="20"/>
          <w:szCs w:val="20"/>
          <w:color w:val="auto"/>
        </w:rPr>
      </w:pPr>
      <w:r>
        <w:rPr>
          <w:rFonts w:ascii="Arial" w:cs="Arial" w:eastAsia="Arial" w:hAnsi="Arial"/>
          <w:sz w:val="18"/>
          <w:szCs w:val="18"/>
          <w:b w:val="1"/>
          <w:bCs w:val="1"/>
          <w:color w:val="auto"/>
        </w:rPr>
        <w:t xml:space="preserve">Goodwill, Purchased Intangible Assets and Other Long-lived Assets </w:t>
      </w:r>
      <w:r>
        <w:rPr>
          <w:rFonts w:ascii="Arial" w:cs="Arial" w:eastAsia="Arial" w:hAnsi="Arial"/>
          <w:sz w:val="18"/>
          <w:szCs w:val="18"/>
          <w:color w:val="auto"/>
        </w:rPr>
        <w:t>— We evaluate goodwill for impairment annually and when an event occurs or</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change that indicate that the carrying value may not be recoverable. We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estimated the fair values of our reporting units primarily using the income approach valuation methodology that includes the discounted cash flow method, taking into consideration the market approach and certain market multiples as a validation of the values derived using the discounted cash flow methodology. Forecasts of future cash flows are based on our best estimate of future net sales and operating expenses, based primarily on customer forecasts, industry trade organization data and general economic conditions.</w:t>
      </w:r>
    </w:p>
    <w:p>
      <w:pPr>
        <w:spacing w:after="0" w:line="9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conduct our annual impairment test as of October 1 of each year, and have determined there to be no impairment for any of the periods presented.</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were no events or circumstances from the date of our assessment through December 26, 2009 that would impact this conclusion.</w:t>
      </w:r>
    </w:p>
    <w:p>
      <w:pPr>
        <w:spacing w:after="0" w:line="116" w:lineRule="exact"/>
        <w:rPr>
          <w:sz w:val="20"/>
          <w:szCs w:val="20"/>
          <w:color w:val="auto"/>
        </w:rPr>
      </w:pPr>
    </w:p>
    <w:p>
      <w:pPr>
        <w:ind w:left="220" w:right="60"/>
        <w:spacing w:after="0" w:line="255" w:lineRule="auto"/>
        <w:rPr>
          <w:sz w:val="20"/>
          <w:szCs w:val="20"/>
          <w:color w:val="auto"/>
        </w:rPr>
      </w:pPr>
      <w:r>
        <w:rPr>
          <w:rFonts w:ascii="Arial" w:cs="Arial" w:eastAsia="Arial" w:hAnsi="Arial"/>
          <w:sz w:val="18"/>
          <w:szCs w:val="18"/>
          <w:color w:val="auto"/>
        </w:rPr>
        <w:t>Long-lived assets, other than goodwill,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assets carrying amount and estimated fair value.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left="220" w:right="40"/>
        <w:spacing w:after="0" w:line="298" w:lineRule="auto"/>
        <w:rPr>
          <w:sz w:val="20"/>
          <w:szCs w:val="20"/>
          <w:color w:val="auto"/>
        </w:rPr>
      </w:pPr>
      <w:r>
        <w:rPr>
          <w:rFonts w:ascii="Arial" w:cs="Arial" w:eastAsia="Arial" w:hAnsi="Arial"/>
          <w:sz w:val="16"/>
          <w:szCs w:val="16"/>
          <w:b w:val="1"/>
          <w:bCs w:val="1"/>
          <w:color w:val="auto"/>
        </w:rPr>
        <w:t xml:space="preserve">Product Warranty </w:t>
      </w:r>
      <w:r>
        <w:rPr>
          <w:rFonts w:ascii="Arial" w:cs="Arial" w:eastAsia="Arial" w:hAnsi="Arial"/>
          <w:sz w:val="16"/>
          <w:szCs w:val="16"/>
          <w:color w:val="auto"/>
        </w:rPr>
        <w:t>— Product warranty costs are accrued in the period sales are recognized. Our products are generally sold with standard warranty</w:t>
      </w:r>
      <w:r>
        <w:rPr>
          <w:rFonts w:ascii="Arial" w:cs="Arial" w:eastAsia="Arial" w:hAnsi="Arial"/>
          <w:sz w:val="16"/>
          <w:szCs w:val="16"/>
          <w:b w:val="1"/>
          <w:bCs w:val="1"/>
          <w:color w:val="auto"/>
        </w:rPr>
        <w:t xml:space="preserve"> </w:t>
      </w:r>
      <w:r>
        <w:rPr>
          <w:rFonts w:ascii="Arial" w:cs="Arial" w:eastAsia="Arial" w:hAnsi="Arial"/>
          <w:sz w:val="16"/>
          <w:szCs w:val="16"/>
          <w:color w:val="auto"/>
        </w:rPr>
        <w:t>periods, which differ by product, ranging from 12- to 36-months . Parts and labor are typically covered under the terms of the warranty agreement. Our warranty expense accruals are based on historical and estimated costs by product and configuration. From time-to-time we offer customers extended warranties beyond the standard warranty period. In those situations the revenue relating to the extended warranty is deferred at its estimated fair value and recognized on a straight-line basis over the contract period. Costs associated with our extended warranty contracts are expensed as incurred.</w:t>
      </w:r>
    </w:p>
    <w:p>
      <w:pPr>
        <w:spacing w:after="0" w:line="60" w:lineRule="exact"/>
        <w:rPr>
          <w:sz w:val="20"/>
          <w:szCs w:val="20"/>
          <w:color w:val="auto"/>
        </w:rPr>
      </w:pPr>
    </w:p>
    <w:p>
      <w:pPr>
        <w:ind w:left="220" w:right="100"/>
        <w:spacing w:after="0" w:line="274" w:lineRule="auto"/>
        <w:rPr>
          <w:sz w:val="20"/>
          <w:szCs w:val="20"/>
          <w:color w:val="auto"/>
        </w:rPr>
      </w:pPr>
      <w:r>
        <w:rPr>
          <w:rFonts w:ascii="Arial" w:cs="Arial" w:eastAsia="Arial" w:hAnsi="Arial"/>
          <w:sz w:val="17"/>
          <w:szCs w:val="17"/>
          <w:b w:val="1"/>
          <w:bCs w:val="1"/>
          <w:color w:val="auto"/>
        </w:rPr>
        <w:t xml:space="preserve">Income Taxes — </w:t>
      </w:r>
      <w:r>
        <w:rPr>
          <w:rFonts w:ascii="Arial" w:cs="Arial" w:eastAsia="Arial" w:hAnsi="Arial"/>
          <w:sz w:val="17"/>
          <w:szCs w:val="17"/>
          <w:color w:val="auto"/>
        </w:rPr>
        <w:t>We assess our income tax positions and record tax benefits for all years subject to examination based upon management’s evaluation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the facts, circumstances and information available at the reporting dates. For those tax positions where it is more-likely-than-not that a tax benefit will be sustained, we have recorded the largest amount of tax benefit with a greater than 50 percent likelihood of being realized upon ultimate settlement with a taxing authority that has full knowledge of all relevant information. For those income tax positions where it is not more-likely-than-not that a tax benefit will be sustained, no tax benefit has been recognized in the financial statements. Where applicable, associated interest has also been recognized and recorded, net of federal and state tax benefits, in income tax expense.</w:t>
      </w:r>
    </w:p>
    <w:p>
      <w:pPr>
        <w:spacing w:after="0" w:line="79" w:lineRule="exact"/>
        <w:rPr>
          <w:sz w:val="20"/>
          <w:szCs w:val="20"/>
          <w:color w:val="auto"/>
        </w:rPr>
      </w:pPr>
    </w:p>
    <w:p>
      <w:pPr>
        <w:ind w:left="220" w:right="200"/>
        <w:spacing w:after="0" w:line="313" w:lineRule="auto"/>
        <w:rPr>
          <w:sz w:val="20"/>
          <w:szCs w:val="20"/>
          <w:color w:val="auto"/>
        </w:rPr>
      </w:pPr>
      <w:r>
        <w:rPr>
          <w:rFonts w:ascii="Arial" w:cs="Arial" w:eastAsia="Arial" w:hAnsi="Arial"/>
          <w:sz w:val="17"/>
          <w:szCs w:val="17"/>
          <w:b w:val="1"/>
          <w:bCs w:val="1"/>
          <w:color w:val="auto"/>
        </w:rPr>
        <w:t xml:space="preserve">Contingencies and Litigation — </w:t>
      </w:r>
      <w:r>
        <w:rPr>
          <w:rFonts w:ascii="Arial" w:cs="Arial" w:eastAsia="Arial" w:hAnsi="Arial"/>
          <w:sz w:val="17"/>
          <w:szCs w:val="17"/>
          <w:color w:val="auto"/>
        </w:rPr>
        <w:t>We assess the probability of adverse judgments in connection with current and threatened litigation. We would accrue</w:t>
      </w:r>
      <w:r>
        <w:rPr>
          <w:rFonts w:ascii="Arial" w:cs="Arial" w:eastAsia="Arial" w:hAnsi="Arial"/>
          <w:sz w:val="17"/>
          <w:szCs w:val="17"/>
          <w:b w:val="1"/>
          <w:bCs w:val="1"/>
          <w:color w:val="auto"/>
        </w:rPr>
        <w:t xml:space="preserve"> </w:t>
      </w:r>
      <w:r>
        <w:rPr>
          <w:rFonts w:ascii="Arial" w:cs="Arial" w:eastAsia="Arial" w:hAnsi="Arial"/>
          <w:sz w:val="17"/>
          <w:szCs w:val="17"/>
          <w:color w:val="auto"/>
        </w:rPr>
        <w:t>the cost of an adverse judgment if, in our estimation, the adverse outcome is probable and we can reasonably estimate the ultimate cost.</w:t>
      </w:r>
    </w:p>
    <w:p>
      <w:pPr>
        <w:spacing w:after="0" w:line="44" w:lineRule="exact"/>
        <w:rPr>
          <w:sz w:val="20"/>
          <w:szCs w:val="20"/>
          <w:color w:val="auto"/>
        </w:rPr>
      </w:pPr>
    </w:p>
    <w:p>
      <w:pPr>
        <w:ind w:left="220"/>
        <w:spacing w:after="0" w:line="258"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Our net sales are derived from the sale of products and services and are adjusted for estimated returns and allowances, which</w:t>
      </w:r>
      <w:r>
        <w:rPr>
          <w:rFonts w:ascii="Arial" w:cs="Arial" w:eastAsia="Arial" w:hAnsi="Arial"/>
          <w:sz w:val="18"/>
          <w:szCs w:val="18"/>
          <w:b w:val="1"/>
          <w:bCs w:val="1"/>
          <w:color w:val="auto"/>
        </w:rPr>
        <w:t xml:space="preserve"> </w:t>
      </w:r>
      <w:r>
        <w:rPr>
          <w:rFonts w:ascii="Arial" w:cs="Arial" w:eastAsia="Arial" w:hAnsi="Arial"/>
          <w:sz w:val="18"/>
          <w:szCs w:val="18"/>
          <w:color w:val="auto"/>
        </w:rPr>
        <w:t>historically have been insignificant. We recognize revenue when there is persuasive evidence of an arrangement, title and risk of loss have passed, delivery has occurred or the services have been rendered, the sales price is fixed or determinable and collection of the related receivable is reasonably assured. Title and risk of loss generally pass to our customers upon shipment. In circumstances where either title or risk of loss pass upon destination or acceptance, we defer revenue recognition until such events occur.</w:t>
      </w:r>
    </w:p>
    <w:p>
      <w:pPr>
        <w:spacing w:after="0" w:line="93" w:lineRule="exact"/>
        <w:rPr>
          <w:sz w:val="20"/>
          <w:szCs w:val="20"/>
          <w:color w:val="auto"/>
        </w:rPr>
      </w:pPr>
    </w:p>
    <w:p>
      <w:pPr>
        <w:ind w:left="220"/>
        <w:spacing w:after="0" w:line="270" w:lineRule="auto"/>
        <w:rPr>
          <w:sz w:val="20"/>
          <w:szCs w:val="20"/>
          <w:color w:val="auto"/>
        </w:rPr>
      </w:pPr>
      <w:r>
        <w:rPr>
          <w:rFonts w:ascii="Arial" w:cs="Arial" w:eastAsia="Arial" w:hAnsi="Arial"/>
          <w:sz w:val="17"/>
          <w:szCs w:val="17"/>
          <w:color w:val="auto"/>
        </w:rPr>
        <w:t>Revenue for established products that have previously satisfied a customer’s acceptance requirements and provide for full payment tied to shipment is generally recognized upon shipment and passage of title. In certain instances, customer payment terms may provide that a minority portion (e.g. 20%) of the equipment purchase price be paid only upon customer acceptance. In those situations, the majority portion (e.g. 80%) of revenue where payment is tied to shipment and the entire product cost of sale are recognized upon shipment and passage of title and the minority portion of the purchase price related to customer acceptance is deferred and recognized upon receipt of customer acceptance. In cases where a prior history of customer acceptance cannot be demonstrated or from sales where customer payment dates are not determinable and in the case of new products, revenue is deferred until customer acceptance has been received. Our post-shipment obligations typically include installation and standard warranties. The estimated fair value of installation related revenue is recognized in the period the installation is performed. Service revenue is recognized ratably over the period of the related contract. Spares and kit revenue is generally recognized upon shipment.</w:t>
      </w:r>
    </w:p>
    <w:p>
      <w:pPr>
        <w:spacing w:after="0" w:line="87" w:lineRule="exact"/>
        <w:rPr>
          <w:sz w:val="20"/>
          <w:szCs w:val="20"/>
          <w:color w:val="auto"/>
        </w:rPr>
      </w:pPr>
    </w:p>
    <w:p>
      <w:pPr>
        <w:jc w:val="both"/>
        <w:ind w:left="220" w:right="160"/>
        <w:spacing w:after="0" w:line="259" w:lineRule="auto"/>
        <w:rPr>
          <w:sz w:val="20"/>
          <w:szCs w:val="20"/>
          <w:color w:val="auto"/>
        </w:rPr>
      </w:pPr>
      <w:r>
        <w:rPr>
          <w:rFonts w:ascii="Arial" w:cs="Arial" w:eastAsia="Arial" w:hAnsi="Arial"/>
          <w:sz w:val="18"/>
          <w:szCs w:val="18"/>
          <w:color w:val="auto"/>
        </w:rPr>
        <w:t>Certain of our equipment sales are accounted for as multiple-element arrangements. A multiple-element arrangement is a transaction which may involve the delivery or performance of multiple products, services, or rights to use assets, and performance may occur at different points in time or over different periods of time. For arrangements containing multiple elements, the revenue relating to the undelivered elements is deferred at estimated fair value until delivery of the deferred elements.</w:t>
      </w:r>
    </w:p>
    <w:p>
      <w:pPr>
        <w:spacing w:after="0" w:line="92" w:lineRule="exact"/>
        <w:rPr>
          <w:sz w:val="20"/>
          <w:szCs w:val="20"/>
          <w:color w:val="auto"/>
        </w:rPr>
      </w:pPr>
    </w:p>
    <w:p>
      <w:pPr>
        <w:ind w:left="220" w:right="300"/>
        <w:spacing w:after="0" w:line="257" w:lineRule="auto"/>
        <w:rPr>
          <w:sz w:val="20"/>
          <w:szCs w:val="20"/>
          <w:color w:val="auto"/>
        </w:rPr>
      </w:pPr>
      <w:r>
        <w:rPr>
          <w:rFonts w:ascii="Arial" w:cs="Arial" w:eastAsia="Arial" w:hAnsi="Arial"/>
          <w:sz w:val="18"/>
          <w:szCs w:val="18"/>
          <w:color w:val="auto"/>
        </w:rPr>
        <w:t>On shipments where sales are not recognized, gross profit is generally recorded as deferred profit in our consolidated balance sheet representing the difference between the receivable recorded and the inventory shipped. In certain instances where customer payments are received prior to product shipment, the customer’s payments are recorded as customer advances in our consolidated balance sheet. At December 26, 2009, we had total deferred revenue of approximately $20.2 million and deferred profit of $5.3 million. At December 27, 2008, we had total deferred revenue of approximately $6.7 million and deferred profit of $4.4 million.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Advertising Costs — </w:t>
      </w:r>
      <w:r>
        <w:rPr>
          <w:rFonts w:ascii="Arial" w:cs="Arial" w:eastAsia="Arial" w:hAnsi="Arial"/>
          <w:sz w:val="18"/>
          <w:szCs w:val="18"/>
          <w:color w:val="auto"/>
        </w:rPr>
        <w:t>Advertising costs are expensed as incurred and were not material for all periods presented.</w:t>
      </w:r>
    </w:p>
    <w:p>
      <w:pPr>
        <w:spacing w:after="0" w:line="131" w:lineRule="exact"/>
        <w:rPr>
          <w:sz w:val="20"/>
          <w:szCs w:val="20"/>
          <w:color w:val="auto"/>
        </w:rPr>
      </w:pPr>
    </w:p>
    <w:p>
      <w:pPr>
        <w:ind w:left="220" w:right="40"/>
        <w:spacing w:after="0" w:line="298" w:lineRule="auto"/>
        <w:rPr>
          <w:sz w:val="20"/>
          <w:szCs w:val="20"/>
          <w:color w:val="auto"/>
        </w:rPr>
      </w:pPr>
      <w:r>
        <w:rPr>
          <w:rFonts w:ascii="Arial" w:cs="Arial" w:eastAsia="Arial" w:hAnsi="Arial"/>
          <w:sz w:val="16"/>
          <w:szCs w:val="16"/>
          <w:b w:val="1"/>
          <w:bCs w:val="1"/>
          <w:color w:val="auto"/>
        </w:rPr>
        <w:t xml:space="preserve">Share-based Compensation </w:t>
      </w:r>
      <w:r>
        <w:rPr>
          <w:rFonts w:ascii="Arial" w:cs="Arial" w:eastAsia="Arial" w:hAnsi="Arial"/>
          <w:sz w:val="16"/>
          <w:szCs w:val="16"/>
          <w:color w:val="auto"/>
        </w:rPr>
        <w:t>— We measure and recognize all share-based compensation under the fair value method. Our estimate of share-based</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expense requires a number of complex and subjective assumptions including our stock price volatility, employee exercise patterns (expected life of the options), future forfeitures and related tax effects. The assumptions used in calculating the fair value of share-based awards represent our best estimates, but these estimates involve inherent uncertainties and the application of management judgment. Although we believe the assumptions and estimates we have made are reasonable and appropriate, changes in assumptions could materially impact our reported financial results.</w:t>
      </w:r>
    </w:p>
    <w:p>
      <w:pPr>
        <w:spacing w:after="0" w:line="60" w:lineRule="exact"/>
        <w:rPr>
          <w:sz w:val="20"/>
          <w:szCs w:val="20"/>
          <w:color w:val="auto"/>
        </w:rPr>
      </w:pPr>
    </w:p>
    <w:p>
      <w:pPr>
        <w:ind w:left="220"/>
        <w:spacing w:after="0" w:line="291" w:lineRule="auto"/>
        <w:rPr>
          <w:sz w:val="20"/>
          <w:szCs w:val="20"/>
          <w:color w:val="auto"/>
        </w:rPr>
      </w:pPr>
      <w:r>
        <w:rPr>
          <w:rFonts w:ascii="Arial" w:cs="Arial" w:eastAsia="Arial" w:hAnsi="Arial"/>
          <w:sz w:val="16"/>
          <w:szCs w:val="16"/>
          <w:b w:val="1"/>
          <w:bCs w:val="1"/>
          <w:color w:val="auto"/>
        </w:rPr>
        <w:t xml:space="preserve">Foreign Currency Translation — </w:t>
      </w:r>
      <w:r>
        <w:rPr>
          <w:rFonts w:ascii="Arial" w:cs="Arial" w:eastAsia="Arial" w:hAnsi="Arial"/>
          <w:sz w:val="16"/>
          <w:szCs w:val="16"/>
          <w:color w:val="auto"/>
        </w:rPr>
        <w:t>Assets and liabilities of those subsidiaries that use the U.S. dollar as their functional currency are translated using</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rates in effect at the end of the period, except for nonmonetary assets, such as inventories and property, plant and equipment, which are translated using historical exchange rates. Revenues and costs are translated using average exchange rates for the period, except for costs related to those balance sheet items that are translated using historical exchange rates. Gains and losses on foreign currency transactions are recognized as incurred. Our subsidiaries located in Germany, designated the Euro as their functional currency and, as a result, their assets and liabilities are translated at the rate of exchange at the balance sheet date, while revenue and expenses are translated using the average exchange rate for the period. Cumulative translation adjustments resulting from the translation of the financial statements are included as a separate component of stockholders’ equity. Foreign currency gains and losses were not significant in any period and are included in the consolidated statements of operations.</w:t>
      </w:r>
    </w:p>
    <w:p>
      <w:pPr>
        <w:spacing w:after="0" w:line="66" w:lineRule="exact"/>
        <w:rPr>
          <w:sz w:val="20"/>
          <w:szCs w:val="20"/>
          <w:color w:val="auto"/>
        </w:rPr>
      </w:pPr>
    </w:p>
    <w:p>
      <w:pPr>
        <w:ind w:left="220" w:right="40"/>
        <w:spacing w:after="0" w:line="282" w:lineRule="auto"/>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 In May 2006, we sold our metal detection equipment business, FRL. Subsequent to the sale, the operating results of FRL are</w:t>
      </w:r>
      <w:r>
        <w:rPr>
          <w:rFonts w:ascii="Arial" w:cs="Arial" w:eastAsia="Arial" w:hAnsi="Arial"/>
          <w:sz w:val="18"/>
          <w:szCs w:val="18"/>
          <w:b w:val="1"/>
          <w:bCs w:val="1"/>
          <w:color w:val="auto"/>
        </w:rPr>
        <w:t xml:space="preserve"> </w:t>
      </w:r>
      <w:r>
        <w:rPr>
          <w:rFonts w:ascii="Arial" w:cs="Arial" w:eastAsia="Arial" w:hAnsi="Arial"/>
          <w:sz w:val="18"/>
          <w:szCs w:val="18"/>
          <w:color w:val="auto"/>
        </w:rPr>
        <w:t>being presented as discontinued operations.</w:t>
      </w:r>
    </w:p>
    <w:p>
      <w:pPr>
        <w:spacing w:after="0" w:line="6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Recent Accounting Pronouncements</w:t>
      </w:r>
    </w:p>
    <w:p>
      <w:pPr>
        <w:spacing w:after="0" w:line="135" w:lineRule="exact"/>
        <w:rPr>
          <w:sz w:val="20"/>
          <w:szCs w:val="20"/>
          <w:color w:val="auto"/>
        </w:rPr>
      </w:pPr>
    </w:p>
    <w:p>
      <w:pPr>
        <w:ind w:left="220" w:right="180"/>
        <w:spacing w:after="0" w:line="293" w:lineRule="auto"/>
        <w:rPr>
          <w:sz w:val="20"/>
          <w:szCs w:val="20"/>
          <w:color w:val="auto"/>
        </w:rPr>
      </w:pPr>
      <w:r>
        <w:rPr>
          <w:rFonts w:ascii="Arial" w:cs="Arial" w:eastAsia="Arial" w:hAnsi="Arial"/>
          <w:sz w:val="16"/>
          <w:szCs w:val="16"/>
          <w:b w:val="1"/>
          <w:bCs w:val="1"/>
          <w:i w:val="1"/>
          <w:iCs w:val="1"/>
          <w:color w:val="auto"/>
        </w:rPr>
        <w:t xml:space="preserve">Recently Adopted Accounting Pronouncements </w:t>
      </w:r>
      <w:r>
        <w:rPr>
          <w:rFonts w:ascii="Arial" w:cs="Arial" w:eastAsia="Arial" w:hAnsi="Arial"/>
          <w:sz w:val="16"/>
          <w:szCs w:val="16"/>
          <w:color w:val="auto"/>
        </w:rPr>
        <w:t>— In June 2009, the Financial Accounting Standards Board (“FASB”) issued new accounting guidance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entitled, “The FASB Accounting Standards Codification and the Hierarchy of Generally Accepted Accounting Principles — a replacement of FASB Statement No. 162”, which identifies the sources of accounting principles and the framework for selecting the principles used in the preparation of financial statements of nongovernmental entities that are presented in conformity with GAAP. This new guidance is effective for financial statements issued for interim and annual periods ending after September 15, 2009. The adoption of this guidance has changed how we reference various elements of GAAP when preparing our financial statement disclosures, but did not have any impact on our financial position, results of operations or cash flows.</w:t>
      </w:r>
    </w:p>
    <w:p>
      <w:pPr>
        <w:spacing w:after="0" w:line="70" w:lineRule="exact"/>
        <w:rPr>
          <w:sz w:val="20"/>
          <w:szCs w:val="20"/>
          <w:color w:val="auto"/>
        </w:rPr>
      </w:pPr>
    </w:p>
    <w:p>
      <w:pPr>
        <w:ind w:left="220" w:right="80"/>
        <w:spacing w:after="0" w:line="302" w:lineRule="auto"/>
        <w:rPr>
          <w:sz w:val="20"/>
          <w:szCs w:val="20"/>
          <w:color w:val="auto"/>
        </w:rPr>
      </w:pPr>
      <w:r>
        <w:rPr>
          <w:rFonts w:ascii="Arial" w:cs="Arial" w:eastAsia="Arial" w:hAnsi="Arial"/>
          <w:sz w:val="16"/>
          <w:szCs w:val="16"/>
          <w:color w:val="auto"/>
        </w:rPr>
        <w:t>In May 2009, the FASB issued new accounting guidance on subsequent events. The objective of this guidance is to establish general standards of accounting for and disclosure of events that occur after the balance sheet date but before financial statements are issued or are available to be issued. This new accounting guidance was effective for interim and annual periods ending after June 15, 2009. The impact of adopting this new guidance had no effect on the accompanying condensed consolidated financial statements. See “Basis of Presentation” above for the related disclosures.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ind w:left="220" w:right="160"/>
        <w:spacing w:after="0" w:line="271" w:lineRule="auto"/>
        <w:rPr>
          <w:sz w:val="20"/>
          <w:szCs w:val="20"/>
          <w:color w:val="auto"/>
        </w:rPr>
      </w:pPr>
      <w:r>
        <w:rPr>
          <w:rFonts w:ascii="Arial" w:cs="Arial" w:eastAsia="Arial" w:hAnsi="Arial"/>
          <w:sz w:val="17"/>
          <w:szCs w:val="17"/>
          <w:color w:val="auto"/>
        </w:rPr>
        <w:t>In December 2007, the FASB issued new accounting guidance on business combinations which establishes principles and requirements for the reporting entity in a business combination, including recognition and measurement in the financial statements of the identifiable assets acquired, the liabilities assumed, and any non-controlling interest in the acquiree. This guidance also establishes disclosure requirements to enable financial statement users to evaluate the nature and financial effects of the business combination. These changes are effective on a prospective basis for all business combinations for which the acquisition date is on or after the beginning of the first annual reporting period beginning on or after December 15, 2008, and interim periods within those fiscal years. This guidance was effective for our fiscal year beginning in 2009 and we expect that it will have an impact on our consolidated financial statements, but the nature and magnitude of the specific effects will depend upon the nature, terms and size of the acquisitions we consummate subsequent to our adoption of the new guidance.</w:t>
      </w:r>
    </w:p>
    <w:p>
      <w:pPr>
        <w:spacing w:after="0" w:line="84" w:lineRule="exact"/>
        <w:rPr>
          <w:sz w:val="20"/>
          <w:szCs w:val="20"/>
          <w:color w:val="auto"/>
        </w:rPr>
      </w:pPr>
    </w:p>
    <w:p>
      <w:pPr>
        <w:ind w:left="220" w:right="140"/>
        <w:spacing w:after="0" w:line="312" w:lineRule="auto"/>
        <w:rPr>
          <w:sz w:val="20"/>
          <w:szCs w:val="20"/>
          <w:color w:val="auto"/>
        </w:rPr>
      </w:pPr>
      <w:r>
        <w:rPr>
          <w:rFonts w:ascii="Arial" w:cs="Arial" w:eastAsia="Arial" w:hAnsi="Arial"/>
          <w:sz w:val="16"/>
          <w:szCs w:val="16"/>
          <w:color w:val="auto"/>
        </w:rPr>
        <w:t>In February 2008, the FASB issued new accounting guidance on fair value measurements and disclosures for nonfinancial assets and nonfinancial liabilities disclosed at fair value in the financial statements on a recurring basis. We applied the provisions of this new guidance to our financial statement disclosures beginning in the first quarter of 2009. See Note 3, “Cash, Cash Equivalents and Short-Term Investments,” for additional information.</w:t>
      </w:r>
    </w:p>
    <w:p>
      <w:pPr>
        <w:spacing w:after="0" w:line="52" w:lineRule="exact"/>
        <w:rPr>
          <w:sz w:val="20"/>
          <w:szCs w:val="20"/>
          <w:color w:val="auto"/>
        </w:rPr>
      </w:pPr>
    </w:p>
    <w:p>
      <w:pPr>
        <w:ind w:left="220"/>
        <w:spacing w:after="0" w:line="297" w:lineRule="auto"/>
        <w:rPr>
          <w:sz w:val="20"/>
          <w:szCs w:val="20"/>
          <w:color w:val="auto"/>
        </w:rPr>
      </w:pPr>
      <w:r>
        <w:rPr>
          <w:rFonts w:ascii="Arial" w:cs="Arial" w:eastAsia="Arial" w:hAnsi="Arial"/>
          <w:sz w:val="16"/>
          <w:szCs w:val="16"/>
          <w:b w:val="1"/>
          <w:bCs w:val="1"/>
          <w:i w:val="1"/>
          <w:iCs w:val="1"/>
          <w:color w:val="auto"/>
        </w:rPr>
        <w:t xml:space="preserve">Recently Issued Accounting Standards </w:t>
      </w:r>
      <w:r>
        <w:rPr>
          <w:rFonts w:ascii="Arial" w:cs="Arial" w:eastAsia="Arial" w:hAnsi="Arial"/>
          <w:sz w:val="16"/>
          <w:szCs w:val="16"/>
          <w:color w:val="auto"/>
        </w:rPr>
        <w:t>— In June 2009, the FASB issued new accounting guidance on consolidation of variable interest entities,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 (1) the elimination of the exemption for qualifying special purpose entities, (2) a new approach for determining who should consolidate a variable-interest entity, and (3) changes to when it is necessary to reassess who should consolidate a variable-interest entity. This new guidance is effective as of the beginning of interim and annual reporting periods that begin after November 15, 2009, which for us would be December 27, 2009, the first day of our 2010 fiscal year and adoption of this new guidance is not expected to have a material impact on our consolidated financial position or results of operations.</w:t>
      </w:r>
    </w:p>
    <w:p>
      <w:pPr>
        <w:spacing w:after="0" w:line="64" w:lineRule="exact"/>
        <w:rPr>
          <w:sz w:val="20"/>
          <w:szCs w:val="20"/>
          <w:color w:val="auto"/>
        </w:rPr>
      </w:pPr>
    </w:p>
    <w:p>
      <w:pPr>
        <w:ind w:left="220" w:right="160"/>
        <w:spacing w:after="0" w:line="293" w:lineRule="auto"/>
        <w:rPr>
          <w:sz w:val="20"/>
          <w:szCs w:val="20"/>
          <w:color w:val="auto"/>
        </w:rPr>
      </w:pPr>
      <w:r>
        <w:rPr>
          <w:rFonts w:ascii="Arial" w:cs="Arial" w:eastAsia="Arial" w:hAnsi="Arial"/>
          <w:sz w:val="16"/>
          <w:szCs w:val="16"/>
          <w:color w:val="auto"/>
        </w:rPr>
        <w:t>In October 2009, the FASB amended the guidance for allocating revenue to multiple deliverables in a contract. This new guidance is effective as of the first day of our 2011 fiscal year, with early adoption permitted. In accordance with the amendment, companies can allocate consideration in a multiple element arrangement in a manner that better reflects the transaction economics. When vendor specific objective evidence or third party evidence for deliverables in an arrangement cannot be determined, companies will now be allowed to develop a best estimate of the selling price to separate deliverables and allocate arrangement consideration using the relative selling price method. Additionally, use of the residual method has been eliminated. Adoption of this new guidance is not expected to have a material impact on our consolidated financial position or results of operations.</w:t>
      </w:r>
    </w:p>
    <w:p>
      <w:pPr>
        <w:spacing w:after="0" w:line="70" w:lineRule="exact"/>
        <w:rPr>
          <w:sz w:val="20"/>
          <w:szCs w:val="20"/>
          <w:color w:val="auto"/>
        </w:rPr>
      </w:pPr>
    </w:p>
    <w:p>
      <w:pPr>
        <w:ind w:left="220" w:right="120"/>
        <w:spacing w:after="0" w:line="297" w:lineRule="auto"/>
        <w:rPr>
          <w:sz w:val="20"/>
          <w:szCs w:val="20"/>
          <w:color w:val="auto"/>
        </w:rPr>
      </w:pPr>
      <w:r>
        <w:rPr>
          <w:rFonts w:ascii="Arial" w:cs="Arial" w:eastAsia="Arial" w:hAnsi="Arial"/>
          <w:sz w:val="16"/>
          <w:szCs w:val="16"/>
          <w:color w:val="auto"/>
        </w:rPr>
        <w:t>In October 2009, the FASB issued new accounting guidance for the accounting for certain revenue arrangements that include software elements. The new guidance amends the scope of pre-existing software revenue guidance by removing from the guidance non-software components of tangible products and certain software components of tangible products. The new guidance will be effective prospectively for revenue arrangements entered into or materially modified in fiscal years beginning on or after June 15, 2010, and will be effective for us in the first quarter of fiscal year 2011, however early adoption is permitted. Adoption of this new guidance is not expected to have a material impact on our consolidated financial position or results of operations.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Strategic Technology Transactions, Goodwill and Purchased Intangible Assets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Rasco</w:t>
      </w:r>
    </w:p>
    <w:p>
      <w:pPr>
        <w:spacing w:after="0" w:line="131" w:lineRule="exact"/>
        <w:rPr>
          <w:sz w:val="20"/>
          <w:szCs w:val="20"/>
          <w:color w:val="auto"/>
        </w:rPr>
      </w:pPr>
    </w:p>
    <w:p>
      <w:pPr>
        <w:ind w:left="220" w:right="20"/>
        <w:spacing w:after="0" w:line="302" w:lineRule="auto"/>
        <w:rPr>
          <w:sz w:val="20"/>
          <w:szCs w:val="20"/>
          <w:color w:val="auto"/>
        </w:rPr>
      </w:pPr>
      <w:r>
        <w:rPr>
          <w:rFonts w:ascii="Arial" w:cs="Arial" w:eastAsia="Arial" w:hAnsi="Arial"/>
          <w:sz w:val="16"/>
          <w:szCs w:val="16"/>
          <w:color w:val="auto"/>
        </w:rPr>
        <w:t>On December 9, 2008, our wholly owned semiconductor equipment subsidiary, Delta Design, Inc., and certain subsidiaries of Delta acquired all of the outstanding share capital of Rasco GmbH, Rosenheim Automation Systems Corporation, and certain assets of Rasco Automation Asia (collectively “Rasco”). The results of Rasco’s operations have been included in our consolidated financial statements since that date. Rasco, develops, manufactures and sells gravity-feed and strip semiconductor test handlers used in final test operations by semiconductor manufacturers and test subcontractors.</w:t>
      </w:r>
    </w:p>
    <w:p>
      <w:pPr>
        <w:spacing w:after="0" w:line="60" w:lineRule="exact"/>
        <w:rPr>
          <w:sz w:val="20"/>
          <w:szCs w:val="20"/>
          <w:color w:val="auto"/>
        </w:rPr>
      </w:pPr>
    </w:p>
    <w:p>
      <w:pPr>
        <w:ind w:left="220" w:right="80"/>
        <w:spacing w:after="0" w:line="273" w:lineRule="auto"/>
        <w:rPr>
          <w:sz w:val="20"/>
          <w:szCs w:val="20"/>
          <w:color w:val="auto"/>
        </w:rPr>
      </w:pPr>
      <w:r>
        <w:rPr>
          <w:rFonts w:ascii="Arial" w:cs="Arial" w:eastAsia="Arial" w:hAnsi="Arial"/>
          <w:sz w:val="17"/>
          <w:szCs w:val="17"/>
          <w:color w:val="auto"/>
        </w:rPr>
        <w:t>The purchase price of this acquisition was approximately $81.6 million, and was funded primarily by cash reserves ($80.0 million), other acquisition costs ($1.6 million) and certain liabilities assumed ($18.6 million, which includes approximately $8.2 million of deferred tax liabilities and $3.7 million of contractual obligations to purchase inventory). The acquisition was considered a business and the total cost of the acquisition was allocated to the assets acquired and liabilities assumed based on their estimated respective fair values. The Rasco acquisition resulted in the recognition of goodwill of approximately $41.3 million. The acquisition was nontaxable and certain of the assets acquired, including goodwill and intangibles, will generally not be deductible for tax purposes. The goodwill has been assigned to our semiconductor equipment segment.</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The allocation of purchase price to the acquired assets and assumed liabilities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left="1136"/>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Fixed assets</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 (IPR&amp;D)</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100,280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Liabilities assumed</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(18,643)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vMerge w:val="restart"/>
          </w:tcPr>
          <w:p>
            <w:pPr>
              <w:ind w:left="200"/>
              <w:spacing w:after="0"/>
              <w:rPr>
                <w:sz w:val="20"/>
                <w:szCs w:val="20"/>
                <w:color w:val="auto"/>
              </w:rPr>
            </w:pPr>
            <w:r>
              <w:rPr>
                <w:rFonts w:ascii="Arial" w:cs="Arial" w:eastAsia="Arial" w:hAnsi="Arial"/>
                <w:sz w:val="18"/>
                <w:szCs w:val="18"/>
                <w:color w:val="auto"/>
              </w:rPr>
              <w:t xml:space="preserve">The allocation of the other intangible assets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6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gridSpan w:val="4"/>
          </w:tcPr>
          <w:p>
            <w:pPr>
              <w:jc w:val="center"/>
              <w:ind w:left="436"/>
              <w:spacing w:after="0"/>
              <w:rPr>
                <w:sz w:val="20"/>
                <w:szCs w:val="20"/>
                <w:color w:val="auto"/>
              </w:rPr>
            </w:pPr>
            <w:r>
              <w:rPr>
                <w:rFonts w:ascii="Arial" w:cs="Arial" w:eastAsia="Arial" w:hAnsi="Arial"/>
                <w:sz w:val="14"/>
                <w:szCs w:val="14"/>
                <w:color w:val="auto"/>
                <w:w w:val="92"/>
              </w:rPr>
              <w:t>Estimated Average</w:t>
            </w:r>
          </w:p>
        </w:tc>
        <w:tc>
          <w:tcPr>
            <w:tcW w:w="0" w:type="dxa"/>
            <w:vAlign w:val="bottom"/>
          </w:tcPr>
          <w:p>
            <w:pPr>
              <w:spacing w:after="0"/>
              <w:rPr>
                <w:sz w:val="1"/>
                <w:szCs w:val="1"/>
                <w:color w:val="auto"/>
              </w:rPr>
            </w:pPr>
          </w:p>
        </w:tc>
      </w:tr>
      <w:tr>
        <w:trPr>
          <w:trHeight w:val="174"/>
        </w:trPr>
        <w:tc>
          <w:tcPr>
            <w:tcW w:w="8660" w:type="dxa"/>
            <w:vAlign w:val="bottom"/>
            <w:gridSpan w:val="2"/>
          </w:tcPr>
          <w:p>
            <w:pPr>
              <w:spacing w:after="0"/>
              <w:rPr>
                <w:sz w:val="20"/>
                <w:szCs w:val="20"/>
                <w:color w:val="auto"/>
              </w:rPr>
            </w:pPr>
            <w:r>
              <w:rPr>
                <w:rFonts w:ascii="Arial" w:cs="Arial" w:eastAsia="Arial" w:hAnsi="Arial"/>
                <w:sz w:val="14"/>
                <w:szCs w:val="14"/>
                <w:color w:val="auto"/>
              </w:rPr>
              <w:t>Description</w:t>
            </w:r>
          </w:p>
        </w:tc>
        <w:tc>
          <w:tcPr>
            <w:tcW w:w="2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Fair Value</w:t>
            </w:r>
          </w:p>
        </w:tc>
        <w:tc>
          <w:tcPr>
            <w:tcW w:w="2060" w:type="dxa"/>
            <w:vAlign w:val="bottom"/>
            <w:gridSpan w:val="4"/>
          </w:tcPr>
          <w:p>
            <w:pPr>
              <w:jc w:val="center"/>
              <w:ind w:left="436"/>
              <w:spacing w:after="0"/>
              <w:rPr>
                <w:sz w:val="20"/>
                <w:szCs w:val="20"/>
                <w:color w:val="auto"/>
              </w:rPr>
            </w:pPr>
            <w:r>
              <w:rPr>
                <w:rFonts w:ascii="Arial" w:cs="Arial" w:eastAsia="Arial" w:hAnsi="Arial"/>
                <w:sz w:val="14"/>
                <w:szCs w:val="14"/>
                <w:color w:val="auto"/>
                <w:w w:val="97"/>
              </w:rPr>
              <w:t>Remaining Useful 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Unpatented complete technology</w:t>
            </w:r>
          </w:p>
        </w:tc>
        <w:tc>
          <w:tcPr>
            <w:tcW w:w="70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$ 26,300</w:t>
            </w:r>
          </w:p>
        </w:tc>
        <w:tc>
          <w:tcPr>
            <w:tcW w:w="2060" w:type="dxa"/>
            <w:vAlign w:val="bottom"/>
            <w:tcBorders>
              <w:top w:val="single" w:sz="8" w:color="auto"/>
            </w:tcBorders>
            <w:gridSpan w:val="4"/>
            <w:shd w:val="clear" w:color="auto" w:fill="CCEEFF"/>
          </w:tcPr>
          <w:p>
            <w:pPr>
              <w:jc w:val="center"/>
              <w:ind w:left="536"/>
              <w:spacing w:after="0"/>
              <w:rPr>
                <w:sz w:val="20"/>
                <w:szCs w:val="20"/>
                <w:color w:val="auto"/>
              </w:rPr>
            </w:pPr>
            <w:r>
              <w:rPr>
                <w:rFonts w:ascii="Arial" w:cs="Arial" w:eastAsia="Arial" w:hAnsi="Arial"/>
                <w:sz w:val="18"/>
                <w:szCs w:val="18"/>
                <w:color w:val="auto"/>
                <w:w w:val="88"/>
              </w:rPr>
              <w:t>7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4,860</w:t>
            </w:r>
          </w:p>
        </w:tc>
        <w:tc>
          <w:tcPr>
            <w:tcW w:w="2060" w:type="dxa"/>
            <w:vAlign w:val="bottom"/>
            <w:gridSpan w:val="4"/>
          </w:tcPr>
          <w:p>
            <w:pPr>
              <w:jc w:val="center"/>
              <w:ind w:left="536"/>
              <w:spacing w:after="0"/>
              <w:rPr>
                <w:sz w:val="20"/>
                <w:szCs w:val="20"/>
                <w:color w:val="auto"/>
              </w:rPr>
            </w:pPr>
            <w:r>
              <w:rPr>
                <w:rFonts w:ascii="Arial" w:cs="Arial" w:eastAsia="Arial" w:hAnsi="Arial"/>
                <w:sz w:val="18"/>
                <w:szCs w:val="18"/>
                <w:color w:val="auto"/>
                <w:w w:val="88"/>
              </w:rPr>
              <w:t>7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2,200</w:t>
            </w:r>
          </w:p>
        </w:tc>
        <w:tc>
          <w:tcPr>
            <w:tcW w:w="2060" w:type="dxa"/>
            <w:vAlign w:val="bottom"/>
            <w:gridSpan w:val="4"/>
            <w:shd w:val="clear" w:color="auto" w:fill="CCEEFF"/>
          </w:tcPr>
          <w:p>
            <w:pPr>
              <w:jc w:val="center"/>
              <w:ind w:left="556"/>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$ 33,360</w:t>
            </w:r>
          </w:p>
        </w:tc>
        <w:tc>
          <w:tcPr>
            <w:tcW w:w="20" w:type="dxa"/>
            <w:vAlign w:val="bottom"/>
            <w:tcBorders>
              <w:bottom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right="160"/>
        <w:spacing w:after="0" w:line="297" w:lineRule="auto"/>
        <w:rPr>
          <w:sz w:val="20"/>
          <w:szCs w:val="20"/>
          <w:color w:val="auto"/>
        </w:rPr>
      </w:pPr>
      <w:r>
        <w:rPr>
          <w:rFonts w:ascii="Arial" w:cs="Arial" w:eastAsia="Arial" w:hAnsi="Arial"/>
          <w:sz w:val="16"/>
          <w:szCs w:val="16"/>
          <w:color w:val="auto"/>
        </w:rPr>
        <w:t>As required by accounting guidance effective at the time acquisition was completed, the portion of the purchase price allocated to IPR&amp;D was expensed immediately upon the closing of the acquisition. The amount of the IPR&amp;D charge in our results of operations for the year ended December 27, 2008 differs from the amount presented above solely due to the strengthening of the Euro against the U.S. dollar. Fluctuations in the exchange rate of the Euro, the functional currency of Rasco, impact the U.S. dollar value of the goodwill and intangible assets in our consolidated financial statements and, as a result, the future gross carrying value and amortization of the acquired intangible assets may differ from the amounts presented herein.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Pro Forma Financial Information</w:t>
      </w:r>
    </w:p>
    <w:p>
      <w:pPr>
        <w:spacing w:after="0" w:line="131" w:lineRule="exact"/>
        <w:rPr>
          <w:sz w:val="20"/>
          <w:szCs w:val="20"/>
          <w:color w:val="auto"/>
        </w:rPr>
      </w:pPr>
    </w:p>
    <w:p>
      <w:pPr>
        <w:ind w:left="220" w:right="80"/>
        <w:spacing w:after="0" w:line="276" w:lineRule="auto"/>
        <w:rPr>
          <w:sz w:val="20"/>
          <w:szCs w:val="20"/>
          <w:color w:val="auto"/>
        </w:rPr>
      </w:pPr>
      <w:r>
        <w:rPr>
          <w:rFonts w:ascii="Arial" w:cs="Arial" w:eastAsia="Arial" w:hAnsi="Arial"/>
          <w:sz w:val="17"/>
          <w:szCs w:val="17"/>
          <w:color w:val="auto"/>
        </w:rPr>
        <w:t>The unaudited financial information in the table below summarizes the combined results of operations of Cohu and Rasco on a pro forma basis, as though the companies had been combined as of the beginning of each of the periods presented. The pro forma financial information is presented for informational purposes only and is not indicative of the results of operations that would have been achieved if the acquisition had taken place at the beginning of each of the periods presented. The pro forma financial information for all periods presented also includes adjustments to, amortization charges for acquired intangible assets, adjustments to interest income, and related tax effects.</w:t>
      </w:r>
    </w:p>
    <w:p>
      <w:pPr>
        <w:spacing w:after="0" w:line="78" w:lineRule="exact"/>
        <w:rPr>
          <w:sz w:val="20"/>
          <w:szCs w:val="20"/>
          <w:color w:val="auto"/>
        </w:rPr>
      </w:pPr>
    </w:p>
    <w:p>
      <w:pPr>
        <w:ind w:left="220" w:right="340"/>
        <w:spacing w:after="0" w:line="259" w:lineRule="auto"/>
        <w:rPr>
          <w:sz w:val="20"/>
          <w:szCs w:val="20"/>
          <w:color w:val="auto"/>
        </w:rPr>
      </w:pPr>
      <w:r>
        <w:rPr>
          <w:rFonts w:ascii="Arial" w:cs="Arial" w:eastAsia="Arial" w:hAnsi="Arial"/>
          <w:sz w:val="18"/>
          <w:szCs w:val="18"/>
          <w:color w:val="auto"/>
        </w:rPr>
        <w:t>The pro forma financial information for the twelve months ended December 27, 2008 combines our results for that period, which include the results of Rasco subsequent to December 9, 2008, the date of acquisition. The pro forma financial information for the twelve months ended December 29, 2007 combines our historical results for that period with the historical results of Rasco. The following table summarizes the unaudited pro forma financial information: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5"/>
          </w:tcPr>
          <w:p>
            <w:pPr>
              <w:ind w:left="280"/>
              <w:spacing w:after="0"/>
              <w:rPr>
                <w:sz w:val="20"/>
                <w:szCs w:val="20"/>
                <w:color w:val="auto"/>
              </w:rPr>
            </w:pPr>
            <w:r>
              <w:rPr>
                <w:rFonts w:ascii="Arial" w:cs="Arial" w:eastAsia="Arial" w:hAnsi="Arial"/>
                <w:sz w:val="14"/>
                <w:szCs w:val="14"/>
                <w:color w:val="auto"/>
              </w:rPr>
              <w:t>Twelve Months Ended</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5"/>
          </w:tcPr>
          <w:p>
            <w:pPr>
              <w:jc w:val="center"/>
              <w:ind w:left="394"/>
              <w:spacing w:after="0" w:line="149" w:lineRule="exact"/>
              <w:rPr>
                <w:sz w:val="20"/>
                <w:szCs w:val="20"/>
                <w:color w:val="auto"/>
              </w:rPr>
            </w:pPr>
            <w:r>
              <w:rPr>
                <w:rFonts w:ascii="Arial" w:cs="Arial" w:eastAsia="Arial" w:hAnsi="Arial"/>
                <w:sz w:val="14"/>
                <w:szCs w:val="14"/>
                <w:color w:val="auto"/>
                <w:w w:val="90"/>
              </w:rPr>
              <w:t>December 27,</w:t>
            </w: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4"/>
          </w:tcPr>
          <w:p>
            <w:pPr>
              <w:jc w:val="center"/>
              <w:ind w:left="394"/>
              <w:spacing w:after="0" w:line="149" w:lineRule="exact"/>
              <w:rPr>
                <w:sz w:val="20"/>
                <w:szCs w:val="20"/>
                <w:color w:val="auto"/>
              </w:rPr>
            </w:pPr>
            <w:r>
              <w:rPr>
                <w:rFonts w:ascii="Arial" w:cs="Arial" w:eastAsia="Arial" w:hAnsi="Arial"/>
                <w:sz w:val="14"/>
                <w:szCs w:val="14"/>
                <w:color w:val="auto"/>
                <w:w w:val="90"/>
              </w:rPr>
              <w:t>December 29,</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4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2008</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2007</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4"/>
          </w:tcPr>
          <w:p>
            <w:pPr>
              <w:spacing w:after="0" w:line="142" w:lineRule="exact"/>
              <w:rPr>
                <w:sz w:val="20"/>
                <w:szCs w:val="20"/>
                <w:color w:val="auto"/>
              </w:rPr>
            </w:pPr>
            <w:r>
              <w:rPr>
                <w:rFonts w:ascii="Arial" w:cs="Arial" w:eastAsia="Arial" w:hAnsi="Arial"/>
                <w:sz w:val="14"/>
                <w:szCs w:val="14"/>
                <w:color w:val="auto"/>
              </w:rPr>
              <w:t>As Reported</w:t>
            </w:r>
          </w:p>
        </w:tc>
        <w:tc>
          <w:tcPr>
            <w:tcW w:w="54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6"/>
              </w:rPr>
              <w:t>Pro Forma</w:t>
            </w:r>
          </w:p>
        </w:tc>
        <w:tc>
          <w:tcPr>
            <w:tcW w:w="680" w:type="dxa"/>
            <w:vAlign w:val="bottom"/>
          </w:tcPr>
          <w:p>
            <w:pPr>
              <w:spacing w:after="0"/>
              <w:rPr>
                <w:sz w:val="12"/>
                <w:szCs w:val="12"/>
                <w:color w:val="auto"/>
              </w:rPr>
            </w:pPr>
          </w:p>
        </w:tc>
        <w:tc>
          <w:tcPr>
            <w:tcW w:w="820" w:type="dxa"/>
            <w:vAlign w:val="bottom"/>
            <w:gridSpan w:val="3"/>
          </w:tcPr>
          <w:p>
            <w:pPr>
              <w:spacing w:after="0" w:line="142" w:lineRule="exact"/>
              <w:rPr>
                <w:sz w:val="20"/>
                <w:szCs w:val="20"/>
                <w:color w:val="auto"/>
              </w:rPr>
            </w:pPr>
            <w:r>
              <w:rPr>
                <w:rFonts w:ascii="Arial" w:cs="Arial" w:eastAsia="Arial" w:hAnsi="Arial"/>
                <w:sz w:val="14"/>
                <w:szCs w:val="14"/>
                <w:color w:val="auto"/>
              </w:rPr>
              <w:t>As Reported</w:t>
            </w:r>
          </w:p>
        </w:tc>
        <w:tc>
          <w:tcPr>
            <w:tcW w:w="58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6"/>
              </w:rPr>
              <w:t>Pro Forma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199,659</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242,761</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241,389</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287,242</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Net income (loss) from continuing operations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(5,443</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c>
          <w:tcPr>
            <w:tcW w:w="5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(5,003</w:t>
            </w:r>
          </w:p>
        </w:tc>
        <w:tc>
          <w:tcPr>
            <w:tcW w:w="680" w:type="dxa"/>
            <w:vAlign w:val="bottom"/>
          </w:tcPr>
          <w:p>
            <w:pPr>
              <w:jc w:val="right"/>
              <w:ind w:right="54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8,021</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 from continuing operations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Diluted net income (loss) per share from continuing operations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c>
          <w:tcPr>
            <w:tcW w:w="5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(0.22</w:t>
            </w:r>
          </w:p>
        </w:tc>
        <w:tc>
          <w:tcPr>
            <w:tcW w:w="680" w:type="dxa"/>
            <w:vAlign w:val="bottom"/>
          </w:tcPr>
          <w:p>
            <w:pPr>
              <w:jc w:val="right"/>
              <w:ind w:right="5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0.34</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Tandberg Television AVS GmbH</w:t>
      </w:r>
    </w:p>
    <w:p>
      <w:pPr>
        <w:spacing w:after="0" w:line="131" w:lineRule="exact"/>
        <w:rPr>
          <w:sz w:val="20"/>
          <w:szCs w:val="20"/>
          <w:color w:val="auto"/>
        </w:rPr>
      </w:pPr>
    </w:p>
    <w:p>
      <w:pPr>
        <w:ind w:left="220" w:right="300"/>
        <w:spacing w:after="0" w:line="259" w:lineRule="auto"/>
        <w:rPr>
          <w:sz w:val="20"/>
          <w:szCs w:val="20"/>
          <w:color w:val="auto"/>
        </w:rPr>
      </w:pPr>
      <w:r>
        <w:rPr>
          <w:rFonts w:ascii="Arial" w:cs="Arial" w:eastAsia="Arial" w:hAnsi="Arial"/>
          <w:sz w:val="18"/>
          <w:szCs w:val="18"/>
          <w:color w:val="auto"/>
        </w:rPr>
        <w:t>On March 30, 2007, we purchased Tandberg Television AVS GmbH (“AVS”). The results of AVS’ operations have been included in our consolidated financial statements since that date. AVS develops, manufactures and sells digital microwave transmitters, receivers and communications systems. This acquisition expanded our digital microwave communications solutions, especially in high definition broadcast television and public safety and law enforcement applications.</w:t>
      </w:r>
    </w:p>
    <w:p>
      <w:pPr>
        <w:spacing w:after="0" w:line="92" w:lineRule="exact"/>
        <w:rPr>
          <w:sz w:val="20"/>
          <w:szCs w:val="20"/>
          <w:color w:val="auto"/>
        </w:rPr>
      </w:pPr>
    </w:p>
    <w:p>
      <w:pPr>
        <w:ind w:left="220" w:right="60"/>
        <w:spacing w:after="0" w:line="297" w:lineRule="auto"/>
        <w:rPr>
          <w:sz w:val="20"/>
          <w:szCs w:val="20"/>
          <w:color w:val="auto"/>
        </w:rPr>
      </w:pPr>
      <w:r>
        <w:rPr>
          <w:rFonts w:ascii="Arial" w:cs="Arial" w:eastAsia="Arial" w:hAnsi="Arial"/>
          <w:sz w:val="16"/>
          <w:szCs w:val="16"/>
          <w:color w:val="auto"/>
        </w:rPr>
        <w:t>The purchase price of this acquisition was approximately $8.2 million, and was funded primarily by our cash reserves ($8.0 million), other acquisition costs ($0.2 million) and certain AVS liabilities assumed ($2.3 million). The acquisition was considered a business and the total cost of the acquisition was allocated to the assets acquired and liabilities assumed based on their estimated respective fair values. The acquisition was nontaxable and certain of the assets acquired, including goodwill and intangibles, will not be deductible for tax purposes. The goodwill was assigned to our microwave communications segment. Pro forma results of operations have not been presented because the effect of the acquisition was not material.</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7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9340" w:type="dxa"/>
            <w:vAlign w:val="bottom"/>
            <w:gridSpan w:val="3"/>
          </w:tcPr>
          <w:p>
            <w:pPr>
              <w:spacing w:after="0"/>
              <w:rPr>
                <w:sz w:val="20"/>
                <w:szCs w:val="20"/>
                <w:color w:val="auto"/>
              </w:rPr>
            </w:pPr>
            <w:r>
              <w:rPr>
                <w:rFonts w:ascii="Arial" w:cs="Arial" w:eastAsia="Arial" w:hAnsi="Arial"/>
                <w:sz w:val="18"/>
                <w:szCs w:val="18"/>
                <w:b w:val="1"/>
                <w:bCs w:val="1"/>
                <w:color w:val="auto"/>
              </w:rPr>
              <w:t>COHU, INC.</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340" w:type="dxa"/>
            <w:vAlign w:val="bottom"/>
            <w:gridSpan w:val="3"/>
          </w:tcPr>
          <w:p>
            <w:pPr>
              <w:spacing w:after="0"/>
              <w:rPr>
                <w:sz w:val="20"/>
                <w:szCs w:val="20"/>
                <w:color w:val="auto"/>
              </w:rPr>
            </w:pPr>
            <w:r>
              <w:rPr>
                <w:rFonts w:ascii="Arial" w:cs="Arial" w:eastAsia="Arial" w:hAnsi="Arial"/>
                <w:sz w:val="18"/>
                <w:szCs w:val="18"/>
                <w:b w:val="1"/>
                <w:bCs w:val="1"/>
                <w:color w:val="auto"/>
              </w:rPr>
              <w:t>NOTES TO CONSOLIDATED FINANCIAL STATEMENTS</w:t>
            </w: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320" w:type="dxa"/>
            <w:vAlign w:val="bottom"/>
            <w:gridSpan w:val="2"/>
          </w:tcPr>
          <w:p>
            <w:pPr>
              <w:ind w:left="200"/>
              <w:spacing w:after="0"/>
              <w:rPr>
                <w:sz w:val="20"/>
                <w:szCs w:val="20"/>
                <w:color w:val="auto"/>
              </w:rPr>
            </w:pPr>
            <w:r>
              <w:rPr>
                <w:rFonts w:ascii="Arial" w:cs="Arial" w:eastAsia="Arial" w:hAnsi="Arial"/>
                <w:sz w:val="18"/>
                <w:szCs w:val="18"/>
                <w:color w:val="auto"/>
              </w:rPr>
              <w:t xml:space="preserve">The allocation of purchase price to the acquired assets and assumed liabilities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Fixed assets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Liabilities assumed</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220"/>
        <w:spacing w:after="0" w:line="286" w:lineRule="auto"/>
        <w:rPr>
          <w:sz w:val="20"/>
          <w:szCs w:val="20"/>
          <w:color w:val="auto"/>
        </w:rPr>
      </w:pPr>
      <w:r>
        <w:rPr>
          <w:rFonts w:ascii="Arial" w:cs="Arial" w:eastAsia="Arial" w:hAnsi="Arial"/>
          <w:sz w:val="17"/>
          <w:szCs w:val="17"/>
          <w:color w:val="auto"/>
        </w:rPr>
        <w:t>Amounts allocated to intangible assets are being amortized on a straight-line basis over their useful lives of four years. Fluctuations in the exchange rate of the Euro, the functional currency of AVS, impact the U.S. dollar value of the goodwill and intangible assets in our consolidated financial statements and, as a result, future amortization of the acquired intangible assets may differ from the amounts presented herein.</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Goodwill and Purchased Intangible Assets</w:t>
      </w:r>
    </w:p>
    <w:p>
      <w:pPr>
        <w:spacing w:after="0" w:line="131" w:lineRule="exact"/>
        <w:rPr>
          <w:sz w:val="20"/>
          <w:szCs w:val="20"/>
          <w:color w:val="auto"/>
        </w:rPr>
      </w:pPr>
    </w:p>
    <w:p>
      <w:pPr>
        <w:ind w:left="220" w:right="260"/>
        <w:spacing w:after="0" w:line="277" w:lineRule="auto"/>
        <w:rPr>
          <w:sz w:val="20"/>
          <w:szCs w:val="20"/>
          <w:color w:val="auto"/>
        </w:rPr>
      </w:pPr>
      <w:r>
        <w:rPr>
          <w:rFonts w:ascii="Arial" w:cs="Arial" w:eastAsia="Arial" w:hAnsi="Arial"/>
          <w:sz w:val="18"/>
          <w:szCs w:val="18"/>
          <w:color w:val="auto"/>
        </w:rPr>
        <w:t>Changes in the carrying value of goodwill by reportable segment during the years ended December 26, 2009 and December 27, 2008 was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5"/>
          </w:tcPr>
          <w:p>
            <w:pPr>
              <w:jc w:val="right"/>
              <w:ind w:right="320"/>
              <w:spacing w:after="0"/>
              <w:rPr>
                <w:sz w:val="20"/>
                <w:szCs w:val="20"/>
                <w:color w:val="auto"/>
              </w:rPr>
            </w:pPr>
            <w:r>
              <w:rPr>
                <w:rFonts w:ascii="Arial" w:cs="Arial" w:eastAsia="Arial" w:hAnsi="Arial"/>
                <w:sz w:val="14"/>
                <w:szCs w:val="14"/>
                <w:color w:val="auto"/>
              </w:rPr>
              <w:t>Semiconductor</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4"/>
                <w:szCs w:val="14"/>
                <w:color w:val="auto"/>
                <w:w w:val="98"/>
              </w:rPr>
              <w:t>Microwave</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color w:val="auto"/>
                <w:w w:val="92"/>
              </w:rPr>
              <w:t>Equipment</w:t>
            </w:r>
          </w:p>
        </w:tc>
        <w:tc>
          <w:tcPr>
            <w:tcW w:w="16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color w:val="auto"/>
              </w:rPr>
              <w:t>Communications</w:t>
            </w: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color w:val="auto"/>
              </w:rPr>
              <w:t>Goodwill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29, 2007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12,898</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3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$ 16,377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41,336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Impact of currency exchange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3,201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(94)</w:t>
            </w:r>
          </w:p>
        </w:tc>
        <w:tc>
          <w:tcPr>
            <w:tcW w:w="2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3,107</w:t>
            </w: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Balance, December 27, 2008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57,435</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3,385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Impact of currency exchange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883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26, 2009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58,318</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3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$ 61,764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gridSpan w:val="5"/>
            <w:vMerge w:val="restart"/>
          </w:tcPr>
          <w:p>
            <w:pPr>
              <w:ind w:left="200"/>
              <w:spacing w:after="0"/>
              <w:rPr>
                <w:sz w:val="20"/>
                <w:szCs w:val="20"/>
                <w:color w:val="auto"/>
              </w:rPr>
            </w:pPr>
            <w:r>
              <w:rPr>
                <w:rFonts w:ascii="Arial" w:cs="Arial" w:eastAsia="Arial" w:hAnsi="Arial"/>
                <w:sz w:val="18"/>
                <w:szCs w:val="18"/>
                <w:color w:val="auto"/>
                <w:w w:val="95"/>
              </w:rPr>
              <w:t xml:space="preserve">Our purchased intangible assets, subject to amortization, were as follows </w:t>
            </w:r>
            <w:r>
              <w:rPr>
                <w:rFonts w:ascii="Arial" w:cs="Arial" w:eastAsia="Arial" w:hAnsi="Arial"/>
                <w:sz w:val="18"/>
                <w:szCs w:val="18"/>
                <w:i w:val="1"/>
                <w:iCs w:val="1"/>
                <w:color w:val="auto"/>
                <w:w w:val="95"/>
              </w:rPr>
              <w:t>(in thousands)</w:t>
            </w:r>
            <w:r>
              <w:rPr>
                <w:rFonts w:ascii="Arial" w:cs="Arial" w:eastAsia="Arial" w:hAnsi="Arial"/>
                <w:sz w:val="18"/>
                <w:szCs w:val="18"/>
                <w:color w:val="auto"/>
                <w:w w:val="95"/>
              </w:rPr>
              <w:t>:</w:t>
            </w: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6960" w:type="dxa"/>
            <w:vAlign w:val="bottom"/>
            <w:gridSpan w:val="5"/>
            <w:vMerge w:val="continue"/>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5"/>
          </w:tcPr>
          <w:p>
            <w:pPr>
              <w:jc w:val="right"/>
              <w:spacing w:after="0"/>
              <w:rPr>
                <w:sz w:val="20"/>
                <w:szCs w:val="20"/>
                <w:color w:val="auto"/>
              </w:rPr>
            </w:pPr>
            <w:r>
              <w:rPr>
                <w:rFonts w:ascii="Arial" w:cs="Arial" w:eastAsia="Arial" w:hAnsi="Arial"/>
                <w:sz w:val="14"/>
                <w:szCs w:val="14"/>
                <w:color w:val="auto"/>
              </w:rPr>
              <w:t>December 26, 2009</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7"/>
          </w:tcPr>
          <w:p>
            <w:pPr>
              <w:ind w:left="460"/>
              <w:spacing w:after="0"/>
              <w:rPr>
                <w:sz w:val="20"/>
                <w:szCs w:val="20"/>
                <w:color w:val="auto"/>
              </w:rPr>
            </w:pPr>
            <w:r>
              <w:rPr>
                <w:rFonts w:ascii="Arial" w:cs="Arial" w:eastAsia="Arial" w:hAnsi="Arial"/>
                <w:sz w:val="14"/>
                <w:szCs w:val="14"/>
                <w:color w:val="auto"/>
              </w:rPr>
              <w:t>December 27, 2008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w w:val="91"/>
              </w:rPr>
              <w:t>Gross Carrying</w:t>
            </w:r>
          </w:p>
        </w:tc>
        <w:tc>
          <w:tcPr>
            <w:tcW w:w="520" w:type="dxa"/>
            <w:vAlign w:val="bottom"/>
          </w:tcPr>
          <w:p>
            <w:pPr>
              <w:spacing w:after="0"/>
              <w:rPr>
                <w:sz w:val="12"/>
                <w:szCs w:val="12"/>
                <w:color w:val="auto"/>
              </w:rPr>
            </w:pPr>
          </w:p>
        </w:tc>
        <w:tc>
          <w:tcPr>
            <w:tcW w:w="120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Accumulated</w:t>
            </w:r>
          </w:p>
        </w:tc>
        <w:tc>
          <w:tcPr>
            <w:tcW w:w="320" w:type="dxa"/>
            <w:vAlign w:val="bottom"/>
          </w:tcPr>
          <w:p>
            <w:pPr>
              <w:spacing w:after="0"/>
              <w:rPr>
                <w:sz w:val="12"/>
                <w:szCs w:val="12"/>
                <w:color w:val="auto"/>
              </w:rPr>
            </w:pPr>
          </w:p>
        </w:tc>
        <w:tc>
          <w:tcPr>
            <w:tcW w:w="1280" w:type="dxa"/>
            <w:vAlign w:val="bottom"/>
            <w:gridSpan w:val="4"/>
          </w:tcPr>
          <w:p>
            <w:pPr>
              <w:spacing w:after="0" w:line="149" w:lineRule="exact"/>
              <w:rPr>
                <w:sz w:val="20"/>
                <w:szCs w:val="20"/>
                <w:color w:val="auto"/>
              </w:rPr>
            </w:pPr>
            <w:r>
              <w:rPr>
                <w:rFonts w:ascii="Arial" w:cs="Arial" w:eastAsia="Arial" w:hAnsi="Arial"/>
                <w:sz w:val="14"/>
                <w:szCs w:val="14"/>
                <w:color w:val="auto"/>
              </w:rPr>
              <w:t>Gross Carrying</w:t>
            </w:r>
          </w:p>
        </w:tc>
        <w:tc>
          <w:tcPr>
            <w:tcW w:w="1120" w:type="dxa"/>
            <w:vAlign w:val="bottom"/>
            <w:gridSpan w:val="4"/>
          </w:tcPr>
          <w:p>
            <w:pPr>
              <w:ind w:left="260"/>
              <w:spacing w:after="0" w:line="149" w:lineRule="exact"/>
              <w:rPr>
                <w:sz w:val="20"/>
                <w:szCs w:val="20"/>
                <w:color w:val="auto"/>
              </w:rPr>
            </w:pPr>
            <w:r>
              <w:rPr>
                <w:rFonts w:ascii="Arial" w:cs="Arial" w:eastAsia="Arial" w:hAnsi="Arial"/>
                <w:sz w:val="14"/>
                <w:szCs w:val="14"/>
                <w:color w:val="auto"/>
              </w:rPr>
              <w:t>Accumulated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Amount</w:t>
            </w:r>
          </w:p>
        </w:tc>
        <w:tc>
          <w:tcPr>
            <w:tcW w:w="520" w:type="dxa"/>
            <w:vAlign w:val="bottom"/>
          </w:tcPr>
          <w:p>
            <w:pPr>
              <w:spacing w:after="0"/>
              <w:rPr>
                <w:sz w:val="14"/>
                <w:szCs w:val="14"/>
                <w:color w:val="auto"/>
              </w:rPr>
            </w:pPr>
          </w:p>
        </w:tc>
        <w:tc>
          <w:tcPr>
            <w:tcW w:w="1200" w:type="dxa"/>
            <w:vAlign w:val="bottom"/>
            <w:gridSpan w:val="4"/>
          </w:tcPr>
          <w:p>
            <w:pPr>
              <w:jc w:val="right"/>
              <w:ind w:right="320"/>
              <w:spacing w:after="0"/>
              <w:rPr>
                <w:sz w:val="20"/>
                <w:szCs w:val="20"/>
                <w:color w:val="auto"/>
              </w:rPr>
            </w:pPr>
            <w:r>
              <w:rPr>
                <w:rFonts w:ascii="Arial" w:cs="Arial" w:eastAsia="Arial" w:hAnsi="Arial"/>
                <w:sz w:val="14"/>
                <w:szCs w:val="14"/>
                <w:color w:val="auto"/>
              </w:rPr>
              <w:t>Amortization</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right"/>
              <w:ind w:right="600"/>
              <w:spacing w:after="0"/>
              <w:rPr>
                <w:sz w:val="20"/>
                <w:szCs w:val="20"/>
                <w:color w:val="auto"/>
              </w:rPr>
            </w:pPr>
            <w:r>
              <w:rPr>
                <w:rFonts w:ascii="Arial" w:cs="Arial" w:eastAsia="Arial" w:hAnsi="Arial"/>
                <w:sz w:val="14"/>
                <w:szCs w:val="14"/>
                <w:color w:val="auto"/>
              </w:rPr>
              <w:t>Amount</w:t>
            </w:r>
          </w:p>
        </w:tc>
        <w:tc>
          <w:tcPr>
            <w:tcW w:w="1120" w:type="dxa"/>
            <w:vAlign w:val="bottom"/>
            <w:gridSpan w:val="4"/>
          </w:tcPr>
          <w:p>
            <w:pPr>
              <w:ind w:left="260"/>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Unigen technology</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w:t>
            </w: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5,358</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7,020</w:t>
            </w:r>
          </w:p>
        </w:tc>
        <w:tc>
          <w:tcPr>
            <w:tcW w:w="320" w:type="dxa"/>
            <w:vAlign w:val="bottom"/>
            <w:shd w:val="clear" w:color="auto" w:fill="CCEEFF"/>
          </w:tcPr>
          <w:p>
            <w:pPr>
              <w:spacing w:after="0"/>
              <w:rPr>
                <w:sz w:val="18"/>
                <w:szCs w:val="18"/>
                <w:color w:val="auto"/>
              </w:rPr>
            </w:pPr>
          </w:p>
        </w:tc>
        <w:tc>
          <w:tcPr>
            <w:tcW w:w="380" w:type="dxa"/>
            <w:vAlign w:val="bottom"/>
            <w:tcBorders>
              <w:right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AVS technology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2,365</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1,611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2,309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Rasco technology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35,257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4,679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34,433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44,642</w:t>
            </w:r>
          </w:p>
        </w:tc>
        <w:tc>
          <w:tcPr>
            <w:tcW w:w="20" w:type="dxa"/>
            <w:vAlign w:val="bottom"/>
            <w:tcBorders>
              <w:bottom w:val="single" w:sz="8" w:color="auto"/>
            </w:tcBorders>
          </w:tcPr>
          <w:p>
            <w:pPr>
              <w:spacing w:after="0"/>
              <w:rPr>
                <w:sz w:val="19"/>
                <w:szCs w:val="19"/>
                <w:color w:val="auto"/>
              </w:rPr>
            </w:pPr>
          </w:p>
        </w:tc>
        <w:tc>
          <w:tcPr>
            <w:tcW w:w="640" w:type="dxa"/>
            <w:vAlign w:val="bottom"/>
            <w:gridSpan w:val="2"/>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11,648</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43,762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right="720"/>
        <w:spacing w:after="0" w:line="277" w:lineRule="auto"/>
        <w:rPr>
          <w:sz w:val="20"/>
          <w:szCs w:val="20"/>
          <w:color w:val="auto"/>
        </w:rPr>
      </w:pPr>
      <w:r>
        <w:rPr>
          <w:rFonts w:ascii="Arial" w:cs="Arial" w:eastAsia="Arial" w:hAnsi="Arial"/>
          <w:sz w:val="18"/>
          <w:szCs w:val="18"/>
          <w:color w:val="auto"/>
        </w:rPr>
        <w:t>The amounts included in the table above for the years ended December 26, 2009 and December 27, 2008 exclude approximately $2.5 million and $2.4 million, respectively, related to the Rasco trade name which has an indefinite life and is not being amortized.</w:t>
      </w:r>
    </w:p>
    <w:p>
      <w:pPr>
        <w:spacing w:after="0" w:line="76" w:lineRule="exact"/>
        <w:rPr>
          <w:sz w:val="20"/>
          <w:szCs w:val="20"/>
          <w:color w:val="auto"/>
        </w:rPr>
      </w:pPr>
    </w:p>
    <w:p>
      <w:pPr>
        <w:jc w:val="both"/>
        <w:ind w:left="220" w:right="340"/>
        <w:spacing w:after="0" w:line="264" w:lineRule="auto"/>
        <w:rPr>
          <w:sz w:val="20"/>
          <w:szCs w:val="20"/>
          <w:color w:val="auto"/>
        </w:rPr>
      </w:pPr>
      <w:r>
        <w:rPr>
          <w:rFonts w:ascii="Arial" w:cs="Arial" w:eastAsia="Arial" w:hAnsi="Arial"/>
          <w:sz w:val="18"/>
          <w:szCs w:val="18"/>
          <w:color w:val="auto"/>
        </w:rPr>
        <w:t>Expense related to purchased intangible assets, subject to amortization, was approximately $6.3 million in 2009 and was $2.5 million in both 2008 and 2007. As of December 26, 2009, we expect amortization expense in future periods to be as follows: 2010 — $6,420,000; 2011 — $4,911,000; 2012 — $4,408,000; 2013 — $4,408,000; 2014 — $4,408,000; and thereafter $8,439,000.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Cash Equivalents and Short-term Investments</w:t>
      </w:r>
    </w:p>
    <w:p>
      <w:pPr>
        <w:spacing w:after="0" w:line="121" w:lineRule="exact"/>
        <w:rPr>
          <w:sz w:val="20"/>
          <w:szCs w:val="20"/>
          <w:color w:val="auto"/>
        </w:rPr>
      </w:pPr>
    </w:p>
    <w:p>
      <w:pPr>
        <w:ind w:left="220" w:right="260"/>
        <w:spacing w:after="0" w:line="286" w:lineRule="auto"/>
        <w:rPr>
          <w:sz w:val="20"/>
          <w:szCs w:val="20"/>
          <w:color w:val="auto"/>
        </w:rPr>
      </w:pPr>
      <w:r>
        <w:rPr>
          <w:rFonts w:ascii="Arial" w:cs="Arial" w:eastAsia="Arial" w:hAnsi="Arial"/>
          <w:sz w:val="17"/>
          <w:szCs w:val="17"/>
          <w:color w:val="auto"/>
        </w:rPr>
        <w:t>As of December 26, 2009 and December 27, 2008 our cash, cash equivalents, and short-term investments consisted primarily of cash, corporate debt securities, government and government agency securities, money market funds and other investment grade securities. Such amounts are recorded at fair value. Investments that we have classified as short-term, by security type, are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U.S. Treasury securities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Corporate debt securities </w:t>
      </w:r>
      <w:r>
        <w:rPr>
          <w:rFonts w:ascii="Arial" w:cs="Arial" w:eastAsia="Arial" w:hAnsi="Arial"/>
          <w:sz w:val="15"/>
          <w:szCs w:val="15"/>
          <w:color w:val="auto"/>
        </w:rPr>
        <w:t>(2)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Municipal securities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Government-sponsered enterprise securities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Bank certificates of deposit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Asset-backed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Bank certificates of deposit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Asset-backed securities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Corporate debt securities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13036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2240"/>
        <w:spacing w:after="0"/>
        <w:rPr>
          <w:sz w:val="20"/>
          <w:szCs w:val="20"/>
          <w:color w:val="auto"/>
        </w:rPr>
      </w:pPr>
      <w:r>
        <w:rPr>
          <w:rFonts w:ascii="Arial" w:cs="Arial" w:eastAsia="Arial" w:hAnsi="Arial"/>
          <w:sz w:val="14"/>
          <w:szCs w:val="14"/>
          <w:color w:val="auto"/>
        </w:rPr>
        <w:t>2009</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ind w:left="40"/>
              <w:spacing w:after="0" w:line="123" w:lineRule="exact"/>
              <w:rPr>
                <w:sz w:val="20"/>
                <w:szCs w:val="20"/>
                <w:color w:val="auto"/>
              </w:rPr>
            </w:pPr>
            <w:r>
              <w:rPr>
                <w:rFonts w:ascii="Arial" w:cs="Arial" w:eastAsia="Arial" w:hAnsi="Arial"/>
                <w:sz w:val="14"/>
                <w:szCs w:val="14"/>
                <w:color w:val="auto"/>
              </w:rPr>
              <w:t>Gross</w:t>
            </w:r>
          </w:p>
        </w:tc>
        <w:tc>
          <w:tcPr>
            <w:tcW w:w="5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ind w:right="440"/>
              <w:spacing w:after="0" w:line="123" w:lineRule="exact"/>
              <w:rPr>
                <w:sz w:val="20"/>
                <w:szCs w:val="20"/>
                <w:color w:val="auto"/>
              </w:rPr>
            </w:pPr>
            <w:r>
              <w:rPr>
                <w:rFonts w:ascii="Arial" w:cs="Arial" w:eastAsia="Arial" w:hAnsi="Arial"/>
                <w:sz w:val="14"/>
                <w:szCs w:val="14"/>
                <w:color w:val="auto"/>
                <w:w w:val="90"/>
              </w:rPr>
              <w:t>Gross</w:t>
            </w: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3"/>
              </w:rPr>
              <w:t>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8"/>
              </w:rPr>
              <w:t>Amortized</w:t>
            </w:r>
          </w:p>
        </w:tc>
        <w:tc>
          <w:tcPr>
            <w:tcW w:w="68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Unrealized</w:t>
            </w:r>
          </w:p>
        </w:tc>
        <w:tc>
          <w:tcPr>
            <w:tcW w:w="58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Unrealized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9"/>
              </w:rPr>
              <w:t>Fair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color w:val="auto"/>
                <w:w w:val="90"/>
              </w:rPr>
              <w:t>Cost</w:t>
            </w: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Gains</w:t>
            </w: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color w:val="auto"/>
                <w:w w:val="88"/>
              </w:rPr>
              <w:t xml:space="preserve">Losses </w:t>
            </w:r>
            <w:r>
              <w:rPr>
                <w:rFonts w:ascii="Arial" w:cs="Arial" w:eastAsia="Arial" w:hAnsi="Arial"/>
                <w:sz w:val="12"/>
                <w:szCs w:val="12"/>
                <w:color w:val="auto"/>
                <w:w w:val="88"/>
              </w:rPr>
              <w:t>(1)</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jc w:val="right"/>
              <w:ind w:right="3"/>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5,492</w:t>
            </w:r>
          </w:p>
        </w:tc>
        <w:tc>
          <w:tcPr>
            <w:tcW w:w="20" w:type="dxa"/>
            <w:vAlign w:val="bottom"/>
          </w:tcPr>
          <w:p>
            <w:pPr>
              <w:spacing w:after="0"/>
              <w:rPr>
                <w:sz w:val="18"/>
                <w:szCs w:val="18"/>
                <w:color w:val="auto"/>
              </w:rPr>
            </w:pPr>
          </w:p>
        </w:tc>
        <w:tc>
          <w:tcPr>
            <w:tcW w:w="800" w:type="dxa"/>
            <w:vAlign w:val="bottom"/>
            <w:gridSpan w:val="2"/>
          </w:tcPr>
          <w:p>
            <w:pPr>
              <w:ind w:left="6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24,055</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24,150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9,045</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4,262</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1,500</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2,147</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46,501</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$ 46,659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vMerge w:val="restart"/>
          </w:tcPr>
          <w:p>
            <w:pPr>
              <w:jc w:val="right"/>
              <w:ind w:right="136"/>
              <w:spacing w:after="0"/>
              <w:rPr>
                <w:sz w:val="20"/>
                <w:szCs w:val="20"/>
                <w:color w:val="auto"/>
              </w:rPr>
            </w:pPr>
            <w:r>
              <w:rPr>
                <w:rFonts w:ascii="Arial" w:cs="Arial" w:eastAsia="Arial" w:hAnsi="Arial"/>
                <w:sz w:val="14"/>
                <w:szCs w:val="14"/>
                <w:color w:val="auto"/>
              </w:rPr>
              <w:t>2008</w:t>
            </w: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ind w:left="40"/>
              <w:spacing w:after="0" w:line="123" w:lineRule="exact"/>
              <w:rPr>
                <w:sz w:val="20"/>
                <w:szCs w:val="20"/>
                <w:color w:val="auto"/>
              </w:rPr>
            </w:pPr>
            <w:r>
              <w:rPr>
                <w:rFonts w:ascii="Arial" w:cs="Arial" w:eastAsia="Arial" w:hAnsi="Arial"/>
                <w:sz w:val="14"/>
                <w:szCs w:val="14"/>
                <w:color w:val="auto"/>
              </w:rPr>
              <w:t>Gross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440"/>
              <w:spacing w:after="0" w:line="123" w:lineRule="exact"/>
              <w:rPr>
                <w:sz w:val="20"/>
                <w:szCs w:val="20"/>
                <w:color w:val="auto"/>
              </w:rPr>
            </w:pPr>
            <w:r>
              <w:rPr>
                <w:rFonts w:ascii="Arial" w:cs="Arial" w:eastAsia="Arial" w:hAnsi="Arial"/>
                <w:sz w:val="14"/>
                <w:szCs w:val="14"/>
                <w:color w:val="auto"/>
                <w:w w:val="90"/>
              </w:rPr>
              <w:t>Gross</w:t>
            </w:r>
          </w:p>
        </w:tc>
        <w:tc>
          <w:tcPr>
            <w:tcW w:w="340" w:type="dxa"/>
            <w:vAlign w:val="bottom"/>
          </w:tcPr>
          <w:p>
            <w:pPr>
              <w:spacing w:after="0"/>
              <w:rPr>
                <w:sz w:val="10"/>
                <w:szCs w:val="10"/>
                <w:color w:val="auto"/>
              </w:rPr>
            </w:pPr>
          </w:p>
        </w:tc>
        <w:tc>
          <w:tcPr>
            <w:tcW w:w="6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3"/>
              </w:rPr>
              <w:t>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8"/>
              </w:rPr>
              <w:t>Amortized</w:t>
            </w:r>
          </w:p>
        </w:tc>
        <w:tc>
          <w:tcPr>
            <w:tcW w:w="68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Unrealized</w:t>
            </w:r>
          </w:p>
        </w:tc>
        <w:tc>
          <w:tcPr>
            <w:tcW w:w="58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Unrealized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9"/>
              </w:rPr>
              <w:t>Fair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color w:val="auto"/>
                <w:w w:val="90"/>
              </w:rPr>
              <w:t>Cost</w:t>
            </w: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Gains</w:t>
            </w: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color w:val="auto"/>
                <w:w w:val="90"/>
              </w:rPr>
              <w:t>Losses</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jc w:val="right"/>
              <w:ind w:right="3"/>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3,000</w:t>
            </w:r>
          </w:p>
        </w:tc>
        <w:tc>
          <w:tcPr>
            <w:tcW w:w="20" w:type="dxa"/>
            <w:vAlign w:val="bottom"/>
          </w:tcPr>
          <w:p>
            <w:pPr>
              <w:spacing w:after="0"/>
              <w:rPr>
                <w:sz w:val="18"/>
                <w:szCs w:val="18"/>
                <w:color w:val="auto"/>
              </w:rPr>
            </w:pPr>
          </w:p>
        </w:tc>
        <w:tc>
          <w:tcPr>
            <w:tcW w:w="800" w:type="dxa"/>
            <w:vAlign w:val="bottom"/>
            <w:gridSpan w:val="2"/>
          </w:tcPr>
          <w:p>
            <w:pPr>
              <w:ind w:left="68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17,329</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270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17,059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38,402</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315</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38,121</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8"/>
              </w:rPr>
              <w:t>58,731</w:t>
            </w: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$ 58,191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-2143125</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-1868805</wp:posOffset>
            </wp:positionV>
            <wp:extent cx="72466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-1594485</wp:posOffset>
            </wp:positionV>
            <wp:extent cx="72466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-1303020</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-591185</wp:posOffset>
            </wp:positionV>
            <wp:extent cx="72466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-316865</wp:posOffset>
            </wp:positionV>
            <wp:extent cx="72466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20" w:space="720"/>
            <w:col w:w="4880"/>
          </w:cols>
          <w:pgMar w:left="240" w:top="419" w:right="239" w:bottom="1440" w:gutter="0" w:footer="0" w:header="0"/>
          <w:type w:val="continuous"/>
        </w:sectPr>
      </w:pPr>
    </w:p>
    <w:p>
      <w:pPr>
        <w:spacing w:after="0" w:line="177" w:lineRule="exact"/>
        <w:rPr>
          <w:sz w:val="20"/>
          <w:szCs w:val="20"/>
          <w:color w:val="auto"/>
        </w:rPr>
      </w:pPr>
    </w:p>
    <w:p>
      <w:pPr>
        <w:ind w:left="460" w:right="180" w:hanging="452"/>
        <w:spacing w:after="0" w:line="286"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As of December 26, 2009, the cost and fair value of investments with loss positions was approximately $4.1 million. We evaluated the nature of these investments, credit worthiness of the issuer and the duration of these impairments to determine if an other-than-temporary decline in fair value had occurred and concluded that these losses were temporary and we have the ability and intent to hold these investments to maturity.</w:t>
      </w:r>
    </w:p>
    <w:p>
      <w:pPr>
        <w:spacing w:after="0" w:line="16" w:lineRule="exact"/>
        <w:rPr>
          <w:rFonts w:ascii="Arial" w:cs="Arial" w:eastAsia="Arial" w:hAnsi="Arial"/>
          <w:sz w:val="17"/>
          <w:szCs w:val="17"/>
          <w:color w:val="auto"/>
        </w:rPr>
      </w:pPr>
    </w:p>
    <w:p>
      <w:pPr>
        <w:ind w:left="460" w:right="200" w:hanging="452"/>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Corporate debt securities include investments in financial, insurance, and other corporate institutions. No single issuer represents a significant portion of the total corporate debt securities portfolio.</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Contractual maturities of short-term investments at December 26, 2009,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4"/>
                <w:szCs w:val="14"/>
                <w:color w:val="auto"/>
                <w:w w:val="98"/>
              </w:rPr>
              <w:t>Amortized</w:t>
            </w:r>
          </w:p>
        </w:tc>
        <w:tc>
          <w:tcPr>
            <w:tcW w:w="34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74"/>
        </w:trPr>
        <w:tc>
          <w:tcPr>
            <w:tcW w:w="48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4"/>
                <w:szCs w:val="14"/>
                <w:color w:val="auto"/>
              </w:rPr>
              <w:t>Cost</w:t>
            </w:r>
          </w:p>
        </w:tc>
        <w:tc>
          <w:tcPr>
            <w:tcW w:w="340" w:type="dxa"/>
            <w:vAlign w:val="bottom"/>
          </w:tcPr>
          <w:p>
            <w:pPr>
              <w:spacing w:after="0"/>
              <w:rPr>
                <w:sz w:val="15"/>
                <w:szCs w:val="15"/>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4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29,809</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29,887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Due after one year through two years</w:t>
            </w:r>
          </w:p>
        </w:tc>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14,545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14,594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 not due at a single maturity date</w:t>
            </w:r>
          </w:p>
        </w:tc>
        <w:tc>
          <w:tcPr>
            <w:tcW w:w="4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2,147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46,501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46,659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440" w:type="dxa"/>
            <w:vAlign w:val="bottom"/>
            <w:vMerge w:val="restart"/>
          </w:tcPr>
          <w:p>
            <w:pPr>
              <w:jc w:val="right"/>
              <w:ind w:right="3390"/>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20" w:type="dxa"/>
            <w:vAlign w:val="bottom"/>
            <w:tcBorders>
              <w:bottom w:val="single" w:sz="8" w:color="808080"/>
            </w:tcBorders>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ind w:left="220" w:right="480"/>
        <w:spacing w:after="0" w:line="264" w:lineRule="auto"/>
        <w:rPr>
          <w:sz w:val="20"/>
          <w:szCs w:val="20"/>
          <w:color w:val="auto"/>
        </w:rPr>
      </w:pPr>
      <w:r>
        <w:rPr>
          <w:rFonts w:ascii="Arial" w:cs="Arial" w:eastAsia="Arial" w:hAnsi="Arial"/>
          <w:sz w:val="18"/>
          <w:szCs w:val="18"/>
          <w:color w:val="auto"/>
        </w:rPr>
        <w:t>Gross realized gains and losses on sales of short-term investments are included in interest income. During, the years ended December 26, 2009 and December 27, 2008 we had realized losses of approximately $0.1 million and $0.4 million, respectively. Realized gains and losses for the year ended December 29, 2007 were not significant.</w:t>
      </w:r>
    </w:p>
    <w:p>
      <w:pPr>
        <w:spacing w:after="0" w:line="87" w:lineRule="exact"/>
        <w:rPr>
          <w:sz w:val="20"/>
          <w:szCs w:val="20"/>
          <w:color w:val="auto"/>
        </w:rPr>
      </w:pPr>
    </w:p>
    <w:p>
      <w:pPr>
        <w:ind w:left="220" w:right="220"/>
        <w:spacing w:after="0" w:line="255" w:lineRule="auto"/>
        <w:rPr>
          <w:sz w:val="20"/>
          <w:szCs w:val="20"/>
          <w:color w:val="auto"/>
        </w:rPr>
      </w:pPr>
      <w:r>
        <w:rPr>
          <w:rFonts w:ascii="Arial" w:cs="Arial" w:eastAsia="Arial" w:hAnsi="Arial"/>
          <w:sz w:val="18"/>
          <w:szCs w:val="18"/>
          <w:color w:val="auto"/>
        </w:rPr>
        <w:t>Accounting standards pertaining to fair value measurements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When available, we use quoted market prices to determine the fair value of our investments, and they are included in Level 1. When quoted market prices are unobservable, we use quotes from independent pricing vendors based on recent trading activity and other relevant information.</w:t>
      </w:r>
    </w:p>
    <w:p>
      <w:pPr>
        <w:spacing w:after="0" w:line="99" w:lineRule="exact"/>
        <w:rPr>
          <w:sz w:val="20"/>
          <w:szCs w:val="20"/>
          <w:color w:val="auto"/>
        </w:rPr>
      </w:pPr>
    </w:p>
    <w:p>
      <w:pPr>
        <w:ind w:left="220" w:right="260"/>
        <w:spacing w:after="0" w:line="277" w:lineRule="auto"/>
        <w:rPr>
          <w:sz w:val="20"/>
          <w:szCs w:val="20"/>
          <w:color w:val="auto"/>
        </w:rPr>
      </w:pPr>
      <w:r>
        <w:rPr>
          <w:rFonts w:ascii="Arial" w:cs="Arial" w:eastAsia="Arial" w:hAnsi="Arial"/>
          <w:sz w:val="18"/>
          <w:szCs w:val="18"/>
          <w:color w:val="auto"/>
        </w:rPr>
        <w:t xml:space="preserve">The following table summarizes, by major security type, our assets that are measured at fair value on a recurring basis and are categorized using the fair value hierarchy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color w:val="auto"/>
                <w:w w:val="98"/>
              </w:rPr>
              <w:t>Fair value measurements at December 26, 2009 using:</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4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0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Significant other</w:t>
            </w:r>
          </w:p>
        </w:tc>
        <w:tc>
          <w:tcPr>
            <w:tcW w:w="300" w:type="dxa"/>
            <w:vAlign w:val="bottom"/>
          </w:tcPr>
          <w:p>
            <w:pPr>
              <w:spacing w:after="0"/>
              <w:rPr>
                <w:sz w:val="10"/>
                <w:szCs w:val="10"/>
                <w:color w:val="auto"/>
              </w:rPr>
            </w:pPr>
          </w:p>
        </w:tc>
        <w:tc>
          <w:tcPr>
            <w:tcW w:w="1380" w:type="dxa"/>
            <w:vAlign w:val="bottom"/>
            <w:gridSpan w:val="3"/>
          </w:tcPr>
          <w:p>
            <w:pPr>
              <w:jc w:val="center"/>
              <w:ind w:right="620"/>
              <w:spacing w:after="0" w:line="123" w:lineRule="exact"/>
              <w:rPr>
                <w:sz w:val="20"/>
                <w:szCs w:val="20"/>
                <w:color w:val="auto"/>
              </w:rPr>
            </w:pPr>
            <w:r>
              <w:rPr>
                <w:rFonts w:ascii="Arial" w:cs="Arial" w:eastAsia="Arial" w:hAnsi="Arial"/>
                <w:sz w:val="14"/>
                <w:szCs w:val="14"/>
                <w:color w:val="auto"/>
                <w:w w:val="99"/>
              </w:rPr>
              <w:t>Significant</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2540" w:type="dxa"/>
            <w:vAlign w:val="bottom"/>
            <w:gridSpan w:val="4"/>
          </w:tcPr>
          <w:p>
            <w:pPr>
              <w:ind w:left="1480"/>
              <w:spacing w:after="0" w:line="149" w:lineRule="exact"/>
              <w:rPr>
                <w:sz w:val="20"/>
                <w:szCs w:val="20"/>
                <w:color w:val="auto"/>
              </w:rPr>
            </w:pPr>
            <w:r>
              <w:rPr>
                <w:rFonts w:ascii="Arial" w:cs="Arial" w:eastAsia="Arial" w:hAnsi="Arial"/>
                <w:sz w:val="14"/>
                <w:szCs w:val="14"/>
                <w:color w:val="auto"/>
              </w:rPr>
              <w:t>Quoted prices in</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0"/>
              </w:rPr>
              <w:t>observable</w:t>
            </w:r>
          </w:p>
        </w:tc>
        <w:tc>
          <w:tcPr>
            <w:tcW w:w="1680" w:type="dxa"/>
            <w:vAlign w:val="bottom"/>
            <w:gridSpan w:val="4"/>
          </w:tcPr>
          <w:p>
            <w:pPr>
              <w:ind w:left="300"/>
              <w:spacing w:after="0" w:line="149" w:lineRule="exact"/>
              <w:rPr>
                <w:sz w:val="20"/>
                <w:szCs w:val="20"/>
                <w:color w:val="auto"/>
              </w:rPr>
            </w:pPr>
            <w:r>
              <w:rPr>
                <w:rFonts w:ascii="Arial" w:cs="Arial" w:eastAsia="Arial" w:hAnsi="Arial"/>
                <w:sz w:val="14"/>
                <w:szCs w:val="14"/>
                <w:color w:val="auto"/>
              </w:rPr>
              <w:t>unobservable</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3"/>
              </w:rPr>
              <w:t>active markets</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6"/>
              </w:rPr>
              <w:t>inputs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6"/>
              </w:rPr>
              <w:t>inputs</w:t>
            </w:r>
          </w:p>
        </w:tc>
        <w:tc>
          <w:tcPr>
            <w:tcW w:w="1000" w:type="dxa"/>
            <w:vAlign w:val="bottom"/>
            <w:gridSpan w:val="3"/>
          </w:tcPr>
          <w:p>
            <w:pPr>
              <w:spacing w:after="0" w:line="149" w:lineRule="exact"/>
              <w:rPr>
                <w:sz w:val="20"/>
                <w:szCs w:val="20"/>
                <w:color w:val="auto"/>
              </w:rPr>
            </w:pPr>
            <w:r>
              <w:rPr>
                <w:rFonts w:ascii="Arial" w:cs="Arial" w:eastAsia="Arial" w:hAnsi="Arial"/>
                <w:sz w:val="14"/>
                <w:szCs w:val="14"/>
                <w:color w:val="auto"/>
              </w:rPr>
              <w:t>Total estimated</w:t>
            </w:r>
          </w:p>
        </w:tc>
        <w:tc>
          <w:tcPr>
            <w:tcW w:w="0" w:type="dxa"/>
            <w:vAlign w:val="bottom"/>
          </w:tcPr>
          <w:p>
            <w:pPr>
              <w:spacing w:after="0"/>
              <w:rPr>
                <w:sz w:val="1"/>
                <w:szCs w:val="1"/>
                <w:color w:val="auto"/>
              </w:rPr>
            </w:pPr>
          </w:p>
        </w:tc>
      </w:tr>
      <w:tr>
        <w:trPr>
          <w:trHeight w:val="167"/>
        </w:trPr>
        <w:tc>
          <w:tcPr>
            <w:tcW w:w="4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w w:val="99"/>
              </w:rPr>
              <w:t>(Level 1)</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color w:val="auto"/>
                <w:w w:val="95"/>
              </w:rPr>
              <w:t>(Level 2)</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color w:val="auto"/>
                <w:w w:val="95"/>
              </w:rPr>
              <w:t>(Level 3)</w:t>
            </w: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w w:val="98"/>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64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12,371</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12,371</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5,504</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5,504</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22,751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22,751</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26,525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26,525</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9,052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9,052</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Government-sponsered enterprise securities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4,275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4,275</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Bank certificates of deposit</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Asset-backed securities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2,178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17,875</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67,031</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84,906</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color w:val="auto"/>
                <w:w w:val="98"/>
              </w:rPr>
              <w:t>Fair value measurements at December 27, 2008 using:</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4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0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Significant other</w:t>
            </w:r>
          </w:p>
        </w:tc>
        <w:tc>
          <w:tcPr>
            <w:tcW w:w="300" w:type="dxa"/>
            <w:vAlign w:val="bottom"/>
          </w:tcPr>
          <w:p>
            <w:pPr>
              <w:spacing w:after="0"/>
              <w:rPr>
                <w:sz w:val="10"/>
                <w:szCs w:val="10"/>
                <w:color w:val="auto"/>
              </w:rPr>
            </w:pPr>
          </w:p>
        </w:tc>
        <w:tc>
          <w:tcPr>
            <w:tcW w:w="1380" w:type="dxa"/>
            <w:vAlign w:val="bottom"/>
            <w:gridSpan w:val="3"/>
          </w:tcPr>
          <w:p>
            <w:pPr>
              <w:jc w:val="center"/>
              <w:ind w:right="620"/>
              <w:spacing w:after="0" w:line="123" w:lineRule="exact"/>
              <w:rPr>
                <w:sz w:val="20"/>
                <w:szCs w:val="20"/>
                <w:color w:val="auto"/>
              </w:rPr>
            </w:pPr>
            <w:r>
              <w:rPr>
                <w:rFonts w:ascii="Arial" w:cs="Arial" w:eastAsia="Arial" w:hAnsi="Arial"/>
                <w:sz w:val="14"/>
                <w:szCs w:val="14"/>
                <w:color w:val="auto"/>
                <w:w w:val="99"/>
              </w:rPr>
              <w:t>Significant</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2540" w:type="dxa"/>
            <w:vAlign w:val="bottom"/>
            <w:gridSpan w:val="4"/>
          </w:tcPr>
          <w:p>
            <w:pPr>
              <w:ind w:left="1480"/>
              <w:spacing w:after="0" w:line="149" w:lineRule="exact"/>
              <w:rPr>
                <w:sz w:val="20"/>
                <w:szCs w:val="20"/>
                <w:color w:val="auto"/>
              </w:rPr>
            </w:pPr>
            <w:r>
              <w:rPr>
                <w:rFonts w:ascii="Arial" w:cs="Arial" w:eastAsia="Arial" w:hAnsi="Arial"/>
                <w:sz w:val="14"/>
                <w:szCs w:val="14"/>
                <w:color w:val="auto"/>
              </w:rPr>
              <w:t>Quoted prices in</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0"/>
              </w:rPr>
              <w:t>observable</w:t>
            </w:r>
          </w:p>
        </w:tc>
        <w:tc>
          <w:tcPr>
            <w:tcW w:w="1680" w:type="dxa"/>
            <w:vAlign w:val="bottom"/>
            <w:gridSpan w:val="4"/>
          </w:tcPr>
          <w:p>
            <w:pPr>
              <w:ind w:left="300"/>
              <w:spacing w:after="0" w:line="149" w:lineRule="exact"/>
              <w:rPr>
                <w:sz w:val="20"/>
                <w:szCs w:val="20"/>
                <w:color w:val="auto"/>
              </w:rPr>
            </w:pPr>
            <w:r>
              <w:rPr>
                <w:rFonts w:ascii="Arial" w:cs="Arial" w:eastAsia="Arial" w:hAnsi="Arial"/>
                <w:sz w:val="14"/>
                <w:szCs w:val="14"/>
                <w:color w:val="auto"/>
              </w:rPr>
              <w:t>unobservable</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3"/>
              </w:rPr>
              <w:t>active markets</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6"/>
              </w:rPr>
              <w:t>inputs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6"/>
              </w:rPr>
              <w:t>inputs</w:t>
            </w:r>
          </w:p>
        </w:tc>
        <w:tc>
          <w:tcPr>
            <w:tcW w:w="1000" w:type="dxa"/>
            <w:vAlign w:val="bottom"/>
            <w:gridSpan w:val="3"/>
          </w:tcPr>
          <w:p>
            <w:pPr>
              <w:spacing w:after="0" w:line="149" w:lineRule="exact"/>
              <w:rPr>
                <w:sz w:val="20"/>
                <w:szCs w:val="20"/>
                <w:color w:val="auto"/>
              </w:rPr>
            </w:pPr>
            <w:r>
              <w:rPr>
                <w:rFonts w:ascii="Arial" w:cs="Arial" w:eastAsia="Arial" w:hAnsi="Arial"/>
                <w:sz w:val="14"/>
                <w:szCs w:val="14"/>
                <w:color w:val="auto"/>
              </w:rPr>
              <w:t>Total estimated</w:t>
            </w:r>
          </w:p>
        </w:tc>
        <w:tc>
          <w:tcPr>
            <w:tcW w:w="0" w:type="dxa"/>
            <w:vAlign w:val="bottom"/>
          </w:tcPr>
          <w:p>
            <w:pPr>
              <w:spacing w:after="0"/>
              <w:rPr>
                <w:sz w:val="1"/>
                <w:szCs w:val="1"/>
                <w:color w:val="auto"/>
              </w:rPr>
            </w:pPr>
          </w:p>
        </w:tc>
      </w:tr>
      <w:tr>
        <w:trPr>
          <w:trHeight w:val="167"/>
        </w:trPr>
        <w:tc>
          <w:tcPr>
            <w:tcW w:w="4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w w:val="99"/>
              </w:rPr>
              <w:t>(Level 1)</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color w:val="auto"/>
                <w:w w:val="95"/>
              </w:rPr>
              <w:t>(Level 2)</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color w:val="auto"/>
                <w:w w:val="95"/>
              </w:rPr>
              <w:t>(Level 3)</w:t>
            </w: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w w:val="98"/>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64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8,893</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8,893</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Money market funds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21,301</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21,301</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Bank certificates of deposit</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3,011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38,121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38,121</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17,059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17,059</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30,194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58,191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w w:val="88"/>
              </w:rPr>
              <w:t>—</w:t>
            </w: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40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0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Employee Benefit Plans</w:t>
      </w:r>
    </w:p>
    <w:p>
      <w:pPr>
        <w:spacing w:after="0" w:line="117" w:lineRule="exact"/>
        <w:rPr>
          <w:sz w:val="20"/>
          <w:szCs w:val="20"/>
          <w:color w:val="auto"/>
        </w:rPr>
      </w:pPr>
    </w:p>
    <w:p>
      <w:pPr>
        <w:ind w:left="220" w:right="340"/>
        <w:spacing w:after="0" w:line="258" w:lineRule="auto"/>
        <w:rPr>
          <w:sz w:val="20"/>
          <w:szCs w:val="20"/>
          <w:color w:val="auto"/>
        </w:rPr>
      </w:pPr>
      <w:r>
        <w:rPr>
          <w:rFonts w:ascii="Arial" w:cs="Arial" w:eastAsia="Arial" w:hAnsi="Arial"/>
          <w:sz w:val="18"/>
          <w:szCs w:val="18"/>
          <w:b w:val="1"/>
          <w:bCs w:val="1"/>
          <w:color w:val="auto"/>
        </w:rPr>
        <w:t xml:space="preserve">Retirement Plans </w:t>
      </w:r>
      <w:r>
        <w:rPr>
          <w:rFonts w:ascii="Arial" w:cs="Arial" w:eastAsia="Arial" w:hAnsi="Arial"/>
          <w:sz w:val="18"/>
          <w:szCs w:val="18"/>
          <w:color w:val="auto"/>
        </w:rPr>
        <w:t>— We have a voluntary defined contribution retirement 401(k) plan whereby we match contributions up to 4% of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During 2009, to control costs and preserve cash in response to the global economic crisis, we temporarily suspended the matching contribution to our employee 401(k) plan. In both 2008 and 2007 our contributions to the plan were approximately $1.5 million. Certain of our foreign employees participate in defined benefit pension plans. The related expense and benefit obligation of these plans were not significant for any period presented.</w:t>
      </w:r>
    </w:p>
    <w:p>
      <w:pPr>
        <w:spacing w:after="0" w:line="89" w:lineRule="exact"/>
        <w:rPr>
          <w:sz w:val="20"/>
          <w:szCs w:val="20"/>
          <w:color w:val="auto"/>
        </w:rPr>
      </w:pPr>
    </w:p>
    <w:p>
      <w:pPr>
        <w:ind w:left="220" w:right="60"/>
        <w:spacing w:after="0" w:line="266" w:lineRule="auto"/>
        <w:rPr>
          <w:sz w:val="20"/>
          <w:szCs w:val="20"/>
          <w:color w:val="auto"/>
        </w:rPr>
      </w:pPr>
      <w:r>
        <w:rPr>
          <w:rFonts w:ascii="Arial" w:cs="Arial" w:eastAsia="Arial" w:hAnsi="Arial"/>
          <w:sz w:val="18"/>
          <w:szCs w:val="18"/>
          <w:b w:val="1"/>
          <w:bCs w:val="1"/>
          <w:color w:val="auto"/>
        </w:rPr>
        <w:t xml:space="preserve">Retiree Medical Benefits </w:t>
      </w:r>
      <w:r>
        <w:rPr>
          <w:rFonts w:ascii="Arial" w:cs="Arial" w:eastAsia="Arial" w:hAnsi="Arial"/>
          <w:sz w:val="18"/>
          <w:szCs w:val="18"/>
          <w:color w:val="auto"/>
        </w:rPr>
        <w:t>— We provide post-retirement health benefits to certain executives and directors under a noncontributory plan. The net periodic</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cost was $0.2 million, $0.2 million and $0.1 million in 2009, 2008 and 2007, respectively. We fund benefits as costs are incurred and as a result there are no plan assets.</w:t>
      </w:r>
    </w:p>
    <w:p>
      <w:pPr>
        <w:spacing w:after="0" w:line="86" w:lineRule="exact"/>
        <w:rPr>
          <w:sz w:val="20"/>
          <w:szCs w:val="20"/>
          <w:color w:val="auto"/>
        </w:rPr>
      </w:pPr>
    </w:p>
    <w:p>
      <w:pPr>
        <w:ind w:left="220" w:right="40"/>
        <w:spacing w:after="0" w:line="257" w:lineRule="auto"/>
        <w:rPr>
          <w:sz w:val="20"/>
          <w:szCs w:val="20"/>
          <w:color w:val="auto"/>
        </w:rPr>
      </w:pPr>
      <w:r>
        <w:rPr>
          <w:rFonts w:ascii="Arial" w:cs="Arial" w:eastAsia="Arial" w:hAnsi="Arial"/>
          <w:sz w:val="18"/>
          <w:szCs w:val="18"/>
          <w:color w:val="auto"/>
        </w:rPr>
        <w:t>The weighted average discount rate used in determining the accumulated post-retirement benefit obligation was 5.8% in 2009, 6.2% in 2008 and 6.4% in 2007. Annual rates of increase of the cost of health benefits were assumed to be 10.5% in 2009. These rates were then assumed to decrease 0.50% per year to 5.0% in 2021 and remain level thereafter. A one percent increase (decrease) in health care cost trend rates would increase (decrease) the 2009 net periodic benefit cost by approximately $21,000 ($17,000) and the accumulated post-retirement benefit obligation as of December 26, 2009, by approximately $393,000 ($330,000).</w:t>
      </w:r>
    </w:p>
    <w:p>
      <w:pPr>
        <w:spacing w:after="0" w:line="94" w:lineRule="exact"/>
        <w:rPr>
          <w:sz w:val="20"/>
          <w:szCs w:val="20"/>
          <w:color w:val="auto"/>
        </w:rPr>
      </w:pPr>
    </w:p>
    <w:p>
      <w:pPr>
        <w:ind w:left="220" w:right="200"/>
        <w:spacing w:after="0" w:line="277" w:lineRule="auto"/>
        <w:rPr>
          <w:sz w:val="20"/>
          <w:szCs w:val="20"/>
          <w:color w:val="auto"/>
        </w:rPr>
      </w:pPr>
      <w:r>
        <w:rPr>
          <w:rFonts w:ascii="Arial" w:cs="Arial" w:eastAsia="Arial" w:hAnsi="Arial"/>
          <w:sz w:val="18"/>
          <w:szCs w:val="18"/>
          <w:color w:val="auto"/>
        </w:rPr>
        <w:t>The following table sets forth the post-retirement benefit obligation to the funded status of the plan which approximates the liability we have recorded in our consolidated balance sheets: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2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9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Accumulated benefit obligation at beginning of year</w:t>
            </w:r>
          </w:p>
        </w:tc>
        <w:tc>
          <w:tcPr>
            <w:tcW w:w="14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3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1,850</w:t>
            </w: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Service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cost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Actuarial loss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668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226</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Benefits paid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Accumulated benefit obligation at end of year</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end of year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Funded status</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(2,839</w:t>
            </w:r>
          </w:p>
        </w:tc>
        <w:tc>
          <w:tcPr>
            <w:tcW w:w="360" w:type="dxa"/>
            <w:vAlign w:val="bottom"/>
            <w:gridSpan w:val="2"/>
          </w:tcPr>
          <w:p>
            <w:pPr>
              <w:jc w:val="right"/>
              <w:ind w:right="30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right="340"/>
        <w:spacing w:after="0" w:line="277" w:lineRule="auto"/>
        <w:rPr>
          <w:sz w:val="20"/>
          <w:szCs w:val="20"/>
          <w:color w:val="auto"/>
        </w:rPr>
      </w:pPr>
      <w:r>
        <w:rPr>
          <w:rFonts w:ascii="Arial" w:cs="Arial" w:eastAsia="Arial" w:hAnsi="Arial"/>
          <w:sz w:val="18"/>
          <w:szCs w:val="18"/>
          <w:color w:val="auto"/>
        </w:rPr>
        <w:t>The total unrecognized net actuarial loss that will be amortized over the future service period, excluding the effect of income taxes, was approximately $1.1 million at December 26, 2009</w:t>
      </w:r>
    </w:p>
    <w:p>
      <w:pPr>
        <w:spacing w:after="0" w:line="72" w:lineRule="exact"/>
        <w:rPr>
          <w:sz w:val="20"/>
          <w:szCs w:val="20"/>
          <w:color w:val="auto"/>
        </w:rPr>
      </w:pPr>
    </w:p>
    <w:p>
      <w:pPr>
        <w:ind w:left="220" w:right="180"/>
        <w:spacing w:after="0" w:line="256" w:lineRule="auto"/>
        <w:rPr>
          <w:sz w:val="20"/>
          <w:szCs w:val="20"/>
          <w:color w:val="auto"/>
        </w:rPr>
      </w:pPr>
      <w:r>
        <w:rPr>
          <w:rFonts w:ascii="Arial" w:cs="Arial" w:eastAsia="Arial" w:hAnsi="Arial"/>
          <w:sz w:val="18"/>
          <w:szCs w:val="18"/>
          <w:b w:val="1"/>
          <w:bCs w:val="1"/>
          <w:color w:val="auto"/>
        </w:rPr>
        <w:t xml:space="preserve">Deferred Compensation </w:t>
      </w:r>
      <w:r>
        <w:rPr>
          <w:rFonts w:ascii="Arial" w:cs="Arial" w:eastAsia="Arial" w:hAnsi="Arial"/>
          <w:sz w:val="18"/>
          <w:szCs w:val="18"/>
          <w:color w:val="auto"/>
        </w:rPr>
        <w:t>— The Cohu, Inc. Deferred Compensation Plan allows certain of our officers to defer a portion of their current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We have purchased life insurance policies on the participants with Cohu as the named beneficiary. Participant contributions, distributions and investment earnings and losses are accumulated in a separate account for each participant. At December 26, 2009 and December 28, 2008, the payroll liability to participants, included in accrued compensation and benefits in the consolidated balance sheet, was approximately $1.9 million and $1.4 million, respectively and the cash surrender value of the related life insurance policies included in other current assets was approximately $1.8 million and $1.4 million, respectively.</w:t>
      </w:r>
    </w:p>
    <w:p>
      <w:pPr>
        <w:spacing w:after="0" w:line="93" w:lineRule="exact"/>
        <w:rPr>
          <w:sz w:val="20"/>
          <w:szCs w:val="20"/>
          <w:color w:val="auto"/>
        </w:rPr>
      </w:pPr>
    </w:p>
    <w:p>
      <w:pPr>
        <w:ind w:left="220" w:right="40"/>
        <w:spacing w:after="0" w:line="303" w:lineRule="auto"/>
        <w:rPr>
          <w:sz w:val="20"/>
          <w:szCs w:val="20"/>
          <w:color w:val="auto"/>
        </w:rPr>
      </w:pPr>
      <w:r>
        <w:rPr>
          <w:rFonts w:ascii="Arial" w:cs="Arial" w:eastAsia="Arial" w:hAnsi="Arial"/>
          <w:sz w:val="16"/>
          <w:szCs w:val="16"/>
          <w:b w:val="1"/>
          <w:bCs w:val="1"/>
          <w:color w:val="auto"/>
        </w:rPr>
        <w:t xml:space="preserve">Employee Stock Purchase Plan </w:t>
      </w:r>
      <w:r>
        <w:rPr>
          <w:rFonts w:ascii="Arial" w:cs="Arial" w:eastAsia="Arial" w:hAnsi="Arial"/>
          <w:sz w:val="16"/>
          <w:szCs w:val="16"/>
          <w:color w:val="auto"/>
        </w:rPr>
        <w:t>— The Cohu, Inc. 1997 Employee Stock Purchase Plan (“the Plan”) provides for the issuance of a maximum of</w:t>
      </w:r>
      <w:r>
        <w:rPr>
          <w:rFonts w:ascii="Arial" w:cs="Arial" w:eastAsia="Arial" w:hAnsi="Arial"/>
          <w:sz w:val="16"/>
          <w:szCs w:val="16"/>
          <w:b w:val="1"/>
          <w:bCs w:val="1"/>
          <w:color w:val="auto"/>
        </w:rPr>
        <w:t xml:space="preserve"> </w:t>
      </w:r>
      <w:r>
        <w:rPr>
          <w:rFonts w:ascii="Arial" w:cs="Arial" w:eastAsia="Arial" w:hAnsi="Arial"/>
          <w:sz w:val="16"/>
          <w:szCs w:val="16"/>
          <w:color w:val="auto"/>
        </w:rPr>
        <w:t>1,400,000 shares of our common stock. Under the Plan, eligible employees may purchase shares of common stock through payroll deductions. The price paid for the common stock is equal to 85% of the fair market value of our common stock on specified dates. In 2009, 2008, and 2007, 136,228, 95,452 and 83,108 shares, respectively, were issued under the Plan. At December 26, 2009, there were 370,339 shares reserved for issuance under the Plan.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left="220" w:right="80"/>
        <w:spacing w:after="0" w:line="258"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 Under our equity incentive plans, stock options may be granted to employees, consultants and outside directors to purchase a fixed</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of our common stock at prices not less than 100% of the fair market value at the date of grant. Options generally vest and become exercisable after one year or in four annual increments beginning one year after the grant date and expire five to ten years from the grant date. At December 26, 2009, 1,831,070 shares were available for future equity grants under the Cohu, Inc. 2005 Equity Incentive Plan. We have historically issued new shares of Cohu common stock upon share option exercise.</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Stock option activity under our share-based compensation plans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color w:val="auto"/>
              </w:rPr>
              <w:t>2009</w:t>
            </w:r>
          </w:p>
        </w:tc>
        <w:tc>
          <w:tcPr>
            <w:tcW w:w="6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936"/>
              <w:spacing w:after="0"/>
              <w:rPr>
                <w:sz w:val="20"/>
                <w:szCs w:val="20"/>
                <w:color w:val="auto"/>
              </w:rPr>
            </w:pPr>
            <w:r>
              <w:rPr>
                <w:rFonts w:ascii="Arial" w:cs="Arial" w:eastAsia="Arial" w:hAnsi="Arial"/>
                <w:sz w:val="14"/>
                <w:szCs w:val="14"/>
                <w:color w:val="auto"/>
              </w:rPr>
              <w:t>2008</w:t>
            </w:r>
          </w:p>
        </w:tc>
        <w:tc>
          <w:tcPr>
            <w:tcW w:w="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976"/>
              <w:spacing w:after="0"/>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gridSpan w:val="2"/>
          </w:tcPr>
          <w:p>
            <w:pPr>
              <w:jc w:val="right"/>
              <w:ind w:right="130"/>
              <w:spacing w:after="0" w:line="123" w:lineRule="exact"/>
              <w:rPr>
                <w:sz w:val="20"/>
                <w:szCs w:val="20"/>
                <w:color w:val="auto"/>
              </w:rPr>
            </w:pPr>
            <w:r>
              <w:rPr>
                <w:rFonts w:ascii="Arial" w:cs="Arial" w:eastAsia="Arial" w:hAnsi="Arial"/>
                <w:sz w:val="14"/>
                <w:szCs w:val="14"/>
                <w:color w:val="auto"/>
              </w:rPr>
              <w:t>Wt. Avg.</w:t>
            </w: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tcPr>
          <w:p>
            <w:pPr>
              <w:jc w:val="right"/>
              <w:ind w:right="116"/>
              <w:spacing w:after="0" w:line="123" w:lineRule="exact"/>
              <w:rPr>
                <w:sz w:val="20"/>
                <w:szCs w:val="20"/>
                <w:color w:val="auto"/>
              </w:rPr>
            </w:pPr>
            <w:r>
              <w:rPr>
                <w:rFonts w:ascii="Arial" w:cs="Arial" w:eastAsia="Arial" w:hAnsi="Arial"/>
                <w:sz w:val="14"/>
                <w:szCs w:val="14"/>
                <w:color w:val="auto"/>
              </w:rPr>
              <w:t>Wt. Avg.</w:t>
            </w: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00" w:type="dxa"/>
            <w:vAlign w:val="bottom"/>
          </w:tcPr>
          <w:p>
            <w:pPr>
              <w:jc w:val="right"/>
              <w:ind w:right="136"/>
              <w:spacing w:after="0" w:line="123" w:lineRule="exact"/>
              <w:rPr>
                <w:sz w:val="20"/>
                <w:szCs w:val="20"/>
                <w:color w:val="auto"/>
              </w:rPr>
            </w:pPr>
            <w:r>
              <w:rPr>
                <w:rFonts w:ascii="Arial" w:cs="Arial" w:eastAsia="Arial" w:hAnsi="Arial"/>
                <w:sz w:val="14"/>
                <w:szCs w:val="14"/>
                <w:color w:val="auto"/>
              </w:rPr>
              <w:t>Wt. Avg.</w:t>
            </w:r>
          </w:p>
        </w:tc>
        <w:tc>
          <w:tcPr>
            <w:tcW w:w="0" w:type="dxa"/>
            <w:vAlign w:val="bottom"/>
          </w:tcPr>
          <w:p>
            <w:pPr>
              <w:spacing w:after="0"/>
              <w:rPr>
                <w:sz w:val="1"/>
                <w:szCs w:val="1"/>
                <w:color w:val="auto"/>
              </w:rPr>
            </w:pPr>
          </w:p>
        </w:tc>
      </w:tr>
      <w:tr>
        <w:trPr>
          <w:trHeight w:val="174"/>
        </w:trPr>
        <w:tc>
          <w:tcPr>
            <w:tcW w:w="338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26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w w:val="85"/>
              </w:rPr>
              <w:t>Shares</w:t>
            </w:r>
          </w:p>
        </w:tc>
        <w:tc>
          <w:tcPr>
            <w:tcW w:w="1460" w:type="dxa"/>
            <w:vAlign w:val="bottom"/>
            <w:gridSpan w:val="2"/>
          </w:tcPr>
          <w:p>
            <w:pPr>
              <w:jc w:val="right"/>
              <w:ind w:right="130"/>
              <w:spacing w:after="0"/>
              <w:rPr>
                <w:sz w:val="20"/>
                <w:szCs w:val="20"/>
                <w:color w:val="auto"/>
              </w:rPr>
            </w:pPr>
            <w:r>
              <w:rPr>
                <w:rFonts w:ascii="Arial" w:cs="Arial" w:eastAsia="Arial" w:hAnsi="Arial"/>
                <w:sz w:val="14"/>
                <w:szCs w:val="14"/>
                <w:color w:val="auto"/>
              </w:rPr>
              <w:t>Ex. Price</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w w:val="85"/>
              </w:rPr>
              <w:t>Shares</w:t>
            </w:r>
          </w:p>
        </w:tc>
        <w:tc>
          <w:tcPr>
            <w:tcW w:w="1460" w:type="dxa"/>
            <w:vAlign w:val="bottom"/>
          </w:tcPr>
          <w:p>
            <w:pPr>
              <w:jc w:val="right"/>
              <w:ind w:right="116"/>
              <w:spacing w:after="0"/>
              <w:rPr>
                <w:sz w:val="20"/>
                <w:szCs w:val="20"/>
                <w:color w:val="auto"/>
              </w:rPr>
            </w:pPr>
            <w:r>
              <w:rPr>
                <w:rFonts w:ascii="Arial" w:cs="Arial" w:eastAsia="Arial" w:hAnsi="Arial"/>
                <w:sz w:val="14"/>
                <w:szCs w:val="14"/>
                <w:color w:val="auto"/>
              </w:rPr>
              <w:t>Ex. Price</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w w:val="85"/>
              </w:rPr>
              <w:t>Shares</w:t>
            </w:r>
          </w:p>
        </w:tc>
        <w:tc>
          <w:tcPr>
            <w:tcW w:w="1500" w:type="dxa"/>
            <w:vAlign w:val="bottom"/>
          </w:tcPr>
          <w:p>
            <w:pPr>
              <w:jc w:val="right"/>
              <w:ind w:right="136"/>
              <w:spacing w:after="0"/>
              <w:rPr>
                <w:sz w:val="20"/>
                <w:szCs w:val="20"/>
                <w:color w:val="auto"/>
              </w:rPr>
            </w:pPr>
            <w:r>
              <w:rPr>
                <w:rFonts w:ascii="Arial" w:cs="Arial" w:eastAsia="Arial" w:hAnsi="Arial"/>
                <w:sz w:val="14"/>
                <w:szCs w:val="14"/>
                <w:color w:val="auto"/>
              </w:rPr>
              <w:t>Ex. Price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beginning of year</w:t>
            </w:r>
          </w:p>
        </w:tc>
        <w:tc>
          <w:tcPr>
            <w:tcW w:w="880" w:type="dxa"/>
            <w:vAlign w:val="bottom"/>
            <w:tcBorders>
              <w:top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2,193</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88"/>
              </w:rPr>
              <w:t>15.91</w:t>
            </w:r>
          </w:p>
        </w:tc>
        <w:tc>
          <w:tcPr>
            <w:tcW w:w="1340" w:type="dxa"/>
            <w:vAlign w:val="bottom"/>
            <w:tcBorders>
              <w:top w:val="single" w:sz="8" w:color="auto"/>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2,356</w:t>
            </w:r>
          </w:p>
        </w:tc>
        <w:tc>
          <w:tcPr>
            <w:tcW w:w="146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rPr>
              <w:t>$15.97</w:t>
            </w:r>
          </w:p>
        </w:tc>
        <w:tc>
          <w:tcPr>
            <w:tcW w:w="1360" w:type="dxa"/>
            <w:vAlign w:val="bottom"/>
            <w:tcBorders>
              <w:top w:val="single" w:sz="8" w:color="auto"/>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2,430</w:t>
            </w:r>
          </w:p>
        </w:tc>
        <w:tc>
          <w:tcPr>
            <w:tcW w:w="150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Granted</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1,229</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7.45</w:t>
            </w:r>
          </w:p>
        </w:tc>
        <w:tc>
          <w:tcPr>
            <w:tcW w:w="1340" w:type="dxa"/>
            <w:vAlign w:val="bottom"/>
            <w:gridSpan w:val="4"/>
          </w:tcPr>
          <w:p>
            <w:pPr>
              <w:jc w:val="right"/>
              <w:ind w:right="220"/>
              <w:spacing w:after="0"/>
              <w:rPr>
                <w:sz w:val="20"/>
                <w:szCs w:val="20"/>
                <w:color w:val="auto"/>
              </w:rPr>
            </w:pPr>
            <w:r>
              <w:rPr>
                <w:rFonts w:ascii="Arial" w:cs="Arial" w:eastAsia="Arial" w:hAnsi="Arial"/>
                <w:sz w:val="18"/>
                <w:szCs w:val="18"/>
                <w:color w:val="auto"/>
              </w:rPr>
              <w:t>113</w:t>
            </w:r>
          </w:p>
        </w:tc>
        <w:tc>
          <w:tcPr>
            <w:tcW w:w="1460" w:type="dxa"/>
            <w:vAlign w:val="bottom"/>
          </w:tcPr>
          <w:p>
            <w:pPr>
              <w:jc w:val="right"/>
              <w:ind w:right="176"/>
              <w:spacing w:after="0"/>
              <w:rPr>
                <w:sz w:val="20"/>
                <w:szCs w:val="20"/>
                <w:color w:val="auto"/>
              </w:rPr>
            </w:pPr>
            <w:r>
              <w:rPr>
                <w:rFonts w:ascii="Arial" w:cs="Arial" w:eastAsia="Arial" w:hAnsi="Arial"/>
                <w:sz w:val="18"/>
                <w:szCs w:val="18"/>
                <w:color w:val="auto"/>
              </w:rPr>
              <w:t>$13.20</w:t>
            </w:r>
          </w:p>
        </w:tc>
        <w:tc>
          <w:tcPr>
            <w:tcW w:w="1360" w:type="dxa"/>
            <w:vAlign w:val="bottom"/>
            <w:gridSpan w:val="4"/>
          </w:tcPr>
          <w:p>
            <w:pPr>
              <w:jc w:val="right"/>
              <w:ind w:right="220"/>
              <w:spacing w:after="0"/>
              <w:rPr>
                <w:sz w:val="20"/>
                <w:szCs w:val="20"/>
                <w:color w:val="auto"/>
              </w:rPr>
            </w:pPr>
            <w:r>
              <w:rPr>
                <w:rFonts w:ascii="Arial" w:cs="Arial" w:eastAsia="Arial" w:hAnsi="Arial"/>
                <w:sz w:val="18"/>
                <w:szCs w:val="18"/>
                <w:color w:val="auto"/>
              </w:rPr>
              <w:t>219</w:t>
            </w:r>
          </w:p>
        </w:tc>
        <w:tc>
          <w:tcPr>
            <w:tcW w:w="1500" w:type="dxa"/>
            <w:vAlign w:val="bottom"/>
          </w:tcPr>
          <w:p>
            <w:pPr>
              <w:jc w:val="right"/>
              <w:ind w:right="196"/>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(133)</w:t>
            </w:r>
          </w:p>
        </w:tc>
        <w:tc>
          <w:tcPr>
            <w:tcW w:w="14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$12.77</w:t>
            </w:r>
          </w:p>
        </w:tc>
        <w:tc>
          <w:tcPr>
            <w:tcW w:w="13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(222)</w:t>
            </w:r>
          </w:p>
        </w:tc>
        <w:tc>
          <w:tcPr>
            <w:tcW w:w="15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Canceled</w:t>
            </w:r>
          </w:p>
        </w:tc>
        <w:tc>
          <w:tcPr>
            <w:tcW w:w="2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(201)</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w w:val="88"/>
              </w:rPr>
              <w:t>12.94</w:t>
            </w:r>
          </w:p>
        </w:tc>
        <w:tc>
          <w:tcPr>
            <w:tcW w:w="1340" w:type="dxa"/>
            <w:vAlign w:val="bottom"/>
            <w:gridSpan w:val="4"/>
          </w:tcPr>
          <w:p>
            <w:pPr>
              <w:jc w:val="right"/>
              <w:ind w:right="160"/>
              <w:spacing w:after="0"/>
              <w:rPr>
                <w:sz w:val="20"/>
                <w:szCs w:val="20"/>
                <w:color w:val="auto"/>
              </w:rPr>
            </w:pPr>
            <w:r>
              <w:rPr>
                <w:rFonts w:ascii="Arial" w:cs="Arial" w:eastAsia="Arial" w:hAnsi="Arial"/>
                <w:sz w:val="18"/>
                <w:szCs w:val="18"/>
                <w:color w:val="auto"/>
              </w:rPr>
              <w:t>(143)</w:t>
            </w:r>
          </w:p>
        </w:tc>
        <w:tc>
          <w:tcPr>
            <w:tcW w:w="1460" w:type="dxa"/>
            <w:vAlign w:val="bottom"/>
          </w:tcPr>
          <w:p>
            <w:pPr>
              <w:jc w:val="right"/>
              <w:ind w:right="176"/>
              <w:spacing w:after="0"/>
              <w:rPr>
                <w:sz w:val="20"/>
                <w:szCs w:val="20"/>
                <w:color w:val="auto"/>
              </w:rPr>
            </w:pPr>
            <w:r>
              <w:rPr>
                <w:rFonts w:ascii="Arial" w:cs="Arial" w:eastAsia="Arial" w:hAnsi="Arial"/>
                <w:sz w:val="18"/>
                <w:szCs w:val="18"/>
                <w:color w:val="auto"/>
              </w:rPr>
              <w:t>$17.74</w:t>
            </w: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(71)</w:t>
            </w:r>
          </w:p>
        </w:tc>
        <w:tc>
          <w:tcPr>
            <w:tcW w:w="1500" w:type="dxa"/>
            <w:vAlign w:val="bottom"/>
          </w:tcPr>
          <w:p>
            <w:pPr>
              <w:jc w:val="right"/>
              <w:ind w:right="196"/>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Outstanding, end of year</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3,221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8"/>
              </w:rPr>
              <w:t>12.87</w:t>
            </w:r>
          </w:p>
        </w:tc>
        <w:tc>
          <w:tcPr>
            <w:tcW w:w="13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2,193</w:t>
            </w:r>
          </w:p>
        </w:tc>
        <w:tc>
          <w:tcPr>
            <w:tcW w:w="14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$15.91</w:t>
            </w:r>
          </w:p>
        </w:tc>
        <w:tc>
          <w:tcPr>
            <w:tcW w:w="13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2,356</w:t>
            </w:r>
          </w:p>
        </w:tc>
        <w:tc>
          <w:tcPr>
            <w:tcW w:w="15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0"/>
        </w:trPr>
        <w:tc>
          <w:tcPr>
            <w:tcW w:w="3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380" w:type="dxa"/>
            <w:vAlign w:val="bottom"/>
            <w:gridSpan w:val="2"/>
          </w:tcPr>
          <w:p>
            <w:pPr>
              <w:spacing w:after="0"/>
              <w:rPr>
                <w:sz w:val="20"/>
                <w:szCs w:val="20"/>
                <w:color w:val="auto"/>
              </w:rPr>
            </w:pPr>
            <w:r>
              <w:rPr>
                <w:rFonts w:ascii="Arial" w:cs="Arial" w:eastAsia="Arial" w:hAnsi="Arial"/>
                <w:sz w:val="18"/>
                <w:szCs w:val="18"/>
                <w:color w:val="auto"/>
              </w:rPr>
              <w:t>Options exercisable at year end</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1,766</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w w:val="88"/>
              </w:rPr>
              <w:t>16.40</w:t>
            </w:r>
          </w:p>
        </w:tc>
        <w:tc>
          <w:tcPr>
            <w:tcW w:w="1340" w:type="dxa"/>
            <w:vAlign w:val="bottom"/>
            <w:gridSpan w:val="4"/>
          </w:tcPr>
          <w:p>
            <w:pPr>
              <w:jc w:val="right"/>
              <w:ind w:right="220"/>
              <w:spacing w:after="0"/>
              <w:rPr>
                <w:sz w:val="20"/>
                <w:szCs w:val="20"/>
                <w:color w:val="auto"/>
              </w:rPr>
            </w:pPr>
            <w:r>
              <w:rPr>
                <w:rFonts w:ascii="Arial" w:cs="Arial" w:eastAsia="Arial" w:hAnsi="Arial"/>
                <w:sz w:val="18"/>
                <w:szCs w:val="18"/>
                <w:color w:val="auto"/>
              </w:rPr>
              <w:t>1,764</w:t>
            </w:r>
          </w:p>
        </w:tc>
        <w:tc>
          <w:tcPr>
            <w:tcW w:w="1460" w:type="dxa"/>
            <w:vAlign w:val="bottom"/>
          </w:tcPr>
          <w:p>
            <w:pPr>
              <w:jc w:val="right"/>
              <w:ind w:right="176"/>
              <w:spacing w:after="0"/>
              <w:rPr>
                <w:sz w:val="20"/>
                <w:szCs w:val="20"/>
                <w:color w:val="auto"/>
              </w:rPr>
            </w:pPr>
            <w:r>
              <w:rPr>
                <w:rFonts w:ascii="Arial" w:cs="Arial" w:eastAsia="Arial" w:hAnsi="Arial"/>
                <w:sz w:val="18"/>
                <w:szCs w:val="18"/>
                <w:color w:val="auto"/>
              </w:rPr>
              <w:t>$16.03</w:t>
            </w:r>
          </w:p>
        </w:tc>
        <w:tc>
          <w:tcPr>
            <w:tcW w:w="1360" w:type="dxa"/>
            <w:vAlign w:val="bottom"/>
            <w:gridSpan w:val="4"/>
          </w:tcPr>
          <w:p>
            <w:pPr>
              <w:jc w:val="right"/>
              <w:ind w:right="220"/>
              <w:spacing w:after="0"/>
              <w:rPr>
                <w:sz w:val="20"/>
                <w:szCs w:val="20"/>
                <w:color w:val="auto"/>
              </w:rPr>
            </w:pPr>
            <w:r>
              <w:rPr>
                <w:rFonts w:ascii="Arial" w:cs="Arial" w:eastAsia="Arial" w:hAnsi="Arial"/>
                <w:sz w:val="18"/>
                <w:szCs w:val="18"/>
                <w:color w:val="auto"/>
              </w:rPr>
              <w:t>1,693</w:t>
            </w:r>
          </w:p>
        </w:tc>
        <w:tc>
          <w:tcPr>
            <w:tcW w:w="1500" w:type="dxa"/>
            <w:vAlign w:val="bottom"/>
          </w:tcPr>
          <w:p>
            <w:pPr>
              <w:jc w:val="right"/>
              <w:ind w:right="196"/>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20" w:right="300"/>
        <w:spacing w:after="0" w:line="286" w:lineRule="auto"/>
        <w:rPr>
          <w:sz w:val="20"/>
          <w:szCs w:val="20"/>
          <w:color w:val="auto"/>
        </w:rPr>
      </w:pPr>
      <w:r>
        <w:rPr>
          <w:rFonts w:ascii="Arial" w:cs="Arial" w:eastAsia="Arial" w:hAnsi="Arial"/>
          <w:sz w:val="17"/>
          <w:szCs w:val="17"/>
          <w:color w:val="auto"/>
        </w:rPr>
        <w:t>The aggregate intrinsic value of options exercised during 2008 and 2007 was approximately $0.3 million, and $1.1 million, respectively. There were no options exercised during 2009. At December 26, 2009, the aggregate intrinsic value of options outstanding, vested and expected to vest were each approximately $8.3 million and the aggregate intrinsic value of options exercisable was approximately $0.2 million.</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Information about stock options outstanding at December 26, 2009 is as follows </w:t>
      </w:r>
      <w:r>
        <w:rPr>
          <w:rFonts w:ascii="Arial" w:cs="Arial" w:eastAsia="Arial" w:hAnsi="Arial"/>
          <w:sz w:val="18"/>
          <w:szCs w:val="18"/>
          <w:i w:val="1"/>
          <w:iCs w:val="1"/>
          <w:color w:val="auto"/>
        </w:rPr>
        <w:t>(options 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color w:val="auto"/>
              </w:rPr>
              <w:t>Options Outstanding</w:t>
            </w: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Options Exercisable</w:t>
            </w:r>
          </w:p>
        </w:tc>
        <w:tc>
          <w:tcPr>
            <w:tcW w:w="700" w:type="dxa"/>
            <w:vAlign w:val="bottom"/>
            <w:tcBorders>
              <w:bottom w:val="single" w:sz="8" w:color="auto"/>
            </w:tcBorders>
          </w:tcPr>
          <w:p>
            <w:pPr>
              <w:spacing w:after="0"/>
              <w:rPr>
                <w:sz w:val="14"/>
                <w:szCs w:val="14"/>
                <w:color w:val="auto"/>
              </w:rPr>
            </w:pPr>
          </w:p>
        </w:tc>
      </w:tr>
      <w:tr>
        <w:trPr>
          <w:trHeight w:val="123"/>
        </w:trPr>
        <w:tc>
          <w:tcPr>
            <w:tcW w:w="3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0" w:type="dxa"/>
            <w:vAlign w:val="bottom"/>
            <w:gridSpan w:val="2"/>
          </w:tcPr>
          <w:p>
            <w:pPr>
              <w:jc w:val="center"/>
              <w:ind w:right="480"/>
              <w:spacing w:after="0" w:line="123" w:lineRule="exact"/>
              <w:rPr>
                <w:sz w:val="20"/>
                <w:szCs w:val="20"/>
                <w:color w:val="auto"/>
              </w:rPr>
            </w:pPr>
            <w:r>
              <w:rPr>
                <w:rFonts w:ascii="Arial" w:cs="Arial" w:eastAsia="Arial" w:hAnsi="Arial"/>
                <w:sz w:val="14"/>
                <w:szCs w:val="14"/>
                <w:color w:val="auto"/>
                <w:w w:val="96"/>
              </w:rPr>
              <w:t>Approximate</w:t>
            </w: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49"/>
        </w:trPr>
        <w:tc>
          <w:tcPr>
            <w:tcW w:w="3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8"/>
              </w:rPr>
              <w:t>Wt. Avg.</w:t>
            </w: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440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1"/>
              </w:rPr>
              <w:t>Range of</w:t>
            </w:r>
          </w:p>
        </w:tc>
        <w:tc>
          <w:tcPr>
            <w:tcW w:w="108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Number</w:t>
            </w:r>
          </w:p>
        </w:tc>
        <w:tc>
          <w:tcPr>
            <w:tcW w:w="480" w:type="dxa"/>
            <w:vAlign w:val="bottom"/>
          </w:tcPr>
          <w:p>
            <w:pPr>
              <w:spacing w:after="0"/>
              <w:rPr>
                <w:sz w:val="12"/>
                <w:szCs w:val="12"/>
                <w:color w:val="auto"/>
              </w:rPr>
            </w:pPr>
          </w:p>
        </w:tc>
        <w:tc>
          <w:tcPr>
            <w:tcW w:w="140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5"/>
              </w:rPr>
              <w:t>Remaining</w:t>
            </w:r>
          </w:p>
        </w:tc>
        <w:tc>
          <w:tcPr>
            <w:tcW w:w="1000" w:type="dxa"/>
            <w:vAlign w:val="bottom"/>
            <w:gridSpan w:val="2"/>
          </w:tcPr>
          <w:p>
            <w:pPr>
              <w:jc w:val="right"/>
              <w:ind w:right="150"/>
              <w:spacing w:after="0" w:line="149" w:lineRule="exact"/>
              <w:rPr>
                <w:sz w:val="20"/>
                <w:szCs w:val="20"/>
                <w:color w:val="auto"/>
              </w:rPr>
            </w:pPr>
            <w:r>
              <w:rPr>
                <w:rFonts w:ascii="Arial" w:cs="Arial" w:eastAsia="Arial" w:hAnsi="Arial"/>
                <w:sz w:val="14"/>
                <w:szCs w:val="14"/>
                <w:color w:val="auto"/>
              </w:rPr>
              <w:t>Wt. Avg.</w:t>
            </w:r>
          </w:p>
        </w:tc>
        <w:tc>
          <w:tcPr>
            <w:tcW w:w="480" w:type="dxa"/>
            <w:vAlign w:val="bottom"/>
          </w:tcPr>
          <w:p>
            <w:pPr>
              <w:spacing w:after="0"/>
              <w:rPr>
                <w:sz w:val="12"/>
                <w:szCs w:val="12"/>
                <w:color w:val="auto"/>
              </w:rPr>
            </w:pPr>
          </w:p>
        </w:tc>
        <w:tc>
          <w:tcPr>
            <w:tcW w:w="108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Number</w:t>
            </w:r>
          </w:p>
        </w:tc>
        <w:tc>
          <w:tcPr>
            <w:tcW w:w="480" w:type="dxa"/>
            <w:vAlign w:val="bottom"/>
          </w:tcPr>
          <w:p>
            <w:pPr>
              <w:spacing w:after="0"/>
              <w:rPr>
                <w:sz w:val="12"/>
                <w:szCs w:val="12"/>
                <w:color w:val="auto"/>
              </w:rPr>
            </w:pPr>
          </w:p>
        </w:tc>
        <w:tc>
          <w:tcPr>
            <w:tcW w:w="1020" w:type="dxa"/>
            <w:vAlign w:val="bottom"/>
            <w:gridSpan w:val="2"/>
          </w:tcPr>
          <w:p>
            <w:pPr>
              <w:jc w:val="right"/>
              <w:ind w:right="150"/>
              <w:spacing w:after="0" w:line="149" w:lineRule="exact"/>
              <w:rPr>
                <w:sz w:val="20"/>
                <w:szCs w:val="20"/>
                <w:color w:val="auto"/>
              </w:rPr>
            </w:pPr>
            <w:r>
              <w:rPr>
                <w:rFonts w:ascii="Arial" w:cs="Arial" w:eastAsia="Arial" w:hAnsi="Arial"/>
                <w:sz w:val="14"/>
                <w:szCs w:val="14"/>
                <w:color w:val="auto"/>
              </w:rPr>
              <w:t>Wt. Avg.</w:t>
            </w:r>
          </w:p>
        </w:tc>
      </w:tr>
      <w:tr>
        <w:trPr>
          <w:trHeight w:val="167"/>
        </w:trPr>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Exercise Prices</w:t>
            </w:r>
          </w:p>
        </w:tc>
        <w:tc>
          <w:tcPr>
            <w:tcW w:w="480" w:type="dxa"/>
            <w:vAlign w:val="bottom"/>
          </w:tcPr>
          <w:p>
            <w:pPr>
              <w:spacing w:after="0"/>
              <w:rPr>
                <w:sz w:val="14"/>
                <w:szCs w:val="14"/>
                <w:color w:val="auto"/>
              </w:rPr>
            </w:pPr>
          </w:p>
        </w:tc>
        <w:tc>
          <w:tcPr>
            <w:tcW w:w="10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Outstanding</w:t>
            </w:r>
          </w:p>
        </w:tc>
        <w:tc>
          <w:tcPr>
            <w:tcW w:w="4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Life (Years)</w:t>
            </w:r>
          </w:p>
        </w:tc>
        <w:tc>
          <w:tcPr>
            <w:tcW w:w="500" w:type="dxa"/>
            <w:vAlign w:val="bottom"/>
          </w:tcPr>
          <w:p>
            <w:pPr>
              <w:spacing w:after="0"/>
              <w:rPr>
                <w:sz w:val="14"/>
                <w:szCs w:val="14"/>
                <w:color w:val="auto"/>
              </w:rPr>
            </w:pPr>
          </w:p>
        </w:tc>
        <w:tc>
          <w:tcPr>
            <w:tcW w:w="10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color w:val="auto"/>
              </w:rPr>
              <w:t>Ex. Price</w:t>
            </w:r>
          </w:p>
        </w:tc>
        <w:tc>
          <w:tcPr>
            <w:tcW w:w="480" w:type="dxa"/>
            <w:vAlign w:val="bottom"/>
          </w:tcPr>
          <w:p>
            <w:pPr>
              <w:spacing w:after="0"/>
              <w:rPr>
                <w:sz w:val="14"/>
                <w:szCs w:val="14"/>
                <w:color w:val="auto"/>
              </w:rPr>
            </w:pPr>
          </w:p>
        </w:tc>
        <w:tc>
          <w:tcPr>
            <w:tcW w:w="10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Exercisable</w:t>
            </w:r>
          </w:p>
        </w:tc>
        <w:tc>
          <w:tcPr>
            <w:tcW w:w="480" w:type="dxa"/>
            <w:vAlign w:val="bottom"/>
          </w:tcPr>
          <w:p>
            <w:pPr>
              <w:spacing w:after="0"/>
              <w:rPr>
                <w:sz w:val="14"/>
                <w:szCs w:val="14"/>
                <w:color w:val="auto"/>
              </w:rPr>
            </w:pPr>
          </w:p>
        </w:tc>
        <w:tc>
          <w:tcPr>
            <w:tcW w:w="102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color w:val="auto"/>
              </w:rPr>
              <w:t>Ex. Price</w:t>
            </w:r>
          </w:p>
        </w:tc>
      </w:tr>
      <w:tr>
        <w:trPr>
          <w:trHeight w:val="210"/>
        </w:trPr>
        <w:tc>
          <w:tcPr>
            <w:tcW w:w="440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89"/>
              </w:rPr>
              <w:t>$7.32 – $10.98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left="413"/>
              <w:spacing w:after="0"/>
              <w:rPr>
                <w:sz w:val="20"/>
                <w:szCs w:val="20"/>
                <w:color w:val="auto"/>
              </w:rPr>
            </w:pPr>
            <w:r>
              <w:rPr>
                <w:rFonts w:ascii="Arial" w:cs="Arial" w:eastAsia="Arial" w:hAnsi="Arial"/>
                <w:sz w:val="18"/>
                <w:szCs w:val="18"/>
                <w:color w:val="auto"/>
                <w:w w:val="95"/>
              </w:rPr>
              <w:t>9.2</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7.42</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$10.99 – $16.49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1,227</w:t>
            </w:r>
          </w:p>
        </w:tc>
        <w:tc>
          <w:tcPr>
            <w:tcW w:w="340" w:type="dxa"/>
            <w:vAlign w:val="bottom"/>
          </w:tcPr>
          <w:p>
            <w:pPr>
              <w:spacing w:after="0"/>
              <w:rPr>
                <w:sz w:val="18"/>
                <w:szCs w:val="18"/>
                <w:color w:val="auto"/>
              </w:rPr>
            </w:pPr>
          </w:p>
        </w:tc>
        <w:tc>
          <w:tcPr>
            <w:tcW w:w="1380" w:type="dxa"/>
            <w:vAlign w:val="bottom"/>
            <w:gridSpan w:val="2"/>
          </w:tcPr>
          <w:p>
            <w:pPr>
              <w:jc w:val="center"/>
              <w:ind w:left="413"/>
              <w:spacing w:after="0"/>
              <w:rPr>
                <w:sz w:val="20"/>
                <w:szCs w:val="20"/>
                <w:color w:val="auto"/>
              </w:rPr>
            </w:pPr>
            <w:r>
              <w:rPr>
                <w:rFonts w:ascii="Arial" w:cs="Arial" w:eastAsia="Arial" w:hAnsi="Arial"/>
                <w:sz w:val="18"/>
                <w:szCs w:val="18"/>
                <w:color w:val="auto"/>
                <w:w w:val="95"/>
              </w:rPr>
              <w:t>5.0</w:t>
            </w:r>
          </w:p>
        </w:tc>
        <w:tc>
          <w:tcPr>
            <w:tcW w:w="5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14.67</w:t>
            </w:r>
          </w:p>
        </w:tc>
        <w:tc>
          <w:tcPr>
            <w:tcW w:w="1560" w:type="dxa"/>
            <w:vAlign w:val="bottom"/>
            <w:gridSpan w:val="4"/>
          </w:tcPr>
          <w:p>
            <w:pPr>
              <w:jc w:val="right"/>
              <w:ind w:right="340"/>
              <w:spacing w:after="0"/>
              <w:rPr>
                <w:sz w:val="20"/>
                <w:szCs w:val="20"/>
                <w:color w:val="auto"/>
              </w:rPr>
            </w:pPr>
            <w:r>
              <w:rPr>
                <w:rFonts w:ascii="Arial" w:cs="Arial" w:eastAsia="Arial" w:hAnsi="Arial"/>
                <w:sz w:val="18"/>
                <w:szCs w:val="18"/>
                <w:color w:val="auto"/>
              </w:rPr>
              <w:t>1,003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14.74</w:t>
            </w:r>
          </w:p>
        </w:tc>
      </w:tr>
      <w:tr>
        <w:trPr>
          <w:trHeight w:val="216"/>
        </w:trPr>
        <w:tc>
          <w:tcPr>
            <w:tcW w:w="440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89"/>
              </w:rPr>
              <w:t>$16.50 – $24.75</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739</w:t>
            </w:r>
          </w:p>
        </w:tc>
        <w:tc>
          <w:tcPr>
            <w:tcW w:w="1380" w:type="dxa"/>
            <w:vAlign w:val="bottom"/>
            <w:gridSpan w:val="2"/>
            <w:shd w:val="clear" w:color="auto" w:fill="CCEEFF"/>
          </w:tcPr>
          <w:p>
            <w:pPr>
              <w:jc w:val="center"/>
              <w:ind w:left="413"/>
              <w:spacing w:after="0"/>
              <w:rPr>
                <w:sz w:val="20"/>
                <w:szCs w:val="20"/>
                <w:color w:val="auto"/>
              </w:rPr>
            </w:pPr>
            <w:r>
              <w:rPr>
                <w:rFonts w:ascii="Arial" w:cs="Arial" w:eastAsia="Arial" w:hAnsi="Arial"/>
                <w:sz w:val="18"/>
                <w:szCs w:val="18"/>
                <w:color w:val="auto"/>
                <w:w w:val="95"/>
              </w:rPr>
              <w:t>4.1</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4"/>
              </w:rPr>
              <w:t>18.02</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727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4"/>
              </w:rPr>
              <w:t>18.02</w:t>
            </w:r>
          </w:p>
        </w:tc>
      </w:tr>
      <w:tr>
        <w:trPr>
          <w:trHeight w:val="216"/>
        </w:trPr>
        <w:tc>
          <w:tcPr>
            <w:tcW w:w="440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$24.76 – $37.14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8"/>
                <w:szCs w:val="18"/>
                <w:color w:val="auto"/>
              </w:rPr>
            </w:pPr>
          </w:p>
        </w:tc>
        <w:tc>
          <w:tcPr>
            <w:tcW w:w="1380" w:type="dxa"/>
            <w:vAlign w:val="bottom"/>
            <w:gridSpan w:val="2"/>
          </w:tcPr>
          <w:p>
            <w:pPr>
              <w:jc w:val="center"/>
              <w:ind w:left="413"/>
              <w:spacing w:after="0"/>
              <w:rPr>
                <w:sz w:val="20"/>
                <w:szCs w:val="20"/>
                <w:color w:val="auto"/>
              </w:rPr>
            </w:pPr>
            <w:r>
              <w:rPr>
                <w:rFonts w:ascii="Arial" w:cs="Arial" w:eastAsia="Arial" w:hAnsi="Arial"/>
                <w:sz w:val="18"/>
                <w:szCs w:val="18"/>
                <w:color w:val="auto"/>
                <w:w w:val="95"/>
              </w:rPr>
              <w:t>1.7</w:t>
            </w:r>
          </w:p>
        </w:tc>
        <w:tc>
          <w:tcPr>
            <w:tcW w:w="5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29.04</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29.04</w:t>
            </w:r>
          </w:p>
        </w:tc>
      </w:tr>
      <w:tr>
        <w:trPr>
          <w:trHeight w:val="216"/>
        </w:trPr>
        <w:tc>
          <w:tcPr>
            <w:tcW w:w="440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89"/>
              </w:rPr>
              <w:t>$37.15 – $38.81</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380" w:type="dxa"/>
            <w:vAlign w:val="bottom"/>
            <w:gridSpan w:val="2"/>
            <w:shd w:val="clear" w:color="auto" w:fill="CCEEFF"/>
          </w:tcPr>
          <w:p>
            <w:pPr>
              <w:jc w:val="center"/>
              <w:ind w:left="413"/>
              <w:spacing w:after="0"/>
              <w:rPr>
                <w:sz w:val="20"/>
                <w:szCs w:val="20"/>
                <w:color w:val="auto"/>
              </w:rPr>
            </w:pPr>
            <w:r>
              <w:rPr>
                <w:rFonts w:ascii="Arial" w:cs="Arial" w:eastAsia="Arial" w:hAnsi="Arial"/>
                <w:sz w:val="18"/>
                <w:szCs w:val="18"/>
                <w:color w:val="auto"/>
                <w:w w:val="95"/>
              </w:rPr>
              <w:t>0.2</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4"/>
              </w:rPr>
              <w:t>38.81</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4"/>
              </w:rPr>
              <w:t>38.81</w:t>
            </w:r>
          </w:p>
        </w:tc>
      </w:tr>
      <w:tr>
        <w:trPr>
          <w:trHeight w:val="223"/>
        </w:trPr>
        <w:tc>
          <w:tcPr>
            <w:tcW w:w="3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3,221</w:t>
            </w:r>
          </w:p>
        </w:tc>
        <w:tc>
          <w:tcPr>
            <w:tcW w:w="340" w:type="dxa"/>
            <w:vAlign w:val="bottom"/>
          </w:tcPr>
          <w:p>
            <w:pPr>
              <w:spacing w:after="0"/>
              <w:rPr>
                <w:sz w:val="19"/>
                <w:szCs w:val="19"/>
                <w:color w:val="auto"/>
              </w:rPr>
            </w:pPr>
          </w:p>
        </w:tc>
        <w:tc>
          <w:tcPr>
            <w:tcW w:w="1380" w:type="dxa"/>
            <w:vAlign w:val="bottom"/>
            <w:gridSpan w:val="2"/>
          </w:tcPr>
          <w:p>
            <w:pPr>
              <w:jc w:val="center"/>
              <w:ind w:left="413"/>
              <w:spacing w:after="0"/>
              <w:rPr>
                <w:sz w:val="20"/>
                <w:szCs w:val="20"/>
                <w:color w:val="auto"/>
              </w:rPr>
            </w:pPr>
            <w:r>
              <w:rPr>
                <w:rFonts w:ascii="Arial" w:cs="Arial" w:eastAsia="Arial" w:hAnsi="Arial"/>
                <w:sz w:val="18"/>
                <w:szCs w:val="18"/>
                <w:color w:val="auto"/>
                <w:w w:val="95"/>
              </w:rPr>
              <w:t>6.3</w:t>
            </w:r>
          </w:p>
        </w:tc>
        <w:tc>
          <w:tcPr>
            <w:tcW w:w="5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12.87</w:t>
            </w:r>
          </w:p>
        </w:tc>
        <w:tc>
          <w:tcPr>
            <w:tcW w:w="820" w:type="dxa"/>
            <w:vAlign w:val="bottom"/>
            <w:gridSpan w:val="2"/>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1,766</w:t>
            </w:r>
          </w:p>
        </w:tc>
        <w:tc>
          <w:tcPr>
            <w:tcW w:w="3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16.40</w:t>
            </w:r>
          </w:p>
        </w:tc>
      </w:tr>
      <w:tr>
        <w:trPr>
          <w:trHeight w:val="20"/>
        </w:trPr>
        <w:tc>
          <w:tcPr>
            <w:tcW w:w="3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103" w:lineRule="exact"/>
        <w:rPr>
          <w:sz w:val="20"/>
          <w:szCs w:val="20"/>
          <w:color w:val="auto"/>
        </w:rPr>
      </w:pPr>
    </w:p>
    <w:p>
      <w:pPr>
        <w:ind w:left="220" w:right="200"/>
        <w:spacing w:after="0" w:line="261" w:lineRule="auto"/>
        <w:rPr>
          <w:sz w:val="20"/>
          <w:szCs w:val="20"/>
          <w:color w:val="auto"/>
        </w:rPr>
      </w:pPr>
      <w:r>
        <w:rPr>
          <w:rFonts w:ascii="Arial" w:cs="Arial" w:eastAsia="Arial" w:hAnsi="Arial"/>
          <w:sz w:val="18"/>
          <w:szCs w:val="18"/>
          <w:b w:val="1"/>
          <w:bCs w:val="1"/>
          <w:color w:val="auto"/>
        </w:rPr>
        <w:t xml:space="preserve">Restricted Stock Units </w:t>
      </w:r>
      <w:r>
        <w:rPr>
          <w:rFonts w:ascii="Arial" w:cs="Arial" w:eastAsia="Arial" w:hAnsi="Arial"/>
          <w:sz w:val="18"/>
          <w:szCs w:val="18"/>
          <w:color w:val="auto"/>
        </w:rPr>
        <w:t>— Under our equity incentive plans, restricted stock units may be granted to employees, consultants and outside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units vest over either a one-year or a four-year period from the date of grant. Prior to vesting, restricted stock units do not have dividend equivalent rights, do not have voting rights and the shares underlying the restricted stock units are not considered issued and outstanding. Shares of our common stock will be issued on the date the restricted stock units vest.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Restricted stock unit activity under our share-based compensation plans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2009</w:t>
            </w:r>
          </w:p>
        </w:tc>
        <w:tc>
          <w:tcPr>
            <w:tcW w:w="7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2008</w:t>
            </w:r>
          </w:p>
        </w:tc>
        <w:tc>
          <w:tcPr>
            <w:tcW w:w="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20" w:type="dxa"/>
            <w:vAlign w:val="bottom"/>
            <w:gridSpan w:val="2"/>
          </w:tcPr>
          <w:p>
            <w:pPr>
              <w:ind w:left="740"/>
              <w:spacing w:after="0" w:line="123" w:lineRule="exact"/>
              <w:rPr>
                <w:sz w:val="20"/>
                <w:szCs w:val="20"/>
                <w:color w:val="auto"/>
              </w:rPr>
            </w:pPr>
            <w:r>
              <w:rPr>
                <w:rFonts w:ascii="Arial" w:cs="Arial" w:eastAsia="Arial" w:hAnsi="Arial"/>
                <w:sz w:val="14"/>
                <w:szCs w:val="14"/>
                <w:color w:val="auto"/>
              </w:rPr>
              <w:t>Wt. Avg.</w:t>
            </w: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60" w:type="dxa"/>
            <w:vAlign w:val="bottom"/>
          </w:tcPr>
          <w:p>
            <w:pPr>
              <w:ind w:left="760"/>
              <w:spacing w:after="0" w:line="123" w:lineRule="exact"/>
              <w:rPr>
                <w:sz w:val="20"/>
                <w:szCs w:val="20"/>
                <w:color w:val="auto"/>
              </w:rPr>
            </w:pPr>
            <w:r>
              <w:rPr>
                <w:rFonts w:ascii="Arial" w:cs="Arial" w:eastAsia="Arial" w:hAnsi="Arial"/>
                <w:sz w:val="14"/>
                <w:szCs w:val="14"/>
                <w:color w:val="auto"/>
              </w:rPr>
              <w:t>Wt. Avg.</w:t>
            </w: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20" w:type="dxa"/>
            <w:vAlign w:val="bottom"/>
          </w:tcPr>
          <w:p>
            <w:pPr>
              <w:ind w:left="740"/>
              <w:spacing w:after="0" w:line="123" w:lineRule="exact"/>
              <w:rPr>
                <w:sz w:val="20"/>
                <w:szCs w:val="20"/>
                <w:color w:val="auto"/>
              </w:rPr>
            </w:pPr>
            <w:r>
              <w:rPr>
                <w:rFonts w:ascii="Arial" w:cs="Arial" w:eastAsia="Arial" w:hAnsi="Arial"/>
                <w:sz w:val="14"/>
                <w:szCs w:val="14"/>
                <w:color w:val="auto"/>
              </w:rPr>
              <w:t>Wt. Avg.</w:t>
            </w:r>
          </w:p>
        </w:tc>
        <w:tc>
          <w:tcPr>
            <w:tcW w:w="0" w:type="dxa"/>
            <w:vAlign w:val="bottom"/>
          </w:tcPr>
          <w:p>
            <w:pPr>
              <w:spacing w:after="0"/>
              <w:rPr>
                <w:sz w:val="1"/>
                <w:szCs w:val="1"/>
                <w:color w:val="auto"/>
              </w:rPr>
            </w:pPr>
          </w:p>
        </w:tc>
      </w:tr>
      <w:tr>
        <w:trPr>
          <w:trHeight w:val="174"/>
        </w:trPr>
        <w:tc>
          <w:tcPr>
            <w:tcW w:w="338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260" w:type="dxa"/>
            <w:vAlign w:val="bottom"/>
          </w:tcPr>
          <w:p>
            <w:pPr>
              <w:spacing w:after="0"/>
              <w:rPr>
                <w:sz w:val="15"/>
                <w:szCs w:val="15"/>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4"/>
                <w:szCs w:val="14"/>
                <w:color w:val="auto"/>
                <w:w w:val="93"/>
              </w:rPr>
              <w:t>Units</w:t>
            </w:r>
          </w:p>
        </w:tc>
        <w:tc>
          <w:tcPr>
            <w:tcW w:w="1520" w:type="dxa"/>
            <w:vAlign w:val="bottom"/>
            <w:gridSpan w:val="2"/>
          </w:tcPr>
          <w:p>
            <w:pPr>
              <w:ind w:left="700"/>
              <w:spacing w:after="0"/>
              <w:rPr>
                <w:sz w:val="20"/>
                <w:szCs w:val="20"/>
                <w:color w:val="auto"/>
              </w:rPr>
            </w:pPr>
            <w:r>
              <w:rPr>
                <w:rFonts w:ascii="Arial" w:cs="Arial" w:eastAsia="Arial" w:hAnsi="Arial"/>
                <w:sz w:val="14"/>
                <w:szCs w:val="14"/>
                <w:color w:val="auto"/>
              </w:rPr>
              <w:t>Fair Value</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4"/>
                <w:szCs w:val="14"/>
                <w:color w:val="auto"/>
                <w:w w:val="93"/>
              </w:rPr>
              <w:t>Units</w:t>
            </w:r>
          </w:p>
        </w:tc>
        <w:tc>
          <w:tcPr>
            <w:tcW w:w="1560" w:type="dxa"/>
            <w:vAlign w:val="bottom"/>
          </w:tcPr>
          <w:p>
            <w:pPr>
              <w:ind w:left="720"/>
              <w:spacing w:after="0"/>
              <w:rPr>
                <w:sz w:val="20"/>
                <w:szCs w:val="20"/>
                <w:color w:val="auto"/>
              </w:rPr>
            </w:pPr>
            <w:r>
              <w:rPr>
                <w:rFonts w:ascii="Arial" w:cs="Arial" w:eastAsia="Arial" w:hAnsi="Arial"/>
                <w:sz w:val="14"/>
                <w:szCs w:val="14"/>
                <w:color w:val="auto"/>
              </w:rPr>
              <w:t>Fair Value</w:t>
            </w:r>
          </w:p>
        </w:tc>
        <w:tc>
          <w:tcPr>
            <w:tcW w:w="460" w:type="dxa"/>
            <w:vAlign w:val="bottom"/>
          </w:tcPr>
          <w:p>
            <w:pPr>
              <w:spacing w:after="0"/>
              <w:rPr>
                <w:sz w:val="15"/>
                <w:szCs w:val="15"/>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4"/>
                <w:szCs w:val="14"/>
                <w:color w:val="auto"/>
              </w:rPr>
              <w:t>Units</w:t>
            </w:r>
          </w:p>
        </w:tc>
        <w:tc>
          <w:tcPr>
            <w:tcW w:w="1520" w:type="dxa"/>
            <w:vAlign w:val="bottom"/>
          </w:tcPr>
          <w:p>
            <w:pPr>
              <w:ind w:left="70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beginning of year</w:t>
            </w:r>
          </w:p>
        </w:tc>
        <w:tc>
          <w:tcPr>
            <w:tcW w:w="840" w:type="dxa"/>
            <w:vAlign w:val="bottom"/>
            <w:tcBorders>
              <w:top w:val="single" w:sz="8" w:color="auto"/>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253</w:t>
            </w:r>
          </w:p>
        </w:tc>
        <w:tc>
          <w:tcPr>
            <w:tcW w:w="80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84"/>
              </w:rPr>
              <w:t>15.40</w:t>
            </w:r>
          </w:p>
        </w:tc>
        <w:tc>
          <w:tcPr>
            <w:tcW w:w="1320" w:type="dxa"/>
            <w:vAlign w:val="bottom"/>
            <w:tcBorders>
              <w:top w:val="single" w:sz="8" w:color="auto"/>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373</w:t>
            </w:r>
          </w:p>
        </w:tc>
        <w:tc>
          <w:tcPr>
            <w:tcW w:w="156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$15.39</w:t>
            </w:r>
          </w:p>
        </w:tc>
        <w:tc>
          <w:tcPr>
            <w:tcW w:w="1280" w:type="dxa"/>
            <w:vAlign w:val="bottom"/>
            <w:tcBorders>
              <w:top w:val="single" w:sz="8" w:color="auto"/>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253</w:t>
            </w:r>
          </w:p>
        </w:tc>
        <w:tc>
          <w:tcPr>
            <w:tcW w:w="152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11</w:t>
            </w:r>
          </w:p>
        </w:tc>
        <w:tc>
          <w:tcPr>
            <w:tcW w:w="800" w:type="dxa"/>
            <w:vAlign w:val="bottom"/>
          </w:tcPr>
          <w:p>
            <w:pPr>
              <w:ind w:left="70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230"/>
              <w:spacing w:after="0"/>
              <w:rPr>
                <w:sz w:val="20"/>
                <w:szCs w:val="20"/>
                <w:color w:val="auto"/>
              </w:rPr>
            </w:pPr>
            <w:r>
              <w:rPr>
                <w:rFonts w:ascii="Arial" w:cs="Arial" w:eastAsia="Arial" w:hAnsi="Arial"/>
                <w:sz w:val="18"/>
                <w:szCs w:val="18"/>
                <w:color w:val="auto"/>
              </w:rPr>
              <w:t>9.28</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1560" w:type="dxa"/>
            <w:vAlign w:val="bottom"/>
          </w:tcPr>
          <w:p>
            <w:pPr>
              <w:ind w:left="740"/>
              <w:spacing w:after="0"/>
              <w:rPr>
                <w:sz w:val="20"/>
                <w:szCs w:val="20"/>
                <w:color w:val="auto"/>
              </w:rPr>
            </w:pPr>
            <w:r>
              <w:rPr>
                <w:rFonts w:ascii="Arial" w:cs="Arial" w:eastAsia="Arial" w:hAnsi="Arial"/>
                <w:sz w:val="18"/>
                <w:szCs w:val="18"/>
                <w:color w:val="auto"/>
              </w:rPr>
              <w:t>$16.63</w:t>
            </w:r>
          </w:p>
        </w:tc>
        <w:tc>
          <w:tcPr>
            <w:tcW w:w="1280" w:type="dxa"/>
            <w:vAlign w:val="bottom"/>
            <w:gridSpan w:val="4"/>
          </w:tcPr>
          <w:p>
            <w:pPr>
              <w:jc w:val="right"/>
              <w:ind w:right="280"/>
              <w:spacing w:after="0"/>
              <w:rPr>
                <w:sz w:val="20"/>
                <w:szCs w:val="20"/>
                <w:color w:val="auto"/>
              </w:rPr>
            </w:pPr>
            <w:r>
              <w:rPr>
                <w:rFonts w:ascii="Arial" w:cs="Arial" w:eastAsia="Arial" w:hAnsi="Arial"/>
                <w:sz w:val="18"/>
                <w:szCs w:val="18"/>
                <w:color w:val="auto"/>
              </w:rPr>
              <w:t>210</w:t>
            </w:r>
          </w:p>
        </w:tc>
        <w:tc>
          <w:tcPr>
            <w:tcW w:w="1520" w:type="dxa"/>
            <w:vAlign w:val="bottom"/>
          </w:tcPr>
          <w:p>
            <w:pPr>
              <w:ind w:left="7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(102)</w:t>
            </w:r>
          </w:p>
        </w:tc>
        <w:tc>
          <w:tcPr>
            <w:tcW w:w="800" w:type="dxa"/>
            <w:vAlign w:val="bottom"/>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4"/>
              </w:rPr>
              <w:t>15.30</w:t>
            </w:r>
          </w:p>
        </w:tc>
        <w:tc>
          <w:tcPr>
            <w:tcW w:w="13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(105)</w:t>
            </w:r>
          </w:p>
        </w:tc>
        <w:tc>
          <w:tcPr>
            <w:tcW w:w="15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$15.57</w:t>
            </w:r>
          </w:p>
        </w:tc>
        <w:tc>
          <w:tcPr>
            <w:tcW w:w="12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1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Canceled</w:t>
            </w:r>
          </w:p>
        </w:tc>
        <w:tc>
          <w:tcPr>
            <w:tcW w:w="2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800" w:type="dxa"/>
            <w:vAlign w:val="bottom"/>
          </w:tcPr>
          <w:p>
            <w:pPr>
              <w:ind w:left="70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14.74</w:t>
            </w:r>
          </w:p>
        </w:tc>
        <w:tc>
          <w:tcPr>
            <w:tcW w:w="1320" w:type="dxa"/>
            <w:vAlign w:val="bottom"/>
            <w:gridSpan w:val="4"/>
          </w:tcPr>
          <w:p>
            <w:pPr>
              <w:jc w:val="right"/>
              <w:ind w:right="180"/>
              <w:spacing w:after="0"/>
              <w:rPr>
                <w:sz w:val="20"/>
                <w:szCs w:val="20"/>
                <w:color w:val="auto"/>
              </w:rPr>
            </w:pPr>
            <w:r>
              <w:rPr>
                <w:rFonts w:ascii="Arial" w:cs="Arial" w:eastAsia="Arial" w:hAnsi="Arial"/>
                <w:sz w:val="18"/>
                <w:szCs w:val="18"/>
                <w:color w:val="auto"/>
              </w:rPr>
              <w:t>(38)</w:t>
            </w:r>
          </w:p>
        </w:tc>
        <w:tc>
          <w:tcPr>
            <w:tcW w:w="1560" w:type="dxa"/>
            <w:vAlign w:val="bottom"/>
          </w:tcPr>
          <w:p>
            <w:pPr>
              <w:ind w:left="740"/>
              <w:spacing w:after="0"/>
              <w:rPr>
                <w:sz w:val="20"/>
                <w:szCs w:val="20"/>
                <w:color w:val="auto"/>
              </w:rPr>
            </w:pPr>
            <w:r>
              <w:rPr>
                <w:rFonts w:ascii="Arial" w:cs="Arial" w:eastAsia="Arial" w:hAnsi="Arial"/>
                <w:sz w:val="18"/>
                <w:szCs w:val="18"/>
                <w:color w:val="auto"/>
              </w:rPr>
              <w:t>$15.59</w:t>
            </w:r>
          </w:p>
        </w:tc>
        <w:tc>
          <w:tcPr>
            <w:tcW w:w="1280" w:type="dxa"/>
            <w:vAlign w:val="bottom"/>
            <w:gridSpan w:val="4"/>
          </w:tcPr>
          <w:p>
            <w:pPr>
              <w:jc w:val="right"/>
              <w:ind w:right="220"/>
              <w:spacing w:after="0"/>
              <w:rPr>
                <w:sz w:val="20"/>
                <w:szCs w:val="20"/>
                <w:color w:val="auto"/>
              </w:rPr>
            </w:pPr>
            <w:r>
              <w:rPr>
                <w:rFonts w:ascii="Arial" w:cs="Arial" w:eastAsia="Arial" w:hAnsi="Arial"/>
                <w:sz w:val="18"/>
                <w:szCs w:val="18"/>
                <w:color w:val="auto"/>
              </w:rPr>
              <w:t>(25)</w:t>
            </w:r>
          </w:p>
        </w:tc>
        <w:tc>
          <w:tcPr>
            <w:tcW w:w="1520" w:type="dxa"/>
            <w:vAlign w:val="bottom"/>
          </w:tcPr>
          <w:p>
            <w:pPr>
              <w:ind w:left="700"/>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Outstanding, end of year</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4"/>
              </w:rPr>
              <w:t>14.60</w:t>
            </w:r>
          </w:p>
        </w:tc>
        <w:tc>
          <w:tcPr>
            <w:tcW w:w="740" w:type="dxa"/>
            <w:vAlign w:val="bottom"/>
            <w:gridSpan w:val="2"/>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$15.40</w:t>
            </w:r>
          </w:p>
        </w:tc>
        <w:tc>
          <w:tcPr>
            <w:tcW w:w="12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373</w:t>
            </w:r>
          </w:p>
        </w:tc>
        <w:tc>
          <w:tcPr>
            <w:tcW w:w="1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240" w:right="20"/>
        <w:spacing w:after="0" w:line="271" w:lineRule="auto"/>
        <w:rPr>
          <w:sz w:val="20"/>
          <w:szCs w:val="20"/>
          <w:color w:val="auto"/>
        </w:rPr>
      </w:pPr>
      <w:r>
        <w:rPr>
          <w:rFonts w:ascii="Arial" w:cs="Arial" w:eastAsia="Arial" w:hAnsi="Arial"/>
          <w:sz w:val="17"/>
          <w:szCs w:val="17"/>
          <w:b w:val="1"/>
          <w:bCs w:val="1"/>
          <w:color w:val="auto"/>
        </w:rPr>
        <w:t xml:space="preserve">Share-based Compensation </w:t>
      </w:r>
      <w:r>
        <w:rPr>
          <w:rFonts w:ascii="Arial" w:cs="Arial" w:eastAsia="Arial" w:hAnsi="Arial"/>
          <w:sz w:val="17"/>
          <w:szCs w:val="17"/>
          <w:color w:val="auto"/>
        </w:rPr>
        <w:t>— We estimate the fair value of each share-based award on the grant date using the Black-Scholes valuation model. Option</w:t>
      </w:r>
      <w:r>
        <w:rPr>
          <w:rFonts w:ascii="Arial" w:cs="Arial" w:eastAsia="Arial" w:hAnsi="Arial"/>
          <w:sz w:val="17"/>
          <w:szCs w:val="17"/>
          <w:b w:val="1"/>
          <w:bCs w:val="1"/>
          <w:color w:val="auto"/>
        </w:rPr>
        <w:t xml:space="preserve"> </w:t>
      </w:r>
      <w:r>
        <w:rPr>
          <w:rFonts w:ascii="Arial" w:cs="Arial" w:eastAsia="Arial" w:hAnsi="Arial"/>
          <w:sz w:val="17"/>
          <w:szCs w:val="17"/>
          <w:color w:val="auto"/>
        </w:rPr>
        <w:t>valuation models, including Black-Scholes, require the input of highly subjective assumptions, and changes in the assumptions used can materially affect the grant date fair value of an award. These assumptions include the risk-free rate of interest, expected dividend yield, expected volatility, and the expected life of the award. The risk-free rate of interest is based on the U.S. Treasury rates appropriate for the expected term of the award. Expected dividends are based, primarily, on historical factors related to our common stock. Expected volatility is based on historic, weekly stock price observations of our common stock during the period immediately preceding the share-based award grant that is equal in length to the award’s expected term. We believe that historical volatility is the best estimate of future volatility. Expected life of the award is based on historical option exercise data. Estimated forfeitures are required to be included as a part of the grant date expense estimate. We used historical data to estimate expected employee behaviors related to option exercises and forfeitures.</w:t>
      </w:r>
    </w:p>
    <w:p>
      <w:pPr>
        <w:spacing w:after="0" w:line="70" w:lineRule="exact"/>
        <w:rPr>
          <w:sz w:val="20"/>
          <w:szCs w:val="20"/>
          <w:color w:val="auto"/>
        </w:rPr>
      </w:pPr>
    </w:p>
    <w:p>
      <w:pPr>
        <w:ind w:left="240" w:right="460"/>
        <w:spacing w:after="0" w:line="342" w:lineRule="auto"/>
        <w:rPr>
          <w:sz w:val="20"/>
          <w:szCs w:val="20"/>
          <w:color w:val="auto"/>
        </w:rPr>
      </w:pPr>
      <w:r>
        <w:rPr>
          <w:rFonts w:ascii="Arial" w:cs="Arial" w:eastAsia="Arial" w:hAnsi="Arial"/>
          <w:sz w:val="16"/>
          <w:szCs w:val="16"/>
          <w:color w:val="auto"/>
        </w:rPr>
        <w:t>Share-based compensation expense related to restricted stock unit awards is calculated based on the market price of our common stock on the date of grant, reduced by the present value of dividends expected to be paid on our common stock prior to vesting of the restricted stock unit.</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weighted average assumptions were used to value share-based awards granted: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60" w:type="dxa"/>
            <w:vAlign w:val="bottom"/>
            <w:gridSpan w:val="2"/>
          </w:tcPr>
          <w:p>
            <w:pPr>
              <w:spacing w:after="0"/>
              <w:rPr>
                <w:sz w:val="20"/>
                <w:szCs w:val="20"/>
                <w:color w:val="auto"/>
              </w:rPr>
            </w:pPr>
            <w:r>
              <w:rPr>
                <w:rFonts w:ascii="Arial" w:cs="Arial" w:eastAsia="Arial" w:hAnsi="Arial"/>
                <w:sz w:val="14"/>
                <w:szCs w:val="14"/>
                <w:i w:val="1"/>
                <w:iCs w:val="1"/>
                <w:color w:val="auto"/>
              </w:rPr>
              <w:t>Employee Stock Purchase Plan</w:t>
            </w:r>
          </w:p>
        </w:tc>
        <w:tc>
          <w:tcPr>
            <w:tcW w:w="4440" w:type="dxa"/>
            <w:vAlign w:val="bottom"/>
          </w:tcPr>
          <w:p>
            <w:pPr>
              <w:jc w:val="center"/>
              <w:ind w:left="2974"/>
              <w:spacing w:after="0"/>
              <w:rPr>
                <w:sz w:val="20"/>
                <w:szCs w:val="20"/>
                <w:color w:val="auto"/>
              </w:rPr>
            </w:pPr>
            <w:r>
              <w:rPr>
                <w:rFonts w:ascii="Arial" w:cs="Arial" w:eastAsia="Arial" w:hAnsi="Arial"/>
                <w:sz w:val="14"/>
                <w:szCs w:val="14"/>
                <w:color w:val="auto"/>
                <w:w w:val="96"/>
              </w:rPr>
              <w:t>2009</w:t>
            </w: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2008</w:t>
            </w:r>
          </w:p>
        </w:tc>
        <w:tc>
          <w:tcPr>
            <w:tcW w:w="1060" w:type="dxa"/>
            <w:vAlign w:val="bottom"/>
          </w:tcPr>
          <w:p>
            <w:pPr>
              <w:jc w:val="center"/>
              <w:ind w:left="194"/>
              <w:spacing w:after="0"/>
              <w:rPr>
                <w:sz w:val="20"/>
                <w:szCs w:val="20"/>
                <w:color w:val="auto"/>
              </w:rPr>
            </w:pPr>
            <w:r>
              <w:rPr>
                <w:rFonts w:ascii="Arial" w:cs="Arial" w:eastAsia="Arial" w:hAnsi="Arial"/>
                <w:sz w:val="14"/>
                <w:szCs w:val="14"/>
                <w:color w:val="auto"/>
                <w:w w:val="96"/>
              </w:rPr>
              <w:t>2007</w:t>
            </w:r>
          </w:p>
        </w:tc>
      </w:tr>
      <w:tr>
        <w:trPr>
          <w:trHeight w:val="216"/>
        </w:trPr>
        <w:tc>
          <w:tcPr>
            <w:tcW w:w="20" w:type="dxa"/>
            <w:vAlign w:val="bottom"/>
          </w:tcPr>
          <w:p>
            <w:pPr>
              <w:spacing w:after="0"/>
              <w:rPr>
                <w:sz w:val="18"/>
                <w:szCs w:val="18"/>
                <w:color w:val="auto"/>
              </w:rPr>
            </w:pPr>
          </w:p>
        </w:tc>
        <w:tc>
          <w:tcPr>
            <w:tcW w:w="4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440" w:type="dxa"/>
            <w:vAlign w:val="bottom"/>
            <w:tcBorders>
              <w:top w:val="single" w:sz="8" w:color="auto"/>
            </w:tcBorders>
            <w:shd w:val="clear" w:color="auto" w:fill="CCEEFF"/>
          </w:tcPr>
          <w:p>
            <w:pPr>
              <w:jc w:val="center"/>
              <w:ind w:left="2974"/>
              <w:spacing w:after="0"/>
              <w:rPr>
                <w:sz w:val="20"/>
                <w:szCs w:val="20"/>
                <w:color w:val="auto"/>
              </w:rPr>
            </w:pPr>
            <w:r>
              <w:rPr>
                <w:rFonts w:ascii="Arial" w:cs="Arial" w:eastAsia="Arial" w:hAnsi="Arial"/>
                <w:sz w:val="18"/>
                <w:szCs w:val="18"/>
                <w:color w:val="auto"/>
                <w:w w:val="92"/>
              </w:rPr>
              <w:t>2.1%</w:t>
            </w: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1.6%</w:t>
            </w:r>
          </w:p>
        </w:tc>
        <w:tc>
          <w:tcPr>
            <w:tcW w:w="1060" w:type="dxa"/>
            <w:vAlign w:val="bottom"/>
            <w:tcBorders>
              <w:top w:val="single" w:sz="8" w:color="auto"/>
            </w:tcBorders>
            <w:shd w:val="clear" w:color="auto" w:fill="CCEEFF"/>
          </w:tcPr>
          <w:p>
            <w:pPr>
              <w:jc w:val="center"/>
              <w:ind w:left="194"/>
              <w:spacing w:after="0"/>
              <w:rPr>
                <w:sz w:val="20"/>
                <w:szCs w:val="20"/>
                <w:color w:val="auto"/>
              </w:rPr>
            </w:pPr>
            <w:r>
              <w:rPr>
                <w:rFonts w:ascii="Arial" w:cs="Arial" w:eastAsia="Arial" w:hAnsi="Arial"/>
                <w:sz w:val="18"/>
                <w:szCs w:val="18"/>
                <w:color w:val="auto"/>
                <w:w w:val="92"/>
              </w:rPr>
              <w:t>1.3%</w:t>
            </w: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Expected volatility</w:t>
            </w:r>
          </w:p>
        </w:tc>
        <w:tc>
          <w:tcPr>
            <w:tcW w:w="4440" w:type="dxa"/>
            <w:vAlign w:val="bottom"/>
          </w:tcPr>
          <w:p>
            <w:pPr>
              <w:jc w:val="center"/>
              <w:ind w:left="2974"/>
              <w:spacing w:after="0"/>
              <w:rPr>
                <w:sz w:val="20"/>
                <w:szCs w:val="20"/>
                <w:color w:val="auto"/>
              </w:rPr>
            </w:pPr>
            <w:r>
              <w:rPr>
                <w:rFonts w:ascii="Arial" w:cs="Arial" w:eastAsia="Arial" w:hAnsi="Arial"/>
                <w:sz w:val="18"/>
                <w:szCs w:val="18"/>
                <w:color w:val="auto"/>
                <w:w w:val="90"/>
              </w:rPr>
              <w:t>54.7%</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53.5%</w:t>
            </w:r>
          </w:p>
        </w:tc>
        <w:tc>
          <w:tcPr>
            <w:tcW w:w="1060" w:type="dxa"/>
            <w:vAlign w:val="bottom"/>
          </w:tcPr>
          <w:p>
            <w:pPr>
              <w:jc w:val="center"/>
              <w:ind w:left="194"/>
              <w:spacing w:after="0"/>
              <w:rPr>
                <w:sz w:val="20"/>
                <w:szCs w:val="20"/>
                <w:color w:val="auto"/>
              </w:rPr>
            </w:pPr>
            <w:r>
              <w:rPr>
                <w:rFonts w:ascii="Arial" w:cs="Arial" w:eastAsia="Arial" w:hAnsi="Arial"/>
                <w:sz w:val="18"/>
                <w:szCs w:val="18"/>
                <w:color w:val="auto"/>
                <w:w w:val="90"/>
              </w:rPr>
              <w:t>34.7%</w:t>
            </w: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440" w:type="dxa"/>
            <w:vAlign w:val="bottom"/>
            <w:shd w:val="clear" w:color="auto" w:fill="CCEEFF"/>
          </w:tcPr>
          <w:p>
            <w:pPr>
              <w:jc w:val="center"/>
              <w:ind w:left="2974"/>
              <w:spacing w:after="0"/>
              <w:rPr>
                <w:sz w:val="20"/>
                <w:szCs w:val="20"/>
                <w:color w:val="auto"/>
              </w:rPr>
            </w:pPr>
            <w:r>
              <w:rPr>
                <w:rFonts w:ascii="Arial" w:cs="Arial" w:eastAsia="Arial" w:hAnsi="Arial"/>
                <w:sz w:val="18"/>
                <w:szCs w:val="18"/>
                <w:color w:val="auto"/>
                <w:w w:val="92"/>
              </w:rPr>
              <w:t>0.8%</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w:t>
            </w:r>
          </w:p>
        </w:tc>
        <w:tc>
          <w:tcPr>
            <w:tcW w:w="1060" w:type="dxa"/>
            <w:vAlign w:val="bottom"/>
            <w:shd w:val="clear" w:color="auto" w:fill="CCEEFF"/>
          </w:tcPr>
          <w:p>
            <w:pPr>
              <w:jc w:val="center"/>
              <w:ind w:left="194"/>
              <w:spacing w:after="0"/>
              <w:rPr>
                <w:sz w:val="20"/>
                <w:szCs w:val="20"/>
                <w:color w:val="auto"/>
              </w:rPr>
            </w:pPr>
            <w:r>
              <w:rPr>
                <w:rFonts w:ascii="Arial" w:cs="Arial" w:eastAsia="Arial" w:hAnsi="Arial"/>
                <w:sz w:val="18"/>
                <w:szCs w:val="18"/>
                <w:color w:val="auto"/>
                <w:w w:val="92"/>
              </w:rPr>
              <w:t>4.9%</w:t>
            </w: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Expected term of options</w:t>
            </w:r>
          </w:p>
        </w:tc>
        <w:tc>
          <w:tcPr>
            <w:tcW w:w="4440" w:type="dxa"/>
            <w:vAlign w:val="bottom"/>
          </w:tcPr>
          <w:p>
            <w:pPr>
              <w:ind w:left="3420"/>
              <w:spacing w:after="0"/>
              <w:rPr>
                <w:sz w:val="20"/>
                <w:szCs w:val="20"/>
                <w:color w:val="auto"/>
              </w:rPr>
            </w:pPr>
            <w:r>
              <w:rPr>
                <w:rFonts w:ascii="Arial" w:cs="Arial" w:eastAsia="Arial" w:hAnsi="Arial"/>
                <w:sz w:val="18"/>
                <w:szCs w:val="18"/>
                <w:color w:val="auto"/>
              </w:rPr>
              <w:t>0.5 years</w:t>
            </w:r>
          </w:p>
        </w:tc>
        <w:tc>
          <w:tcPr>
            <w:tcW w:w="1360" w:type="dxa"/>
            <w:vAlign w:val="bottom"/>
          </w:tcPr>
          <w:p>
            <w:pPr>
              <w:ind w:left="360"/>
              <w:spacing w:after="0"/>
              <w:rPr>
                <w:sz w:val="20"/>
                <w:szCs w:val="20"/>
                <w:color w:val="auto"/>
              </w:rPr>
            </w:pPr>
            <w:r>
              <w:rPr>
                <w:rFonts w:ascii="Arial" w:cs="Arial" w:eastAsia="Arial" w:hAnsi="Arial"/>
                <w:sz w:val="18"/>
                <w:szCs w:val="18"/>
                <w:color w:val="auto"/>
              </w:rPr>
              <w:t>0.5 years</w:t>
            </w:r>
          </w:p>
        </w:tc>
        <w:tc>
          <w:tcPr>
            <w:tcW w:w="1060" w:type="dxa"/>
            <w:vAlign w:val="bottom"/>
          </w:tcPr>
          <w:p>
            <w:pPr>
              <w:jc w:val="center"/>
              <w:ind w:left="194"/>
              <w:spacing w:after="0"/>
              <w:rPr>
                <w:sz w:val="20"/>
                <w:szCs w:val="20"/>
                <w:color w:val="auto"/>
              </w:rPr>
            </w:pPr>
            <w:r>
              <w:rPr>
                <w:rFonts w:ascii="Arial" w:cs="Arial" w:eastAsia="Arial" w:hAnsi="Arial"/>
                <w:sz w:val="18"/>
                <w:szCs w:val="18"/>
                <w:color w:val="auto"/>
                <w:w w:val="89"/>
              </w:rPr>
              <w:t>0.5 years</w:t>
            </w: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4440" w:type="dxa"/>
            <w:vAlign w:val="bottom"/>
            <w:shd w:val="clear" w:color="auto" w:fill="CCEEFF"/>
          </w:tcPr>
          <w:p>
            <w:pPr>
              <w:jc w:val="center"/>
              <w:ind w:left="2954"/>
              <w:spacing w:after="0"/>
              <w:rPr>
                <w:sz w:val="20"/>
                <w:szCs w:val="20"/>
                <w:color w:val="auto"/>
              </w:rPr>
            </w:pPr>
            <w:r>
              <w:rPr>
                <w:rFonts w:ascii="Arial" w:cs="Arial" w:eastAsia="Arial" w:hAnsi="Arial"/>
                <w:sz w:val="18"/>
                <w:szCs w:val="18"/>
                <w:color w:val="auto"/>
                <w:w w:val="88"/>
              </w:rPr>
              <w:t>$3.57</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$4.65</w:t>
            </w:r>
          </w:p>
        </w:tc>
        <w:tc>
          <w:tcPr>
            <w:tcW w:w="1060" w:type="dxa"/>
            <w:vAlign w:val="bottom"/>
            <w:shd w:val="clear" w:color="auto" w:fill="CCEEFF"/>
          </w:tcPr>
          <w:p>
            <w:pPr>
              <w:jc w:val="center"/>
              <w:ind w:left="194"/>
              <w:spacing w:after="0"/>
              <w:rPr>
                <w:sz w:val="20"/>
                <w:szCs w:val="20"/>
                <w:color w:val="auto"/>
              </w:rPr>
            </w:pPr>
            <w:r>
              <w:rPr>
                <w:rFonts w:ascii="Arial" w:cs="Arial" w:eastAsia="Arial" w:hAnsi="Arial"/>
                <w:sz w:val="18"/>
                <w:szCs w:val="18"/>
                <w:color w:val="auto"/>
                <w:w w:val="93"/>
              </w:rPr>
              <w:t>$4.63</w:t>
            </w:r>
          </w:p>
        </w:tc>
      </w:tr>
      <w:tr>
        <w:trPr>
          <w:trHeight w:val="372"/>
        </w:trPr>
        <w:tc>
          <w:tcPr>
            <w:tcW w:w="4560" w:type="dxa"/>
            <w:vAlign w:val="bottom"/>
            <w:gridSpan w:val="2"/>
          </w:tcPr>
          <w:p>
            <w:pPr>
              <w:spacing w:after="0"/>
              <w:rPr>
                <w:sz w:val="20"/>
                <w:szCs w:val="20"/>
                <w:color w:val="auto"/>
              </w:rPr>
            </w:pPr>
            <w:r>
              <w:rPr>
                <w:rFonts w:ascii="Arial" w:cs="Arial" w:eastAsia="Arial" w:hAnsi="Arial"/>
                <w:sz w:val="14"/>
                <w:szCs w:val="14"/>
                <w:i w:val="1"/>
                <w:iCs w:val="1"/>
                <w:color w:val="auto"/>
              </w:rPr>
              <w:t>Employee Stock Options</w:t>
            </w:r>
          </w:p>
        </w:tc>
        <w:tc>
          <w:tcPr>
            <w:tcW w:w="4440" w:type="dxa"/>
            <w:vAlign w:val="bottom"/>
          </w:tcPr>
          <w:p>
            <w:pPr>
              <w:jc w:val="center"/>
              <w:ind w:left="2974"/>
              <w:spacing w:after="0"/>
              <w:rPr>
                <w:sz w:val="20"/>
                <w:szCs w:val="20"/>
                <w:color w:val="auto"/>
              </w:rPr>
            </w:pPr>
            <w:r>
              <w:rPr>
                <w:rFonts w:ascii="Arial" w:cs="Arial" w:eastAsia="Arial" w:hAnsi="Arial"/>
                <w:sz w:val="14"/>
                <w:szCs w:val="14"/>
                <w:color w:val="auto"/>
                <w:w w:val="96"/>
              </w:rPr>
              <w:t>2009</w:t>
            </w: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2008</w:t>
            </w:r>
          </w:p>
        </w:tc>
        <w:tc>
          <w:tcPr>
            <w:tcW w:w="1060" w:type="dxa"/>
            <w:vAlign w:val="bottom"/>
          </w:tcPr>
          <w:p>
            <w:pPr>
              <w:jc w:val="center"/>
              <w:ind w:left="194"/>
              <w:spacing w:after="0"/>
              <w:rPr>
                <w:sz w:val="20"/>
                <w:szCs w:val="20"/>
                <w:color w:val="auto"/>
              </w:rPr>
            </w:pPr>
            <w:r>
              <w:rPr>
                <w:rFonts w:ascii="Arial" w:cs="Arial" w:eastAsia="Arial" w:hAnsi="Arial"/>
                <w:sz w:val="14"/>
                <w:szCs w:val="14"/>
                <w:color w:val="auto"/>
                <w:w w:val="96"/>
              </w:rPr>
              <w:t>2007</w:t>
            </w:r>
          </w:p>
        </w:tc>
      </w:tr>
      <w:tr>
        <w:trPr>
          <w:trHeight w:val="216"/>
        </w:trPr>
        <w:tc>
          <w:tcPr>
            <w:tcW w:w="20" w:type="dxa"/>
            <w:vAlign w:val="bottom"/>
          </w:tcPr>
          <w:p>
            <w:pPr>
              <w:spacing w:after="0"/>
              <w:rPr>
                <w:sz w:val="18"/>
                <w:szCs w:val="18"/>
                <w:color w:val="auto"/>
              </w:rPr>
            </w:pPr>
          </w:p>
        </w:tc>
        <w:tc>
          <w:tcPr>
            <w:tcW w:w="4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440" w:type="dxa"/>
            <w:vAlign w:val="bottom"/>
            <w:tcBorders>
              <w:top w:val="single" w:sz="8" w:color="auto"/>
            </w:tcBorders>
            <w:shd w:val="clear" w:color="auto" w:fill="CCEEFF"/>
          </w:tcPr>
          <w:p>
            <w:pPr>
              <w:jc w:val="center"/>
              <w:ind w:left="2974"/>
              <w:spacing w:after="0"/>
              <w:rPr>
                <w:sz w:val="20"/>
                <w:szCs w:val="20"/>
                <w:color w:val="auto"/>
              </w:rPr>
            </w:pPr>
            <w:r>
              <w:rPr>
                <w:rFonts w:ascii="Arial" w:cs="Arial" w:eastAsia="Arial" w:hAnsi="Arial"/>
                <w:sz w:val="18"/>
                <w:szCs w:val="18"/>
                <w:color w:val="auto"/>
                <w:w w:val="92"/>
              </w:rPr>
              <w:t>3.1%</w:t>
            </w: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1.9%</w:t>
            </w:r>
          </w:p>
        </w:tc>
        <w:tc>
          <w:tcPr>
            <w:tcW w:w="1060" w:type="dxa"/>
            <w:vAlign w:val="bottom"/>
            <w:tcBorders>
              <w:top w:val="single" w:sz="8" w:color="auto"/>
            </w:tcBorders>
            <w:shd w:val="clear" w:color="auto" w:fill="CCEEFF"/>
          </w:tcPr>
          <w:p>
            <w:pPr>
              <w:jc w:val="center"/>
              <w:ind w:left="194"/>
              <w:spacing w:after="0"/>
              <w:rPr>
                <w:sz w:val="20"/>
                <w:szCs w:val="20"/>
                <w:color w:val="auto"/>
              </w:rPr>
            </w:pPr>
            <w:r>
              <w:rPr>
                <w:rFonts w:ascii="Arial" w:cs="Arial" w:eastAsia="Arial" w:hAnsi="Arial"/>
                <w:sz w:val="18"/>
                <w:szCs w:val="18"/>
                <w:color w:val="auto"/>
                <w:w w:val="92"/>
              </w:rPr>
              <w:t>1.5%</w:t>
            </w: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Expected volatility</w:t>
            </w:r>
          </w:p>
        </w:tc>
        <w:tc>
          <w:tcPr>
            <w:tcW w:w="4440" w:type="dxa"/>
            <w:vAlign w:val="bottom"/>
          </w:tcPr>
          <w:p>
            <w:pPr>
              <w:jc w:val="center"/>
              <w:ind w:left="2974"/>
              <w:spacing w:after="0"/>
              <w:rPr>
                <w:sz w:val="20"/>
                <w:szCs w:val="20"/>
                <w:color w:val="auto"/>
              </w:rPr>
            </w:pPr>
            <w:r>
              <w:rPr>
                <w:rFonts w:ascii="Arial" w:cs="Arial" w:eastAsia="Arial" w:hAnsi="Arial"/>
                <w:sz w:val="18"/>
                <w:szCs w:val="18"/>
                <w:color w:val="auto"/>
                <w:w w:val="90"/>
              </w:rPr>
              <w:t>45.0%</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44.2%</w:t>
            </w:r>
          </w:p>
        </w:tc>
        <w:tc>
          <w:tcPr>
            <w:tcW w:w="1060" w:type="dxa"/>
            <w:vAlign w:val="bottom"/>
          </w:tcPr>
          <w:p>
            <w:pPr>
              <w:jc w:val="center"/>
              <w:ind w:left="194"/>
              <w:spacing w:after="0"/>
              <w:rPr>
                <w:sz w:val="20"/>
                <w:szCs w:val="20"/>
                <w:color w:val="auto"/>
              </w:rPr>
            </w:pPr>
            <w:r>
              <w:rPr>
                <w:rFonts w:ascii="Arial" w:cs="Arial" w:eastAsia="Arial" w:hAnsi="Arial"/>
                <w:sz w:val="18"/>
                <w:szCs w:val="18"/>
                <w:color w:val="auto"/>
                <w:w w:val="90"/>
              </w:rPr>
              <w:t>38.9%</w:t>
            </w: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440" w:type="dxa"/>
            <w:vAlign w:val="bottom"/>
            <w:shd w:val="clear" w:color="auto" w:fill="CCEEFF"/>
          </w:tcPr>
          <w:p>
            <w:pPr>
              <w:jc w:val="center"/>
              <w:ind w:left="2974"/>
              <w:spacing w:after="0"/>
              <w:rPr>
                <w:sz w:val="20"/>
                <w:szCs w:val="20"/>
                <w:color w:val="auto"/>
              </w:rPr>
            </w:pPr>
            <w:r>
              <w:rPr>
                <w:rFonts w:ascii="Arial" w:cs="Arial" w:eastAsia="Arial" w:hAnsi="Arial"/>
                <w:sz w:val="18"/>
                <w:szCs w:val="18"/>
                <w:color w:val="auto"/>
                <w:w w:val="92"/>
              </w:rPr>
              <w:t>1.8%</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2.5%</w:t>
            </w:r>
          </w:p>
        </w:tc>
        <w:tc>
          <w:tcPr>
            <w:tcW w:w="1060" w:type="dxa"/>
            <w:vAlign w:val="bottom"/>
            <w:shd w:val="clear" w:color="auto" w:fill="CCEEFF"/>
          </w:tcPr>
          <w:p>
            <w:pPr>
              <w:jc w:val="center"/>
              <w:ind w:left="194"/>
              <w:spacing w:after="0"/>
              <w:rPr>
                <w:sz w:val="20"/>
                <w:szCs w:val="20"/>
                <w:color w:val="auto"/>
              </w:rPr>
            </w:pPr>
            <w:r>
              <w:rPr>
                <w:rFonts w:ascii="Arial" w:cs="Arial" w:eastAsia="Arial" w:hAnsi="Arial"/>
                <w:sz w:val="18"/>
                <w:szCs w:val="18"/>
                <w:color w:val="auto"/>
                <w:w w:val="92"/>
              </w:rPr>
              <w:t>3.9%</w:t>
            </w: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Expected term of options</w:t>
            </w:r>
          </w:p>
        </w:tc>
        <w:tc>
          <w:tcPr>
            <w:tcW w:w="4440" w:type="dxa"/>
            <w:vAlign w:val="bottom"/>
          </w:tcPr>
          <w:p>
            <w:pPr>
              <w:ind w:left="3420"/>
              <w:spacing w:after="0"/>
              <w:rPr>
                <w:sz w:val="20"/>
                <w:szCs w:val="20"/>
                <w:color w:val="auto"/>
              </w:rPr>
            </w:pPr>
            <w:r>
              <w:rPr>
                <w:rFonts w:ascii="Arial" w:cs="Arial" w:eastAsia="Arial" w:hAnsi="Arial"/>
                <w:sz w:val="18"/>
                <w:szCs w:val="18"/>
                <w:color w:val="auto"/>
              </w:rPr>
              <w:t>5.5 years</w:t>
            </w:r>
          </w:p>
        </w:tc>
        <w:tc>
          <w:tcPr>
            <w:tcW w:w="1360" w:type="dxa"/>
            <w:vAlign w:val="bottom"/>
          </w:tcPr>
          <w:p>
            <w:pPr>
              <w:ind w:left="360"/>
              <w:spacing w:after="0"/>
              <w:rPr>
                <w:sz w:val="20"/>
                <w:szCs w:val="20"/>
                <w:color w:val="auto"/>
              </w:rPr>
            </w:pPr>
            <w:r>
              <w:rPr>
                <w:rFonts w:ascii="Arial" w:cs="Arial" w:eastAsia="Arial" w:hAnsi="Arial"/>
                <w:sz w:val="18"/>
                <w:szCs w:val="18"/>
                <w:color w:val="auto"/>
              </w:rPr>
              <w:t>4.5 years</w:t>
            </w:r>
          </w:p>
        </w:tc>
        <w:tc>
          <w:tcPr>
            <w:tcW w:w="1060" w:type="dxa"/>
            <w:vAlign w:val="bottom"/>
          </w:tcPr>
          <w:p>
            <w:pPr>
              <w:jc w:val="center"/>
              <w:ind w:left="194"/>
              <w:spacing w:after="0"/>
              <w:rPr>
                <w:sz w:val="20"/>
                <w:szCs w:val="20"/>
                <w:color w:val="auto"/>
              </w:rPr>
            </w:pPr>
            <w:r>
              <w:rPr>
                <w:rFonts w:ascii="Arial" w:cs="Arial" w:eastAsia="Arial" w:hAnsi="Arial"/>
                <w:sz w:val="18"/>
                <w:szCs w:val="18"/>
                <w:color w:val="auto"/>
                <w:w w:val="89"/>
              </w:rPr>
              <w:t>4.5 years</w:t>
            </w: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4440" w:type="dxa"/>
            <w:vAlign w:val="bottom"/>
            <w:shd w:val="clear" w:color="auto" w:fill="CCEEFF"/>
          </w:tcPr>
          <w:p>
            <w:pPr>
              <w:jc w:val="center"/>
              <w:ind w:left="2954"/>
              <w:spacing w:after="0"/>
              <w:rPr>
                <w:sz w:val="20"/>
                <w:szCs w:val="20"/>
                <w:color w:val="auto"/>
              </w:rPr>
            </w:pPr>
            <w:r>
              <w:rPr>
                <w:rFonts w:ascii="Arial" w:cs="Arial" w:eastAsia="Arial" w:hAnsi="Arial"/>
                <w:sz w:val="18"/>
                <w:szCs w:val="18"/>
                <w:color w:val="auto"/>
                <w:w w:val="88"/>
              </w:rPr>
              <w:t>$2.41</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$4.51</w:t>
            </w:r>
          </w:p>
        </w:tc>
        <w:tc>
          <w:tcPr>
            <w:tcW w:w="1060" w:type="dxa"/>
            <w:vAlign w:val="bottom"/>
            <w:shd w:val="clear" w:color="auto" w:fill="CCEEFF"/>
          </w:tcPr>
          <w:p>
            <w:pPr>
              <w:jc w:val="center"/>
              <w:ind w:left="194"/>
              <w:spacing w:after="0"/>
              <w:rPr>
                <w:sz w:val="20"/>
                <w:szCs w:val="20"/>
                <w:color w:val="auto"/>
              </w:rPr>
            </w:pPr>
            <w:r>
              <w:rPr>
                <w:rFonts w:ascii="Arial" w:cs="Arial" w:eastAsia="Arial" w:hAnsi="Arial"/>
                <w:sz w:val="18"/>
                <w:szCs w:val="18"/>
                <w:color w:val="auto"/>
                <w:w w:val="93"/>
              </w:rPr>
              <w:t>$5.34</w:t>
            </w:r>
          </w:p>
        </w:tc>
      </w:tr>
      <w:tr>
        <w:trPr>
          <w:trHeight w:val="365"/>
        </w:trPr>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rPr>
              <w:t>Restricted Stock Units</w:t>
            </w:r>
          </w:p>
        </w:tc>
        <w:tc>
          <w:tcPr>
            <w:tcW w:w="444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color w:val="auto"/>
              </w:rPr>
              <w:t>2009</w:t>
            </w: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2008</w:t>
            </w:r>
          </w:p>
        </w:tc>
        <w:tc>
          <w:tcPr>
            <w:tcW w:w="10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2007</w:t>
            </w:r>
          </w:p>
        </w:tc>
      </w:tr>
      <w:tr>
        <w:trPr>
          <w:trHeight w:val="224"/>
        </w:trPr>
        <w:tc>
          <w:tcPr>
            <w:tcW w:w="456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4440" w:type="dxa"/>
            <w:vAlign w:val="bottom"/>
          </w:tcPr>
          <w:p>
            <w:pPr>
              <w:jc w:val="right"/>
              <w:ind w:right="594"/>
              <w:spacing w:after="0"/>
              <w:rPr>
                <w:sz w:val="20"/>
                <w:szCs w:val="20"/>
                <w:color w:val="auto"/>
              </w:rPr>
            </w:pPr>
            <w:r>
              <w:rPr>
                <w:rFonts w:ascii="Arial" w:cs="Arial" w:eastAsia="Arial" w:hAnsi="Arial"/>
                <w:sz w:val="18"/>
                <w:szCs w:val="18"/>
                <w:color w:val="auto"/>
              </w:rPr>
              <w:t>2.5%</w:t>
            </w:r>
          </w:p>
        </w:tc>
        <w:tc>
          <w:tcPr>
            <w:tcW w:w="1360" w:type="dxa"/>
            <w:vAlign w:val="bottom"/>
          </w:tcPr>
          <w:p>
            <w:pPr>
              <w:jc w:val="right"/>
              <w:ind w:right="494"/>
              <w:spacing w:after="0"/>
              <w:rPr>
                <w:sz w:val="20"/>
                <w:szCs w:val="20"/>
                <w:color w:val="auto"/>
              </w:rPr>
            </w:pPr>
            <w:r>
              <w:rPr>
                <w:rFonts w:ascii="Arial" w:cs="Arial" w:eastAsia="Arial" w:hAnsi="Arial"/>
                <w:sz w:val="18"/>
                <w:szCs w:val="18"/>
                <w:color w:val="auto"/>
              </w:rPr>
              <w:t>1.4%</w:t>
            </w:r>
          </w:p>
        </w:tc>
        <w:tc>
          <w:tcPr>
            <w:tcW w:w="1060" w:type="dxa"/>
            <w:vAlign w:val="bottom"/>
          </w:tcPr>
          <w:p>
            <w:pPr>
              <w:jc w:val="center"/>
              <w:ind w:left="234"/>
              <w:spacing w:after="0"/>
              <w:rPr>
                <w:sz w:val="20"/>
                <w:szCs w:val="20"/>
                <w:color w:val="auto"/>
              </w:rPr>
            </w:pPr>
            <w:r>
              <w:rPr>
                <w:rFonts w:ascii="Arial" w:cs="Arial" w:eastAsia="Arial" w:hAnsi="Arial"/>
                <w:sz w:val="18"/>
                <w:szCs w:val="18"/>
                <w:color w:val="auto"/>
                <w:w w:val="92"/>
              </w:rPr>
              <w:t>1.6%</w:t>
            </w:r>
          </w:p>
        </w:tc>
      </w:tr>
      <w:tr>
        <w:trPr>
          <w:trHeight w:val="404"/>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440" w:type="dxa"/>
            <w:vAlign w:val="bottom"/>
          </w:tcPr>
          <w:p>
            <w:pPr>
              <w:jc w:val="right"/>
              <w:ind w:right="3114"/>
              <w:spacing w:after="0"/>
              <w:rPr>
                <w:sz w:val="20"/>
                <w:szCs w:val="20"/>
                <w:color w:val="auto"/>
              </w:rPr>
            </w:pPr>
            <w:r>
              <w:rPr>
                <w:rFonts w:ascii="Arial" w:cs="Arial" w:eastAsia="Arial" w:hAnsi="Arial"/>
                <w:sz w:val="18"/>
                <w:szCs w:val="18"/>
                <w:color w:val="auto"/>
              </w:rPr>
              <w:t>49</w:t>
            </w: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4540" w:type="dxa"/>
            <w:vAlign w:val="bottom"/>
            <w:tcBorders>
              <w:bottom w:val="single" w:sz="8" w:color="808080"/>
            </w:tcBorders>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Reported share-based compensation is classified in the consolidated financial statements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2008</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w:t>
            </w: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343</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1,145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1,189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1,173</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2,417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2,468</w:t>
            </w: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Total share-based compensation</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3,378</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(979)</w:t>
            </w: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Total share-based compensation, net of tax</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3,378</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right="360"/>
        <w:spacing w:after="0" w:line="277" w:lineRule="auto"/>
        <w:rPr>
          <w:sz w:val="20"/>
          <w:szCs w:val="20"/>
          <w:color w:val="auto"/>
        </w:rPr>
      </w:pPr>
      <w:r>
        <w:rPr>
          <w:rFonts w:ascii="Arial" w:cs="Arial" w:eastAsia="Arial" w:hAnsi="Arial"/>
          <w:sz w:val="18"/>
          <w:szCs w:val="18"/>
          <w:color w:val="auto"/>
        </w:rPr>
        <w:t>At December 26, 2009, excluding a reduction for forfeitures, we had approximately $3.4 million of pre-tax unrecognized compensation cost related to unvested stock options which is expected to be recognized over a weighted-average period of approximately 3.0 years.</w:t>
      </w:r>
    </w:p>
    <w:p>
      <w:pPr>
        <w:spacing w:after="0" w:line="62" w:lineRule="exact"/>
        <w:rPr>
          <w:sz w:val="20"/>
          <w:szCs w:val="20"/>
          <w:color w:val="auto"/>
        </w:rPr>
      </w:pPr>
    </w:p>
    <w:p>
      <w:pPr>
        <w:ind w:left="240" w:right="360"/>
        <w:spacing w:after="0" w:line="308" w:lineRule="auto"/>
        <w:rPr>
          <w:sz w:val="20"/>
          <w:szCs w:val="20"/>
          <w:color w:val="auto"/>
        </w:rPr>
      </w:pPr>
      <w:r>
        <w:rPr>
          <w:rFonts w:ascii="Arial" w:cs="Arial" w:eastAsia="Arial" w:hAnsi="Arial"/>
          <w:sz w:val="17"/>
          <w:szCs w:val="17"/>
          <w:color w:val="auto"/>
        </w:rPr>
        <w:t>At December 26, 2009, excluding a reduction for forfeitures, we had approximately $2.3 million of pre-tax unrecognized compensation cost related to unvested restricted stock units which is expected to be recognized over a weighted-average period of approximately 1.5 years.</w:t>
      </w:r>
    </w:p>
    <w:p>
      <w:pPr>
        <w:spacing w:after="0" w:line="34"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Significant components of the provision (benefit) for income taxes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3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color w:val="auto"/>
              </w:rPr>
              <w:t>2009</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2008</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Federal</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(4,025)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(3,689)</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Foreign</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669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(2,987)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(2,952)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Deferred:</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17,285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State</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2,590</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2,074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(2,515)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7300" w:type="dxa"/>
            <w:vAlign w:val="bottom"/>
            <w:gridSpan w:val="2"/>
          </w:tcPr>
          <w:p>
            <w:pPr>
              <w:spacing w:after="0"/>
              <w:rPr>
                <w:sz w:val="20"/>
                <w:szCs w:val="20"/>
                <w:color w:val="auto"/>
              </w:rPr>
            </w:pPr>
            <w:r>
              <w:rPr>
                <w:rFonts w:ascii="Arial" w:cs="Arial" w:eastAsia="Arial" w:hAnsi="Arial"/>
                <w:sz w:val="18"/>
                <w:szCs w:val="18"/>
                <w:color w:val="auto"/>
              </w:rPr>
              <w:t>Total deferred</w:t>
            </w:r>
          </w:p>
        </w:tc>
        <w:tc>
          <w:tcPr>
            <w:tcW w:w="6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17,360</w:t>
            </w:r>
          </w:p>
        </w:tc>
        <w:tc>
          <w:tcPr>
            <w:tcW w:w="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1,573</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14,373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vMerge w:val="restart"/>
          </w:tcPr>
          <w:p>
            <w:pPr>
              <w:ind w:left="220"/>
              <w:spacing w:after="0"/>
              <w:rPr>
                <w:sz w:val="20"/>
                <w:szCs w:val="20"/>
                <w:color w:val="auto"/>
              </w:rPr>
            </w:pPr>
            <w:r>
              <w:rPr>
                <w:rFonts w:ascii="Arial" w:cs="Arial" w:eastAsia="Arial" w:hAnsi="Arial"/>
                <w:sz w:val="18"/>
                <w:szCs w:val="18"/>
                <w:color w:val="auto"/>
              </w:rPr>
              <w:t>Income (loss) from continuing operations before income taxes consisted of the following:</w:t>
            </w: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2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3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color w:val="auto"/>
              </w:rPr>
              <w:t>2009</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2008</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7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(8,430)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(4,806)</w:t>
            </w:r>
          </w:p>
        </w:tc>
        <w:tc>
          <w:tcPr>
            <w:tcW w:w="4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Foreign</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(5,365)</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(2,016)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2"/>
              </w:rPr>
              <w:t>(13,795)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(6,822)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12,688</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jc w:val="right"/>
              <w:ind w:right="1410"/>
              <w:spacing w:after="0"/>
              <w:rPr>
                <w:sz w:val="20"/>
                <w:szCs w:val="20"/>
                <w:color w:val="auto"/>
              </w:rPr>
            </w:pPr>
            <w:r>
              <w:rPr>
                <w:rFonts w:ascii="Arial" w:cs="Arial" w:eastAsia="Arial" w:hAnsi="Arial"/>
                <w:sz w:val="18"/>
                <w:szCs w:val="18"/>
                <w:color w:val="auto"/>
              </w:rPr>
              <w:t>50</w:t>
            </w: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30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ind w:left="240" w:right="80"/>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and tax purposes. Significant components of our deferred tax assets and liabilities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1"/>
              <w:spacing w:after="0"/>
              <w:rPr>
                <w:sz w:val="20"/>
                <w:szCs w:val="20"/>
                <w:color w:val="auto"/>
              </w:rPr>
            </w:pPr>
            <w:r>
              <w:rPr>
                <w:rFonts w:ascii="Arial" w:cs="Arial" w:eastAsia="Arial" w:hAnsi="Arial"/>
                <w:sz w:val="14"/>
                <w:szCs w:val="14"/>
                <w:color w:val="auto"/>
              </w:rPr>
              <w:t>2009</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Inventory, receivable and warranty reserves</w:t>
            </w:r>
          </w:p>
        </w:tc>
        <w:tc>
          <w:tcPr>
            <w:tcW w:w="2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11,626</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13,224</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operating loss carryforwards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w:t>
            </w: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Tax credit carryforwards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6,939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5,388</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employee benefits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2,321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1,876</w:t>
            </w: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Deferred profit</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1,589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1,555</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1,764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w:t>
            </w: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Acquisition basis differences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2,446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2,360</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Capitalized research expenses, accrued interest and other</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Book over tax depreciation</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825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806</w:t>
            </w:r>
          </w:p>
        </w:tc>
      </w:tr>
      <w:tr>
        <w:trPr>
          <w:trHeight w:val="27"/>
        </w:trPr>
        <w:tc>
          <w:tcPr>
            <w:tcW w:w="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Gross deferred tax assets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29,978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27,550</w:t>
            </w: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Less valuation allowance</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(24,890)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(4,328)</w:t>
            </w:r>
          </w:p>
        </w:tc>
      </w:tr>
      <w:tr>
        <w:trPr>
          <w:trHeight w:val="27"/>
        </w:trPr>
        <w:tc>
          <w:tcPr>
            <w:tcW w:w="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deferred tax assets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5,088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23,222</w:t>
            </w: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facilities sale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2,929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2,929</w:t>
            </w: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Acquisition basis differences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12,239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12,760</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and other</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w:t>
            </w:r>
          </w:p>
        </w:tc>
      </w:tr>
      <w:tr>
        <w:trPr>
          <w:trHeight w:val="230"/>
        </w:trPr>
        <w:tc>
          <w:tcPr>
            <w:tcW w:w="20" w:type="dxa"/>
            <w:vAlign w:val="bottom"/>
          </w:tcPr>
          <w:p>
            <w:pPr>
              <w:spacing w:after="0"/>
              <w:rPr>
                <w:sz w:val="20"/>
                <w:szCs w:val="20"/>
                <w:color w:val="auto"/>
              </w:rPr>
            </w:pPr>
          </w:p>
        </w:tc>
        <w:tc>
          <w:tcPr>
            <w:tcW w:w="6780" w:type="dxa"/>
            <w:vAlign w:val="bottom"/>
          </w:tcPr>
          <w:p>
            <w:pPr>
              <w:ind w:left="400"/>
              <w:spacing w:after="0"/>
              <w:rPr>
                <w:sz w:val="20"/>
                <w:szCs w:val="20"/>
                <w:color w:val="auto"/>
              </w:rPr>
            </w:pPr>
            <w:r>
              <w:rPr>
                <w:rFonts w:ascii="Arial" w:cs="Arial" w:eastAsia="Arial" w:hAnsi="Arial"/>
                <w:sz w:val="18"/>
                <w:szCs w:val="18"/>
                <w:color w:val="auto"/>
              </w:rPr>
              <w:t>Total deferred tax liabilities</w:t>
            </w:r>
          </w:p>
        </w:tc>
        <w:tc>
          <w:tcPr>
            <w:tcW w:w="2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15,576</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16,101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deferred tax assets (liabilities)</w:t>
            </w:r>
          </w:p>
        </w:tc>
        <w:tc>
          <w:tcPr>
            <w:tcW w:w="2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(10,488)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7,121</w:t>
            </w: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right="120"/>
        <w:spacing w:after="0" w:line="276" w:lineRule="auto"/>
        <w:rPr>
          <w:sz w:val="20"/>
          <w:szCs w:val="20"/>
          <w:color w:val="auto"/>
        </w:rPr>
      </w:pPr>
      <w:r>
        <w:rPr>
          <w:rFonts w:ascii="Arial" w:cs="Arial" w:eastAsia="Arial" w:hAnsi="Arial"/>
          <w:sz w:val="17"/>
          <w:szCs w:val="17"/>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carryforwards.</w:t>
      </w:r>
    </w:p>
    <w:p>
      <w:pPr>
        <w:spacing w:after="0" w:line="64" w:lineRule="exact"/>
        <w:rPr>
          <w:sz w:val="20"/>
          <w:szCs w:val="20"/>
          <w:color w:val="auto"/>
        </w:rPr>
      </w:pPr>
    </w:p>
    <w:p>
      <w:pPr>
        <w:ind w:left="240"/>
        <w:spacing w:after="0" w:line="257" w:lineRule="auto"/>
        <w:rPr>
          <w:sz w:val="20"/>
          <w:szCs w:val="20"/>
          <w:color w:val="auto"/>
        </w:rPr>
      </w:pPr>
      <w:r>
        <w:rPr>
          <w:rFonts w:ascii="Arial" w:cs="Arial" w:eastAsia="Arial" w:hAnsi="Arial"/>
          <w:sz w:val="18"/>
          <w:szCs w:val="18"/>
          <w:color w:val="auto"/>
        </w:rPr>
        <w:t>In assessing whether a valuation allowance is required, significant weight is to be given to evidence that can be objectively verified. We have evaluated our DTAs each reporting period, including an assessment of our cumulative income or loss over the prior three-year period and future periods, to determine if a valuation allowance was required. A significant negative factor in our assessment was the possibility that Cohu would be in a three-year historical cumulative loss as of the end of fiscal 2009. This, combined with uncertain near-term market and economic conditions, reduced our ability to rely on projections of future taxable income in assessing the realization of our DTAs.</w:t>
      </w:r>
    </w:p>
    <w:p>
      <w:pPr>
        <w:spacing w:after="0" w:line="80" w:lineRule="exact"/>
        <w:rPr>
          <w:sz w:val="20"/>
          <w:szCs w:val="20"/>
          <w:color w:val="auto"/>
        </w:rPr>
      </w:pPr>
    </w:p>
    <w:p>
      <w:pPr>
        <w:ind w:left="240" w:right="40"/>
        <w:spacing w:after="0" w:line="272" w:lineRule="auto"/>
        <w:rPr>
          <w:sz w:val="20"/>
          <w:szCs w:val="20"/>
          <w:color w:val="auto"/>
        </w:rPr>
      </w:pPr>
      <w:r>
        <w:rPr>
          <w:rFonts w:ascii="Arial" w:cs="Arial" w:eastAsia="Arial" w:hAnsi="Arial"/>
          <w:sz w:val="17"/>
          <w:szCs w:val="17"/>
          <w:color w:val="auto"/>
        </w:rPr>
        <w:t>After a review of the four sources of taxable income described above and after considering the possibility of being in a three-year cumulative loss in the fourth quarter of 2009, with such cumulative loss confirmed with our fourth quarter 2009 results of operations, we recorded an increase in our valuation allowance on domestic DTAs, with a corresponding charge to our income tax provision, of approximately $19.6 million in the second quarter of 2009. Our valuation allowance on domestic DTAs at December 26, 2009 was approximately $24.9 million. The remaining gross deferred tax assets for which a valuation allowance was not recorded are realizable through future reversals of existing taxable temporary differences. As the realization of DTAs is determined by tax jurisdiction, the significant deferred tax liability recorded as part of the 2008 acquisition of Rasco, a German corporation, was not a source of taxable income in assessing the realization of our DTAs in the U.S.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ind w:left="240" w:right="180"/>
        <w:spacing w:after="0" w:line="259" w:lineRule="auto"/>
        <w:rPr>
          <w:sz w:val="20"/>
          <w:szCs w:val="20"/>
          <w:color w:val="auto"/>
        </w:rPr>
      </w:pPr>
      <w:r>
        <w:rPr>
          <w:rFonts w:ascii="Arial" w:cs="Arial" w:eastAsia="Arial" w:hAnsi="Arial"/>
          <w:sz w:val="18"/>
          <w:szCs w:val="18"/>
          <w:color w:val="auto"/>
        </w:rPr>
        <w:t>On November 6, 2009 the U. S. Worker, Homeownership and Business Assistance Act of 2009 was enacted providing for, among other things, the carryback of losses incurred in either 2008 or 2009 against income earned in any of the five prior years rather than two years as permitted under existing law. This increased the amount of tax we expect to recover via carryback by approximately $1.3 million and resulted in a credit to income tax expense in the fourth quarter of 2009.</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reconciliation of income tax computed at the U.S. federal statutory tax rate to the provision (benefit) for income taxes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111"/>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color w:val="auto"/>
              </w:rPr>
              <w:t>2008</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Tax at U.S. 35% statutory rate</w:t>
            </w:r>
          </w:p>
        </w:tc>
        <w:tc>
          <w:tcPr>
            <w:tcW w:w="14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(4,828)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(2,388)</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4,441</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620"/>
              <w:spacing w:after="0"/>
              <w:rPr>
                <w:sz w:val="20"/>
                <w:szCs w:val="20"/>
                <w:color w:val="auto"/>
              </w:rPr>
            </w:pPr>
            <w:r>
              <w:rPr>
                <w:rFonts w:ascii="Arial" w:cs="Arial" w:eastAsia="Arial" w:hAnsi="Arial"/>
                <w:sz w:val="18"/>
                <w:szCs w:val="18"/>
                <w:color w:val="auto"/>
              </w:rPr>
              <w:t>(1,051)</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(296)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Export sales and manufacturing tax benefits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Settlement of prior year tax returns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620"/>
              <w:spacing w:after="0"/>
              <w:rPr>
                <w:sz w:val="20"/>
                <w:szCs w:val="20"/>
                <w:color w:val="auto"/>
              </w:rPr>
            </w:pPr>
            <w:r>
              <w:rPr>
                <w:rFonts w:ascii="Arial" w:cs="Arial" w:eastAsia="Arial" w:hAnsi="Arial"/>
                <w:sz w:val="18"/>
                <w:szCs w:val="18"/>
                <w:color w:val="auto"/>
              </w:rPr>
              <w:t>(331)</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(844)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prior year tax accounts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Federal tax credits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620"/>
              <w:spacing w:after="0"/>
              <w:rPr>
                <w:sz w:val="20"/>
                <w:szCs w:val="20"/>
                <w:color w:val="auto"/>
              </w:rPr>
            </w:pPr>
            <w:r>
              <w:rPr>
                <w:rFonts w:ascii="Arial" w:cs="Arial" w:eastAsia="Arial" w:hAnsi="Arial"/>
                <w:sz w:val="18"/>
                <w:szCs w:val="18"/>
                <w:color w:val="auto"/>
              </w:rPr>
              <w:t>(375)</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(887)</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on which no tax benefit provided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20,562</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1,917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795</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 process research and development charge with no tax benefit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Foreign income taxed at different rates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620"/>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(419)</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14,373</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right="200"/>
        <w:spacing w:after="0" w:line="277" w:lineRule="auto"/>
        <w:rPr>
          <w:sz w:val="20"/>
          <w:szCs w:val="20"/>
          <w:color w:val="auto"/>
        </w:rPr>
      </w:pPr>
      <w:r>
        <w:rPr>
          <w:rFonts w:ascii="Arial" w:cs="Arial" w:eastAsia="Arial" w:hAnsi="Arial"/>
          <w:sz w:val="18"/>
          <w:szCs w:val="18"/>
          <w:color w:val="auto"/>
        </w:rPr>
        <w:t>State income taxes have been reduced by research tax credits totaling approximately $0.6 million, $0.8 million and $0.8 million in 2009, 2008 and 2007, respectively.</w:t>
      </w:r>
    </w:p>
    <w:p>
      <w:pPr>
        <w:spacing w:after="0" w:line="62" w:lineRule="exact"/>
        <w:rPr>
          <w:sz w:val="20"/>
          <w:szCs w:val="20"/>
          <w:color w:val="auto"/>
        </w:rPr>
      </w:pPr>
    </w:p>
    <w:p>
      <w:pPr>
        <w:jc w:val="both"/>
        <w:ind w:left="240" w:right="480"/>
        <w:spacing w:after="0" w:line="312" w:lineRule="auto"/>
        <w:rPr>
          <w:sz w:val="20"/>
          <w:szCs w:val="20"/>
          <w:color w:val="auto"/>
        </w:rPr>
      </w:pPr>
      <w:r>
        <w:rPr>
          <w:rFonts w:ascii="Arial" w:cs="Arial" w:eastAsia="Arial" w:hAnsi="Arial"/>
          <w:sz w:val="16"/>
          <w:szCs w:val="16"/>
          <w:color w:val="auto"/>
        </w:rPr>
        <w:t>At December 26, 2009, we had state and foreign net operating loss carryforwards of approximately $19.9 million and $3.5 million, respectively, that expire in various tax years through 2029 or have no expiration date. We also have federal and state tax credit carryforwards at December 26, 2009 of approximately $2.5 million and $9.0 million, respectively, certain of which expire in various tax years beginning in 2014 or have no expiration date.</w:t>
      </w:r>
    </w:p>
    <w:p>
      <w:pPr>
        <w:spacing w:after="0" w:line="39" w:lineRule="exact"/>
        <w:rPr>
          <w:sz w:val="20"/>
          <w:szCs w:val="20"/>
          <w:color w:val="auto"/>
        </w:rPr>
      </w:pPr>
    </w:p>
    <w:p>
      <w:pPr>
        <w:ind w:left="240" w:right="420"/>
        <w:spacing w:after="0" w:line="264" w:lineRule="auto"/>
        <w:rPr>
          <w:sz w:val="20"/>
          <w:szCs w:val="20"/>
          <w:color w:val="auto"/>
        </w:rPr>
      </w:pPr>
      <w:r>
        <w:rPr>
          <w:rFonts w:ascii="Arial" w:cs="Arial" w:eastAsia="Arial" w:hAnsi="Arial"/>
          <w:sz w:val="18"/>
          <w:szCs w:val="18"/>
          <w:color w:val="auto"/>
        </w:rPr>
        <w:t>U.S. income taxes have not been provided on approximately $5.0 million of accumulated undistributed earnings of certain foreign subsidiaries, as we currently intend to indefinitely reinvest these earnings in operations outside the U.S. It is not practicable to estimate the amount of tax that might be payable if some or all of such earnings were to be remitted.</w:t>
      </w:r>
    </w:p>
    <w:p>
      <w:pPr>
        <w:spacing w:after="0" w:line="73" w:lineRule="exact"/>
        <w:rPr>
          <w:sz w:val="20"/>
          <w:szCs w:val="20"/>
          <w:color w:val="auto"/>
        </w:rPr>
      </w:pPr>
    </w:p>
    <w:p>
      <w:pPr>
        <w:ind w:left="240" w:right="180"/>
        <w:spacing w:after="0" w:line="264" w:lineRule="auto"/>
        <w:rPr>
          <w:sz w:val="20"/>
          <w:szCs w:val="20"/>
          <w:color w:val="auto"/>
        </w:rPr>
      </w:pPr>
      <w:r>
        <w:rPr>
          <w:rFonts w:ascii="Arial" w:cs="Arial" w:eastAsia="Arial" w:hAnsi="Arial"/>
          <w:sz w:val="18"/>
          <w:szCs w:val="18"/>
          <w:color w:val="auto"/>
        </w:rPr>
        <w:t>On December 31, 2006, the first day of our 2007 year, we adopted new accounting guidance related to income taxes and, as a result, we recognized a decrease in the liability for unrecognized tax benefits and a decrease in deferred tax assets of approximately $0.4 million and a corresponding increase in the December 31, 2006 balance of retained earnings of approximately $42,000.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reconciliation of our gross unrecognized tax benefits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2008</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4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4,562</w:t>
            </w: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4,802</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3,692</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Gross additions based on tax positions related to the current year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964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761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1,031</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Gross additions (reductions) for tax positions of prior years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Reductions as a result of settlements with tax authorities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62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(151)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Reductions as a result of a lapse of the statute of limitations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(527)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Balance at end of year</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4,886</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right="60"/>
        <w:spacing w:after="0" w:line="342" w:lineRule="auto"/>
        <w:rPr>
          <w:sz w:val="20"/>
          <w:szCs w:val="20"/>
          <w:color w:val="auto"/>
        </w:rPr>
      </w:pPr>
      <w:r>
        <w:rPr>
          <w:rFonts w:ascii="Arial" w:cs="Arial" w:eastAsia="Arial" w:hAnsi="Arial"/>
          <w:sz w:val="16"/>
          <w:szCs w:val="16"/>
          <w:color w:val="auto"/>
        </w:rPr>
        <w:t>If the unrecognized tax benefits at December 26, 2009 are ultimately recognized, approximately $2.5 million would result in a reduction in our income tax expense and effective tax rate. We do not expect that the total amount of unrecognized tax benefits will significantly change over the next 12 months.</w:t>
      </w:r>
    </w:p>
    <w:p>
      <w:pPr>
        <w:spacing w:after="0" w:line="16" w:lineRule="exact"/>
        <w:rPr>
          <w:sz w:val="20"/>
          <w:szCs w:val="20"/>
          <w:color w:val="auto"/>
        </w:rPr>
      </w:pPr>
    </w:p>
    <w:p>
      <w:pPr>
        <w:ind w:left="240" w:right="80"/>
        <w:spacing w:after="0" w:line="286" w:lineRule="auto"/>
        <w:rPr>
          <w:sz w:val="20"/>
          <w:szCs w:val="20"/>
          <w:color w:val="auto"/>
        </w:rPr>
      </w:pPr>
      <w:r>
        <w:rPr>
          <w:rFonts w:ascii="Arial" w:cs="Arial" w:eastAsia="Arial" w:hAnsi="Arial"/>
          <w:sz w:val="17"/>
          <w:szCs w:val="17"/>
          <w:color w:val="auto"/>
        </w:rPr>
        <w:t>We recognize interest accrued related to unrecognized tax benefits, net of federal and state tax benefits, in income tax expense. Cohu had approximately $0.6 million and $0.4 million accrued for the payment of interest at December 26, 2009 and December 27, 2008, respectively. Interest expense recognized in 2009, 2008 and 2007 was approximately $0.1 million, $0.1 million and $0.2 million, respectively.</w:t>
      </w:r>
    </w:p>
    <w:p>
      <w:pPr>
        <w:spacing w:after="0" w:line="57" w:lineRule="exact"/>
        <w:rPr>
          <w:sz w:val="20"/>
          <w:szCs w:val="20"/>
          <w:color w:val="auto"/>
        </w:rPr>
      </w:pPr>
    </w:p>
    <w:p>
      <w:pPr>
        <w:ind w:left="240" w:right="20"/>
        <w:spacing w:after="0" w:line="259" w:lineRule="auto"/>
        <w:rPr>
          <w:sz w:val="20"/>
          <w:szCs w:val="20"/>
          <w:color w:val="auto"/>
        </w:rPr>
      </w:pPr>
      <w:r>
        <w:rPr>
          <w:rFonts w:ascii="Arial" w:cs="Arial" w:eastAsia="Arial" w:hAnsi="Arial"/>
          <w:sz w:val="18"/>
          <w:szCs w:val="18"/>
          <w:color w:val="auto"/>
        </w:rPr>
        <w:t>In October 2007 the Internal Revenue Service commenced a routine examination of the Company’s U.S. income tax return for 2005. This examination was finalized in 2009 without any material adjustments. In 2009 the Internal Revenue Service commenced a routine examination of our 2006 to 2008 U.S. income tax returns that is expected to be completed in 2010. Our U.S. federal income tax returns for years after 2005 and various state returns for years after 2004 remain open to examination, subject to the statute of limitations.</w:t>
      </w:r>
    </w:p>
    <w:p>
      <w:pPr>
        <w:spacing w:after="0" w:line="75"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121" w:lineRule="exact"/>
        <w:rPr>
          <w:rFonts w:ascii="Arial" w:cs="Arial" w:eastAsia="Arial" w:hAnsi="Arial"/>
          <w:sz w:val="18"/>
          <w:szCs w:val="18"/>
          <w:b w:val="1"/>
          <w:bCs w:val="1"/>
          <w:color w:val="auto"/>
        </w:rPr>
      </w:pPr>
    </w:p>
    <w:p>
      <w:pPr>
        <w:jc w:val="both"/>
        <w:ind w:left="240" w:right="2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Our reportable segments are business units that offer different products and are managed separately because each business requires different technology and marketing strategies. Our three segments are: semiconductor equipment, microwave communications and video cameras. As discussed in Note 2, in December 2008, we purchased Rasco, which has been included in our semiconductor equipment segment since that date.</w:t>
      </w:r>
    </w:p>
    <w:p>
      <w:pPr>
        <w:spacing w:after="0" w:line="38" w:lineRule="exact"/>
        <w:rPr>
          <w:rFonts w:ascii="Arial" w:cs="Arial" w:eastAsia="Arial" w:hAnsi="Arial"/>
          <w:sz w:val="18"/>
          <w:szCs w:val="18"/>
          <w:b w:val="1"/>
          <w:bCs w:val="1"/>
          <w:color w:val="auto"/>
        </w:rPr>
      </w:pPr>
    </w:p>
    <w:p>
      <w:pPr>
        <w:ind w:left="24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accounting policies of the reportable segments are the same as those described in the summary of significant accounting policies. We allocate resources and evaluate the performance of segments based on profit or loss from operations, excluding interest, corporate expenses and unusual gains or losses. Intersegment sales were not significant for any period.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Financial information by industry segment is presented below</w:t>
      </w:r>
      <w:r>
        <w:rPr>
          <w:rFonts w:ascii="Arial" w:cs="Arial" w:eastAsia="Arial" w:hAnsi="Arial"/>
          <w:sz w:val="18"/>
          <w:szCs w:val="18"/>
          <w:i w:val="1"/>
          <w:iCs w:val="1"/>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5"/>
                <w:szCs w:val="15"/>
                <w:color w:val="auto"/>
              </w:rPr>
            </w:pPr>
          </w:p>
        </w:tc>
        <w:tc>
          <w:tcPr>
            <w:tcW w:w="560" w:type="dxa"/>
            <w:vAlign w:val="bottom"/>
          </w:tcPr>
          <w:p>
            <w:pPr>
              <w:jc w:val="right"/>
              <w:ind w:right="132"/>
              <w:spacing w:after="0"/>
              <w:rPr>
                <w:sz w:val="20"/>
                <w:szCs w:val="20"/>
                <w:color w:val="auto"/>
              </w:rPr>
            </w:pPr>
            <w:r>
              <w:rPr>
                <w:rFonts w:ascii="Arial" w:cs="Arial" w:eastAsia="Arial" w:hAnsi="Arial"/>
                <w:sz w:val="14"/>
                <w:szCs w:val="14"/>
                <w:color w:val="auto"/>
              </w:rPr>
              <w:t>2009</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132"/>
              <w:spacing w:after="0"/>
              <w:rPr>
                <w:sz w:val="20"/>
                <w:szCs w:val="20"/>
                <w:color w:val="auto"/>
              </w:rPr>
            </w:pPr>
            <w:r>
              <w:rPr>
                <w:rFonts w:ascii="Arial" w:cs="Arial" w:eastAsia="Arial" w:hAnsi="Arial"/>
                <w:sz w:val="14"/>
                <w:szCs w:val="14"/>
                <w:color w:val="auto"/>
                <w:w w:val="96"/>
              </w:rPr>
              <w:t>2008</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31"/>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Net sales by segment:</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left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left w:val="single" w:sz="8" w:color="CCEEFF"/>
            </w:tcBorders>
            <w:shd w:val="clear" w:color="auto" w:fill="CCEEFF"/>
          </w:tcPr>
          <w:p>
            <w:pPr>
              <w:spacing w:after="0"/>
              <w:rPr>
                <w:sz w:val="18"/>
                <w:szCs w:val="18"/>
                <w:color w:val="auto"/>
              </w:rPr>
            </w:pPr>
          </w:p>
        </w:tc>
        <w:tc>
          <w:tcPr>
            <w:tcW w:w="3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Semiconductor equipment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79"/>
              </w:rPr>
              <w:t>$ 119,998</w:t>
            </w:r>
          </w:p>
        </w:tc>
        <w:tc>
          <w:tcPr>
            <w:tcW w:w="7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79"/>
              </w:rPr>
              <w:t>$ 152,136</w:t>
            </w:r>
          </w:p>
        </w:tc>
        <w:tc>
          <w:tcPr>
            <w:tcW w:w="3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203,105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Microwave communications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34,093</w:t>
            </w:r>
          </w:p>
        </w:tc>
        <w:tc>
          <w:tcPr>
            <w:tcW w:w="72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29,224</w:t>
            </w:r>
          </w:p>
        </w:tc>
        <w:tc>
          <w:tcPr>
            <w:tcW w:w="36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Video cameras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17,170</w:t>
            </w: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18,299</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consolidated net sales and net sales for reportable segments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$ 171,261</w:t>
            </w:r>
          </w:p>
        </w:tc>
        <w:tc>
          <w:tcPr>
            <w:tcW w:w="720" w:type="dxa"/>
            <w:vAlign w:val="bottom"/>
            <w:tcBorders>
              <w:left w:val="single" w:sz="8" w:color="CCEEFF"/>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$ 199,659</w:t>
            </w:r>
          </w:p>
        </w:tc>
        <w:tc>
          <w:tcPr>
            <w:tcW w:w="360" w:type="dxa"/>
            <w:vAlign w:val="bottom"/>
            <w:tcBorders>
              <w:lef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241,389</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Segment profit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Semiconductor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1280" w:type="dxa"/>
            <w:vAlign w:val="bottom"/>
            <w:tcBorders>
              <w:right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(17,704)</w:t>
            </w: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(4,612)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Microwave communications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5,868</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242</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Video cameras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72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(1,242)</w:t>
            </w: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400"/>
              <w:spacing w:after="0"/>
              <w:rPr>
                <w:sz w:val="20"/>
                <w:szCs w:val="20"/>
                <w:color w:val="auto"/>
              </w:rPr>
            </w:pPr>
            <w:r>
              <w:rPr>
                <w:rFonts w:ascii="Arial" w:cs="Arial" w:eastAsia="Arial" w:hAnsi="Arial"/>
                <w:sz w:val="18"/>
                <w:szCs w:val="18"/>
                <w:color w:val="auto"/>
              </w:rPr>
              <w:t>Profit (loss) for reportable segments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(11,063)</w:t>
            </w:r>
          </w:p>
        </w:tc>
        <w:tc>
          <w:tcPr>
            <w:tcW w:w="7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(5,612)</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Other unallocated amounts: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Corporate expenses</w:t>
            </w:r>
          </w:p>
        </w:tc>
        <w:tc>
          <w:tcPr>
            <w:tcW w:w="1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(4,032)</w:t>
            </w: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(4,116)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72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5,483</w:t>
            </w:r>
          </w:p>
        </w:tc>
        <w:tc>
          <w:tcPr>
            <w:tcW w:w="36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Acquired in-process research and development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(2,577)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Income (loss) from continuing operations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1280" w:type="dxa"/>
            <w:vAlign w:val="bottom"/>
            <w:tcBorders>
              <w:right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(13,795)</w:t>
            </w: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(6,822)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12,688</w:t>
            </w:r>
          </w:p>
        </w:tc>
        <w:tc>
          <w:tcPr>
            <w:tcW w:w="0" w:type="dxa"/>
            <w:vAlign w:val="bottom"/>
          </w:tcPr>
          <w:p>
            <w:pPr>
              <w:spacing w:after="0"/>
              <w:rPr>
                <w:sz w:val="1"/>
                <w:szCs w:val="1"/>
                <w:color w:val="auto"/>
              </w:rPr>
            </w:pPr>
          </w:p>
        </w:tc>
      </w:tr>
      <w:tr>
        <w:trPr>
          <w:trHeight w:val="20"/>
        </w:trPr>
        <w:tc>
          <w:tcPr>
            <w:tcW w:w="79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79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24"/>
                <w:szCs w:val="24"/>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2009</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92"/>
              <w:spacing w:after="0"/>
              <w:rPr>
                <w:sz w:val="20"/>
                <w:szCs w:val="20"/>
                <w:color w:val="auto"/>
              </w:rPr>
            </w:pPr>
            <w:r>
              <w:rPr>
                <w:rFonts w:ascii="Arial" w:cs="Arial" w:eastAsia="Arial" w:hAnsi="Arial"/>
                <w:sz w:val="14"/>
                <w:szCs w:val="14"/>
                <w:color w:val="auto"/>
              </w:rPr>
              <w:t>2008</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Depreciation and amortization by segment deducted in arriving at profit (loss):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left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left w:val="single" w:sz="8" w:color="CCEEFF"/>
            </w:tcBorders>
            <w:shd w:val="clear" w:color="auto" w:fill="CCEEFF"/>
          </w:tcPr>
          <w:p>
            <w:pPr>
              <w:spacing w:after="0"/>
              <w:rPr>
                <w:sz w:val="18"/>
                <w:szCs w:val="18"/>
                <w:color w:val="auto"/>
              </w:rPr>
            </w:pPr>
          </w:p>
        </w:tc>
        <w:tc>
          <w:tcPr>
            <w:tcW w:w="3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Semiconductor equipment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3,248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3,088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Microwave communications</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1,299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1,154</w:t>
            </w: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Video cameras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227</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184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2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4,774</w:t>
            </w:r>
          </w:p>
        </w:tc>
        <w:tc>
          <w:tcPr>
            <w:tcW w:w="72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4,426</w:t>
            </w: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Intangible amortization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6,255</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2,517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2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depreciation and amortization for reportable segments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right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11,029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6,943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7,439</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Capital expenditures by segment: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Semiconductor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right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3,251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Microwave communications</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1,181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Video cameras</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611</w:t>
            </w: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400"/>
              <w:spacing w:after="0"/>
              <w:rPr>
                <w:sz w:val="20"/>
                <w:szCs w:val="20"/>
                <w:color w:val="auto"/>
              </w:rPr>
            </w:pPr>
            <w:r>
              <w:rPr>
                <w:rFonts w:ascii="Arial" w:cs="Arial" w:eastAsia="Arial" w:hAnsi="Arial"/>
                <w:sz w:val="18"/>
                <w:szCs w:val="18"/>
                <w:color w:val="auto"/>
              </w:rPr>
              <w:t>Total consolidated capital expenditures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2,507</w:t>
            </w: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5,043</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ind w:left="562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9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700" w:type="dxa"/>
            <w:vAlign w:val="bottom"/>
          </w:tcPr>
          <w:p>
            <w:pPr>
              <w:jc w:val="right"/>
              <w:ind w:right="132"/>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jc w:val="right"/>
              <w:ind w:right="132"/>
              <w:spacing w:after="0"/>
              <w:rPr>
                <w:sz w:val="20"/>
                <w:szCs w:val="20"/>
                <w:color w:val="auto"/>
              </w:rPr>
            </w:pPr>
            <w:r>
              <w:rPr>
                <w:rFonts w:ascii="Arial" w:cs="Arial" w:eastAsia="Arial" w:hAnsi="Arial"/>
                <w:sz w:val="14"/>
                <w:szCs w:val="14"/>
                <w:color w:val="auto"/>
              </w:rPr>
              <w:t>2008</w:t>
            </w:r>
          </w:p>
        </w:tc>
        <w:tc>
          <w:tcPr>
            <w:tcW w:w="340" w:type="dxa"/>
            <w:vAlign w:val="bottom"/>
          </w:tcPr>
          <w:p>
            <w:pPr>
              <w:spacing w:after="0"/>
              <w:rPr>
                <w:sz w:val="15"/>
                <w:szCs w:val="15"/>
                <w:color w:val="auto"/>
              </w:rPr>
            </w:pPr>
          </w:p>
        </w:tc>
        <w:tc>
          <w:tcPr>
            <w:tcW w:w="1040" w:type="dxa"/>
            <w:vAlign w:val="bottom"/>
            <w:gridSpan w:val="2"/>
          </w:tcPr>
          <w:p>
            <w:pPr>
              <w:jc w:val="right"/>
              <w:ind w:right="130"/>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Total assets by segment:</w:t>
            </w: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Semiconductor equipment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$ 216,818</w:t>
            </w:r>
          </w:p>
        </w:tc>
        <w:tc>
          <w:tcPr>
            <w:tcW w:w="6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$ 206,199</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$ 111,787</w:t>
            </w: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Microwave communications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20,937</w:t>
            </w: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22,793</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27,704</w:t>
            </w:r>
          </w:p>
        </w:tc>
      </w:tr>
      <w:tr>
        <w:trPr>
          <w:trHeight w:val="223"/>
        </w:trPr>
        <w:tc>
          <w:tcPr>
            <w:tcW w:w="20" w:type="dxa"/>
            <w:vAlign w:val="bottom"/>
          </w:tcPr>
          <w:p>
            <w:pPr>
              <w:spacing w:after="0"/>
              <w:rPr>
                <w:sz w:val="19"/>
                <w:szCs w:val="19"/>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Video cameras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10,082</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10,458</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 for reportable segments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247,837</w:t>
            </w: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239,450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148,996</w:t>
            </w: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Corporate, principally cash and investments and deferred taxes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81,830</w:t>
            </w:r>
          </w:p>
        </w:tc>
        <w:tc>
          <w:tcPr>
            <w:tcW w:w="6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104,245</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190,885</w:t>
            </w: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w:t>
            </w: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474</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r>
      <w:tr>
        <w:trPr>
          <w:trHeight w:val="223"/>
        </w:trPr>
        <w:tc>
          <w:tcPr>
            <w:tcW w:w="20" w:type="dxa"/>
            <w:vAlign w:val="bottom"/>
          </w:tcPr>
          <w:p>
            <w:pPr>
              <w:spacing w:after="0"/>
              <w:rPr>
                <w:sz w:val="19"/>
                <w:szCs w:val="19"/>
                <w:color w:val="auto"/>
              </w:rPr>
            </w:pPr>
          </w:p>
        </w:tc>
        <w:tc>
          <w:tcPr>
            <w:tcW w:w="7840" w:type="dxa"/>
            <w:vAlign w:val="bottom"/>
          </w:tcPr>
          <w:p>
            <w:pPr>
              <w:ind w:left="400"/>
              <w:spacing w:after="0"/>
              <w:rPr>
                <w:sz w:val="20"/>
                <w:szCs w:val="20"/>
                <w:color w:val="auto"/>
              </w:rPr>
            </w:pPr>
            <w:r>
              <w:rPr>
                <w:rFonts w:ascii="Arial" w:cs="Arial" w:eastAsia="Arial" w:hAnsi="Arial"/>
                <w:sz w:val="18"/>
                <w:szCs w:val="18"/>
                <w:color w:val="auto"/>
              </w:rPr>
              <w:t>Total consolidated assets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$ 330,118</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$ 344,169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$ 340,379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Customers from the semiconductor equipment segment comprising 10% or greater of our consolidated net sales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700" w:type="dxa"/>
            <w:vAlign w:val="bottom"/>
            <w:gridSpan w:val="2"/>
            <w:vMerge w:val="restart"/>
          </w:tcPr>
          <w:p>
            <w:pPr>
              <w:spacing w:after="0"/>
              <w:rPr>
                <w:sz w:val="20"/>
                <w:szCs w:val="20"/>
                <w:color w:val="auto"/>
              </w:rPr>
            </w:pPr>
            <w:r>
              <w:rPr>
                <w:rFonts w:ascii="Arial" w:cs="Arial" w:eastAsia="Arial" w:hAnsi="Arial"/>
                <w:sz w:val="18"/>
                <w:szCs w:val="18"/>
                <w:color w:val="auto"/>
              </w:rPr>
              <w:t>Intel</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w w:val="89"/>
              </w:rPr>
              <w:t>2009</w:t>
            </w: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2008</w:t>
            </w: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2007</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ind w:right="34"/>
              <w:spacing w:after="0"/>
              <w:rPr>
                <w:sz w:val="20"/>
                <w:szCs w:val="20"/>
                <w:color w:val="auto"/>
              </w:rPr>
            </w:pPr>
            <w:r>
              <w:rPr>
                <w:rFonts w:ascii="Arial" w:cs="Arial" w:eastAsia="Arial" w:hAnsi="Arial"/>
                <w:sz w:val="18"/>
                <w:szCs w:val="18"/>
                <w:color w:val="auto"/>
                <w:w w:val="88"/>
              </w:rPr>
              <w:t>30%</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Advanced Micro Devices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center"/>
              <w:ind w:right="34"/>
              <w:spacing w:after="0"/>
              <w:rPr>
                <w:sz w:val="20"/>
                <w:szCs w:val="20"/>
                <w:color w:val="auto"/>
              </w:rPr>
            </w:pPr>
            <w:r>
              <w:rPr>
                <w:rFonts w:ascii="Arial" w:cs="Arial" w:eastAsia="Arial" w:hAnsi="Arial"/>
                <w:sz w:val="18"/>
                <w:szCs w:val="18"/>
                <w:color w:val="auto"/>
                <w:w w:val="88"/>
              </w:rPr>
              <w:t>11%</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680" w:type="dxa"/>
            <w:vAlign w:val="bottom"/>
          </w:tcPr>
          <w:p>
            <w:pPr>
              <w:ind w:left="220"/>
              <w:spacing w:after="0"/>
              <w:rPr>
                <w:sz w:val="20"/>
                <w:szCs w:val="20"/>
                <w:color w:val="auto"/>
              </w:rPr>
            </w:pPr>
            <w:r>
              <w:rPr>
                <w:rFonts w:ascii="Arial" w:cs="Arial" w:eastAsia="Arial" w:hAnsi="Arial"/>
                <w:sz w:val="18"/>
                <w:szCs w:val="18"/>
                <w:color w:val="auto"/>
                <w:w w:val="90"/>
              </w:rPr>
              <w:t>Net sales to customers, attributed to countries based on product shipment destination, were as follows: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7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center"/>
              <w:ind w:right="34"/>
              <w:spacing w:after="0"/>
              <w:rPr>
                <w:sz w:val="20"/>
                <w:szCs w:val="20"/>
                <w:color w:val="auto"/>
              </w:rPr>
            </w:pPr>
            <w:r>
              <w:rPr>
                <w:rFonts w:ascii="Arial" w:cs="Arial" w:eastAsia="Arial" w:hAnsi="Arial"/>
                <w:sz w:val="14"/>
                <w:szCs w:val="14"/>
                <w:color w:val="auto"/>
                <w:w w:val="89"/>
              </w:rPr>
              <w:t>2009</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color w:val="auto"/>
              </w:rPr>
              <w:t>2008</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57,935</w:t>
            </w: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70,659</w:t>
            </w: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Singapore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18,148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22,442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69,276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Malaysia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22,099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26,254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China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21,076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26,650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52,003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53,654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171,261</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199,659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241,389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vMerge w:val="restart"/>
          </w:tcPr>
          <w:p>
            <w:pPr>
              <w:ind w:left="220"/>
              <w:spacing w:after="0"/>
              <w:rPr>
                <w:sz w:val="20"/>
                <w:szCs w:val="20"/>
                <w:color w:val="auto"/>
              </w:rPr>
            </w:pPr>
            <w:r>
              <w:rPr>
                <w:rFonts w:ascii="Arial" w:cs="Arial" w:eastAsia="Arial" w:hAnsi="Arial"/>
                <w:sz w:val="18"/>
                <w:szCs w:val="18"/>
                <w:color w:val="auto"/>
                <w:w w:val="92"/>
              </w:rPr>
              <w:t>Geographic location of our property, plant and equipment and other long-lived assets was as follows:</w:t>
            </w: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7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Arial" w:cs="Arial" w:eastAsia="Arial" w:hAnsi="Arial"/>
                <w:sz w:val="14"/>
                <w:szCs w:val="14"/>
                <w:color w:val="auto"/>
              </w:rPr>
              <w:t>2009</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Property, plant and equipment:</w:t>
            </w: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24,930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Asia (Singapore, Taiwan and the Philippines)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3,188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Germany</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9,888</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38,006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39,429</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Goodwill and other intangible assets:</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18,904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Singapore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6,558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Germany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71,785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400"/>
              <w:spacing w:after="0"/>
              <w:rPr>
                <w:sz w:val="20"/>
                <w:szCs w:val="20"/>
                <w:color w:val="auto"/>
              </w:rPr>
            </w:pPr>
            <w:r>
              <w:rPr>
                <w:rFonts w:ascii="Arial" w:cs="Arial" w:eastAsia="Arial" w:hAnsi="Arial"/>
                <w:sz w:val="18"/>
                <w:szCs w:val="18"/>
                <w:color w:val="auto"/>
              </w:rPr>
              <w:t>Total, net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97,247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101,813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ind w:left="562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7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 Rights Plan</w:t>
      </w:r>
    </w:p>
    <w:p>
      <w:pPr>
        <w:spacing w:after="0" w:line="121" w:lineRule="exact"/>
        <w:rPr>
          <w:rFonts w:ascii="Arial" w:cs="Arial" w:eastAsia="Arial" w:hAnsi="Arial"/>
          <w:sz w:val="18"/>
          <w:szCs w:val="18"/>
          <w:b w:val="1"/>
          <w:bCs w:val="1"/>
          <w:color w:val="auto"/>
        </w:rPr>
      </w:pPr>
    </w:p>
    <w:p>
      <w:pPr>
        <w:ind w:left="240" w:right="4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In November, 1996, we adopted a Stockholder Rights Plan (“Rights Plan”) and declared a dividend distribution of one Preferred Stock Purchase Right (“Right”) for each share of common stock, payable to holders of record on December 3, 1996. Under the Rights Plan, each stockholder received one Right for each share of common stock owned. Each Right entitled the holder to buy one one-hundredth (1/100) of a share of Cohu’s Series A Preferred Stock for $90. As a result of the two-for-one stock split in September, 1999, each share of common stock was associated with one-half of a Right entitling the holder to purchase one two-hundredth (1/200) of a share of Series A Preferred Stock for $45. In November, 2006, we amended and restated our existing Rights Plan to extend its term to November 9, 2016 and make certain other changes. Pursuant to the amendment, to reflect the increase in the price of our common stock since the adoption of the Rights Plan, the exercise price of each Right was increased to $190. Consequently, each one-half of a Right entitles the holder to purchase one two-hundredth (1/200) of a share of Series A Preferred Stock for $95. The Rights are not presently exercisable and will only become exercisable following the occurrence of certain specified events. If these specified events occur, each Right will be adjusted to entitle its holder to receive, upon exercise, common stock having a value equal to two times the exercise price of the Right, or each Right will be adjusted to entitle its holder to receive common stock of the acquiring company having a value equal to two times the exercise price of the Right, depending on the circumstances. The Rights expire on November 9, 2016, and we may redeem them for $0.001 per Right. The Rights do not have voting or dividend rights and, until they become exercisable, have no dilutive effect on our earnings per share.</w:t>
      </w:r>
    </w:p>
    <w:p>
      <w:pPr>
        <w:spacing w:after="0" w:line="62" w:lineRule="exact"/>
        <w:rPr>
          <w:rFonts w:ascii="Arial" w:cs="Arial" w:eastAsia="Arial" w:hAnsi="Arial"/>
          <w:sz w:val="18"/>
          <w:szCs w:val="18"/>
          <w:b w:val="1"/>
          <w:bCs w:val="1"/>
          <w:color w:val="auto"/>
        </w:rPr>
      </w:pPr>
    </w:p>
    <w:p>
      <w:pPr>
        <w:ind w:left="260" w:hanging="252"/>
        <w:spacing w:after="0"/>
        <w:tabs>
          <w:tab w:leader="none" w:pos="2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rFonts w:ascii="Arial" w:cs="Arial" w:eastAsia="Arial" w:hAnsi="Arial"/>
          <w:sz w:val="18"/>
          <w:szCs w:val="18"/>
          <w:b w:val="1"/>
          <w:bCs w:val="1"/>
          <w:color w:val="auto"/>
        </w:rPr>
      </w:pPr>
    </w:p>
    <w:p>
      <w:pPr>
        <w:jc w:val="both"/>
        <w:ind w:left="240" w:right="9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We lease certain of our facilities and equipment under non-cancelable operating leases. Rental expense for the years 2009, 2008 and 2007 was approximately $1.1 million, $1.7 million and $1.6 million, respectively. Future minimum lease payments at December 26, 2009 are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6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12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2010</w:t>
            </w:r>
          </w:p>
        </w:tc>
        <w:tc>
          <w:tcPr>
            <w:tcW w:w="14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color w:val="auto"/>
              </w:rPr>
              <w:t>2011</w:t>
            </w:r>
          </w:p>
        </w:tc>
        <w:tc>
          <w:tcPr>
            <w:tcW w:w="12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2012</w:t>
            </w: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2013</w:t>
            </w:r>
          </w:p>
        </w:tc>
        <w:tc>
          <w:tcPr>
            <w:tcW w:w="11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2014</w:t>
            </w:r>
          </w:p>
        </w:tc>
        <w:tc>
          <w:tcPr>
            <w:tcW w:w="138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Thereafter</w:t>
            </w:r>
          </w:p>
        </w:tc>
        <w:tc>
          <w:tcPr>
            <w:tcW w:w="11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Total</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w w:val="99"/>
              </w:rPr>
              <w:t>Non-cancelable operating leases</w:t>
            </w:r>
          </w:p>
        </w:tc>
        <w:tc>
          <w:tcPr>
            <w:tcW w:w="1260" w:type="dxa"/>
            <w:vAlign w:val="bottom"/>
          </w:tcPr>
          <w:p>
            <w:pPr>
              <w:jc w:val="right"/>
              <w:ind w:right="359"/>
              <w:spacing w:after="0"/>
              <w:rPr>
                <w:sz w:val="20"/>
                <w:szCs w:val="20"/>
                <w:color w:val="auto"/>
              </w:rPr>
            </w:pPr>
            <w:r>
              <w:rPr>
                <w:rFonts w:ascii="Arial" w:cs="Arial" w:eastAsia="Arial" w:hAnsi="Arial"/>
                <w:sz w:val="18"/>
                <w:szCs w:val="18"/>
                <w:color w:val="auto"/>
              </w:rPr>
              <w:t>$1,010</w:t>
            </w:r>
          </w:p>
        </w:tc>
        <w:tc>
          <w:tcPr>
            <w:tcW w:w="1420" w:type="dxa"/>
            <w:vAlign w:val="bottom"/>
          </w:tcPr>
          <w:p>
            <w:pPr>
              <w:jc w:val="right"/>
              <w:ind w:right="379"/>
              <w:spacing w:after="0"/>
              <w:rPr>
                <w:sz w:val="20"/>
                <w:szCs w:val="20"/>
                <w:color w:val="auto"/>
              </w:rPr>
            </w:pPr>
            <w:r>
              <w:rPr>
                <w:rFonts w:ascii="Arial" w:cs="Arial" w:eastAsia="Arial" w:hAnsi="Arial"/>
                <w:sz w:val="18"/>
                <w:szCs w:val="18"/>
                <w:color w:val="auto"/>
              </w:rPr>
              <w:t>$1,039</w:t>
            </w:r>
          </w:p>
        </w:tc>
        <w:tc>
          <w:tcPr>
            <w:tcW w:w="1200" w:type="dxa"/>
            <w:vAlign w:val="bottom"/>
          </w:tcPr>
          <w:p>
            <w:pPr>
              <w:jc w:val="right"/>
              <w:ind w:right="399"/>
              <w:spacing w:after="0"/>
              <w:rPr>
                <w:sz w:val="20"/>
                <w:szCs w:val="20"/>
                <w:color w:val="auto"/>
              </w:rPr>
            </w:pPr>
            <w:r>
              <w:rPr>
                <w:rFonts w:ascii="Arial" w:cs="Arial" w:eastAsia="Arial" w:hAnsi="Arial"/>
                <w:sz w:val="18"/>
                <w:szCs w:val="18"/>
                <w:color w:val="auto"/>
              </w:rPr>
              <w:t>$86</w:t>
            </w:r>
          </w:p>
        </w:tc>
        <w:tc>
          <w:tcPr>
            <w:tcW w:w="1180" w:type="dxa"/>
            <w:vAlign w:val="bottom"/>
          </w:tcPr>
          <w:p>
            <w:pPr>
              <w:jc w:val="right"/>
              <w:ind w:right="379"/>
              <w:spacing w:after="0"/>
              <w:rPr>
                <w:sz w:val="20"/>
                <w:szCs w:val="20"/>
                <w:color w:val="auto"/>
              </w:rPr>
            </w:pPr>
            <w:r>
              <w:rPr>
                <w:rFonts w:ascii="Arial" w:cs="Arial" w:eastAsia="Arial" w:hAnsi="Arial"/>
                <w:sz w:val="18"/>
                <w:szCs w:val="18"/>
                <w:color w:val="auto"/>
              </w:rPr>
              <w:t>$79</w:t>
            </w:r>
          </w:p>
        </w:tc>
        <w:tc>
          <w:tcPr>
            <w:tcW w:w="1160" w:type="dxa"/>
            <w:vAlign w:val="bottom"/>
          </w:tcPr>
          <w:p>
            <w:pPr>
              <w:jc w:val="right"/>
              <w:ind w:right="359"/>
              <w:spacing w:after="0"/>
              <w:rPr>
                <w:sz w:val="20"/>
                <w:szCs w:val="20"/>
                <w:color w:val="auto"/>
              </w:rPr>
            </w:pPr>
            <w:r>
              <w:rPr>
                <w:rFonts w:ascii="Arial" w:cs="Arial" w:eastAsia="Arial" w:hAnsi="Arial"/>
                <w:sz w:val="18"/>
                <w:szCs w:val="18"/>
                <w:color w:val="auto"/>
              </w:rPr>
              <w:t>$79</w:t>
            </w:r>
          </w:p>
        </w:tc>
        <w:tc>
          <w:tcPr>
            <w:tcW w:w="1380" w:type="dxa"/>
            <w:vAlign w:val="bottom"/>
          </w:tcPr>
          <w:p>
            <w:pPr>
              <w:ind w:left="5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9"/>
              <w:spacing w:after="0"/>
              <w:rPr>
                <w:sz w:val="20"/>
                <w:szCs w:val="20"/>
                <w:color w:val="auto"/>
              </w:rPr>
            </w:pPr>
            <w:r>
              <w:rPr>
                <w:rFonts w:ascii="Arial" w:cs="Arial" w:eastAsia="Arial" w:hAnsi="Arial"/>
                <w:sz w:val="18"/>
                <w:szCs w:val="18"/>
                <w:color w:val="auto"/>
              </w:rPr>
              <w:t>$2,293</w:t>
            </w:r>
          </w:p>
        </w:tc>
      </w:tr>
    </w:tbl>
    <w:p>
      <w:pPr>
        <w:spacing w:after="0" w:line="93" w:lineRule="exact"/>
        <w:rPr>
          <w:sz w:val="20"/>
          <w:szCs w:val="20"/>
          <w:color w:val="auto"/>
        </w:rPr>
      </w:pPr>
    </w:p>
    <w:p>
      <w:pPr>
        <w:ind w:left="240"/>
        <w:spacing w:after="0" w:line="269" w:lineRule="auto"/>
        <w:rPr>
          <w:sz w:val="20"/>
          <w:szCs w:val="20"/>
          <w:color w:val="auto"/>
        </w:rPr>
      </w:pPr>
      <w:r>
        <w:rPr>
          <w:rFonts w:ascii="Arial" w:cs="Arial" w:eastAsia="Arial" w:hAnsi="Arial"/>
          <w:sz w:val="17"/>
          <w:szCs w:val="17"/>
          <w:color w:val="auto"/>
        </w:rPr>
        <w:t>We previously disclosed that in May 2007 BMS received a subpoena from a grand jury seated in the Southern District of California, requesting the production of certain documents related to BMS’ export of microwave communications equipment. BMS completed production of documents responsive to the request in September 2007 and has fully cooperated. We also disclosed that on April 30, 2009, BMS received a letter from the U. S. Department of State requesting that BMS provide certain information related to their review of this matter. Based upon their review of the information provided, the U.S. Department of State informed us, during the third quarter of 2009, that they believed BMS did not obtain the required licenses for the export of certain products and services. The U. S. Department of State requested that BMS apply for commodity jurisdiction rulings to determine if certain products are subject to export controls, obtain export licenses as required and engage an independent third party to conduct an export compliance audit. On January 15, 2010, BMS provided the U.S. Department of State with the results of the export compliance audit and an update on the status of export licenses and commodity jurisdiction rulings. On January 20, 2010, BMS received notification from the U.S. Department of State that they were closing the case without taking action to impose a civil penalty, while reserving the right to reopen the case if it is later determined that circumstances warrant the initiation of administrative proceedings.</w:t>
      </w:r>
    </w:p>
    <w:p>
      <w:pPr>
        <w:spacing w:after="0" w:line="75" w:lineRule="exact"/>
        <w:rPr>
          <w:sz w:val="20"/>
          <w:szCs w:val="20"/>
          <w:color w:val="auto"/>
        </w:rPr>
      </w:pPr>
    </w:p>
    <w:p>
      <w:pPr>
        <w:ind w:left="240" w:right="40"/>
        <w:spacing w:after="0" w:line="312" w:lineRule="auto"/>
        <w:rPr>
          <w:sz w:val="20"/>
          <w:szCs w:val="20"/>
          <w:color w:val="auto"/>
        </w:rPr>
      </w:pPr>
      <w:r>
        <w:rPr>
          <w:rFonts w:ascii="Arial" w:cs="Arial" w:eastAsia="Arial" w:hAnsi="Arial"/>
          <w:sz w:val="16"/>
          <w:szCs w:val="16"/>
          <w:color w:val="auto"/>
        </w:rPr>
        <w:t>In addition to the above matter, from time-to-time we are involved in various legal proceedings, examinations by various tax authorities and claims that have arisen in the ordinary course of our businesses. Although the outcome of such legal proceedings, claims and examinations cannot be predicted with certainty, we do not believe any such matters exist at this time that will have a material adverse effect on our financial position or results of our operations.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Guarantees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accrued warranty during the three-year period ended December 26, 2009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color w:val="auto"/>
              </w:rPr>
              <w:t>2009</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color w:val="auto"/>
              </w:rPr>
              <w:t>2008</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1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4,924</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6,760</w:t>
            </w:r>
          </w:p>
        </w:tc>
        <w:tc>
          <w:tcPr>
            <w:tcW w:w="4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Warranty accruals</w:t>
            </w: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3,383</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7,467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Warranty payments</w:t>
            </w: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(4,560)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(10,215)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Warranty liability assumed</w:t>
            </w: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912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3,747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4,924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right="20"/>
        <w:spacing w:after="0" w:line="257" w:lineRule="auto"/>
        <w:rPr>
          <w:sz w:val="20"/>
          <w:szCs w:val="20"/>
          <w:color w:val="auto"/>
        </w:rPr>
      </w:pPr>
      <w:r>
        <w:rPr>
          <w:rFonts w:ascii="Arial" w:cs="Arial" w:eastAsia="Arial" w:hAnsi="Arial"/>
          <w:sz w:val="18"/>
          <w:szCs w:val="18"/>
          <w:color w:val="auto"/>
        </w:rPr>
        <w:t>During the ordinary course of business, we provide standby letters of credit instruments to certain parties as required. At December 26, 2009, the maximum potential amount of future payments that we could be required to make under these standby letters of credit was approximately $0.1 million. We have not recorded any liability in connection with these arrangements beyond that required to appropriately account for the underlying transaction being guaranteed. We do not believe, based on historical experience and information currently available, that it is probable that any amounts will be required to be paid under these arrangements.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Comprehensive Income (Loss)</w:t>
      </w:r>
    </w:p>
    <w:p>
      <w:pPr>
        <w:spacing w:after="0" w:line="121" w:lineRule="exact"/>
        <w:rPr>
          <w:sz w:val="20"/>
          <w:szCs w:val="20"/>
          <w:color w:val="auto"/>
        </w:rPr>
      </w:pPr>
    </w:p>
    <w:p>
      <w:pPr>
        <w:ind w:left="240" w:right="240"/>
        <w:spacing w:after="0" w:line="259" w:lineRule="auto"/>
        <w:rPr>
          <w:sz w:val="20"/>
          <w:szCs w:val="20"/>
          <w:color w:val="auto"/>
        </w:rPr>
      </w:pPr>
      <w:r>
        <w:rPr>
          <w:rFonts w:ascii="Arial" w:cs="Arial" w:eastAsia="Arial" w:hAnsi="Arial"/>
          <w:sz w:val="18"/>
          <w:szCs w:val="18"/>
          <w:color w:val="auto"/>
        </w:rPr>
        <w:t>Our accumulated other comprehensive income totaled approximately $8.7 million and $7.1 million at December 26, 2009 and December 27, 2008, respectively, and was attributed to, net of income taxes where applicable, foreign currency adjustments resulting from the translation of certain accounts into U.S. dollars where the functional currency is the Euro, unrealized losses and gains on investments and adjustments to accumulated postretirement benefit obligations.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Amounts included in accumulated other comprehensive income (loss)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color w:val="auto"/>
              </w:rPr>
              <w:t>Unrealized</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740"/>
              <w:spacing w:after="0"/>
              <w:rPr>
                <w:sz w:val="20"/>
                <w:szCs w:val="20"/>
                <w:color w:val="auto"/>
              </w:rPr>
            </w:pPr>
            <w:r>
              <w:rPr>
                <w:rFonts w:ascii="Arial" w:cs="Arial" w:eastAsia="Arial" w:hAnsi="Arial"/>
                <w:sz w:val="14"/>
                <w:szCs w:val="14"/>
                <w:color w:val="auto"/>
                <w:w w:val="92"/>
              </w:rPr>
              <w:t>Foreign</w:t>
            </w: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color w:val="auto"/>
                <w:w w:val="93"/>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Investment</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5"/>
              </w:rPr>
              <w:t>Currency</w:t>
            </w:r>
          </w:p>
        </w:tc>
        <w:tc>
          <w:tcPr>
            <w:tcW w:w="18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04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Gains and</w:t>
            </w:r>
          </w:p>
        </w:tc>
        <w:tc>
          <w:tcPr>
            <w:tcW w:w="1780" w:type="dxa"/>
            <w:vAlign w:val="bottom"/>
            <w:gridSpan w:val="4"/>
          </w:tcPr>
          <w:p>
            <w:pPr>
              <w:ind w:left="300"/>
              <w:spacing w:after="0" w:line="149" w:lineRule="exact"/>
              <w:rPr>
                <w:sz w:val="20"/>
                <w:szCs w:val="20"/>
                <w:color w:val="auto"/>
              </w:rPr>
            </w:pPr>
            <w:r>
              <w:rPr>
                <w:rFonts w:ascii="Arial" w:cs="Arial" w:eastAsia="Arial" w:hAnsi="Arial"/>
                <w:sz w:val="14"/>
                <w:szCs w:val="14"/>
                <w:color w:val="auto"/>
              </w:rPr>
              <w:t>Postretirement</w:t>
            </w:r>
          </w:p>
        </w:tc>
        <w:tc>
          <w:tcPr>
            <w:tcW w:w="1400" w:type="dxa"/>
            <w:vAlign w:val="bottom"/>
            <w:gridSpan w:val="3"/>
          </w:tcPr>
          <w:p>
            <w:pPr>
              <w:jc w:val="center"/>
              <w:ind w:right="660"/>
              <w:spacing w:after="0" w:line="149" w:lineRule="exact"/>
              <w:rPr>
                <w:sz w:val="20"/>
                <w:szCs w:val="20"/>
                <w:color w:val="auto"/>
              </w:rPr>
            </w:pPr>
            <w:r>
              <w:rPr>
                <w:rFonts w:ascii="Arial" w:cs="Arial" w:eastAsia="Arial" w:hAnsi="Arial"/>
                <w:sz w:val="14"/>
                <w:szCs w:val="14"/>
                <w:color w:val="auto"/>
                <w:w w:val="95"/>
              </w:rPr>
              <w:t>Translation</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1"/>
              </w:rPr>
              <w:t>Comprehensive</w:t>
            </w:r>
          </w:p>
        </w:tc>
        <w:tc>
          <w:tcPr>
            <w:tcW w:w="0" w:type="dxa"/>
            <w:vAlign w:val="bottom"/>
          </w:tcPr>
          <w:p>
            <w:pPr>
              <w:spacing w:after="0"/>
              <w:rPr>
                <w:sz w:val="1"/>
                <w:szCs w:val="1"/>
                <w:color w:val="auto"/>
              </w:rPr>
            </w:pPr>
          </w:p>
        </w:tc>
      </w:tr>
      <w:tr>
        <w:trPr>
          <w:trHeight w:val="174"/>
        </w:trPr>
        <w:tc>
          <w:tcPr>
            <w:tcW w:w="62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5"/>
                <w:szCs w:val="15"/>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color w:val="auto"/>
                <w:w w:val="90"/>
              </w:rPr>
              <w:t>Losses</w:t>
            </w:r>
          </w:p>
        </w:tc>
        <w:tc>
          <w:tcPr>
            <w:tcW w:w="300" w:type="dxa"/>
            <w:vAlign w:val="bottom"/>
          </w:tcPr>
          <w:p>
            <w:pPr>
              <w:spacing w:after="0"/>
              <w:rPr>
                <w:sz w:val="15"/>
                <w:szCs w:val="15"/>
                <w:color w:val="auto"/>
              </w:rPr>
            </w:pPr>
          </w:p>
        </w:tc>
        <w:tc>
          <w:tcPr>
            <w:tcW w:w="1480" w:type="dxa"/>
            <w:vAlign w:val="bottom"/>
            <w:gridSpan w:val="3"/>
          </w:tcPr>
          <w:p>
            <w:pPr>
              <w:jc w:val="right"/>
              <w:ind w:right="740"/>
              <w:spacing w:after="0"/>
              <w:rPr>
                <w:sz w:val="20"/>
                <w:szCs w:val="20"/>
                <w:color w:val="auto"/>
              </w:rPr>
            </w:pPr>
            <w:r>
              <w:rPr>
                <w:rFonts w:ascii="Arial" w:cs="Arial" w:eastAsia="Arial" w:hAnsi="Arial"/>
                <w:sz w:val="14"/>
                <w:szCs w:val="14"/>
                <w:color w:val="auto"/>
              </w:rPr>
              <w:t>Obligations</w:t>
            </w:r>
          </w:p>
        </w:tc>
        <w:tc>
          <w:tcPr>
            <w:tcW w:w="1400" w:type="dxa"/>
            <w:vAlign w:val="bottom"/>
            <w:gridSpan w:val="3"/>
          </w:tcPr>
          <w:p>
            <w:pPr>
              <w:jc w:val="center"/>
              <w:ind w:right="640"/>
              <w:spacing w:after="0"/>
              <w:rPr>
                <w:sz w:val="20"/>
                <w:szCs w:val="20"/>
                <w:color w:val="auto"/>
              </w:rPr>
            </w:pPr>
            <w:r>
              <w:rPr>
                <w:rFonts w:ascii="Arial" w:cs="Arial" w:eastAsia="Arial" w:hAnsi="Arial"/>
                <w:sz w:val="14"/>
                <w:szCs w:val="14"/>
                <w:color w:val="auto"/>
                <w:w w:val="93"/>
              </w:rPr>
              <w:t>Adjustments</w:t>
            </w: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color w:val="auto"/>
                <w:w w:val="94"/>
              </w:rPr>
              <w:t>Income (Loss)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December 30, 2006</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580" w:type="dxa"/>
            <w:vAlign w:val="bottom"/>
            <w:tcBorders>
              <w:top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(384)</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Fiscal 2007 activity</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700</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29, 2007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700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Fiscal 2008 activity</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(383)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6,929</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6,648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27, 2008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7,629</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Fiscal 2009 activity</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434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1,538</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26, 2009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121" w:lineRule="exact"/>
        <w:rPr>
          <w:sz w:val="20"/>
          <w:szCs w:val="20"/>
          <w:color w:val="auto"/>
        </w:rPr>
      </w:pPr>
    </w:p>
    <w:p>
      <w:pPr>
        <w:jc w:val="both"/>
        <w:ind w:left="240" w:right="380"/>
        <w:spacing w:after="0" w:line="264" w:lineRule="auto"/>
        <w:rPr>
          <w:sz w:val="20"/>
          <w:szCs w:val="20"/>
          <w:color w:val="auto"/>
        </w:rPr>
      </w:pPr>
      <w:r>
        <w:rPr>
          <w:rFonts w:ascii="Arial" w:cs="Arial" w:eastAsia="Arial" w:hAnsi="Arial"/>
          <w:sz w:val="18"/>
          <w:szCs w:val="18"/>
          <w:color w:val="auto"/>
        </w:rPr>
        <w:t>James A. Donahue, President and CEO of Cohu, and Steven J. Bilodeau, a member of the Cohu Board of Directors, are both members of the Board of Directors of Standard Microsystems Corporation (“SMSC”), a customer of our semiconductor equipment segment. During 2009, 2008 and 2007, total sales to SMSC were approximately $1.0 million, $1.1 million, and $2.2 million,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Discontinued Operations</w:t>
      </w:r>
    </w:p>
    <w:p>
      <w:pPr>
        <w:spacing w:after="0" w:line="121" w:lineRule="exact"/>
        <w:rPr>
          <w:sz w:val="20"/>
          <w:szCs w:val="20"/>
          <w:color w:val="auto"/>
        </w:rPr>
      </w:pPr>
    </w:p>
    <w:p>
      <w:pPr>
        <w:jc w:val="both"/>
        <w:ind w:left="240" w:right="220"/>
        <w:spacing w:after="0" w:line="312" w:lineRule="auto"/>
        <w:rPr>
          <w:sz w:val="20"/>
          <w:szCs w:val="20"/>
          <w:color w:val="auto"/>
        </w:rPr>
      </w:pPr>
      <w:r>
        <w:rPr>
          <w:rFonts w:ascii="Arial" w:cs="Arial" w:eastAsia="Arial" w:hAnsi="Arial"/>
          <w:sz w:val="16"/>
          <w:szCs w:val="16"/>
          <w:color w:val="auto"/>
        </w:rPr>
        <w:t>In May 2006, we sold substantially all the assets of our metal detection equipment business, FRL. Our decision to sell FRL resulted from management’s determination that this industry segment was no longer a strategic fit within our organization. We are currently attempting to sell our FRL facility in Los Banos, California and believe the current fair value of the property is in excess of its $0.5 million carrying value at December 26, 2009.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Quarterly Financial Data (Unaudited)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Quarter</w:t>
            </w:r>
          </w:p>
        </w:tc>
        <w:tc>
          <w:tcPr>
            <w:tcW w:w="14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w w:val="95"/>
              </w:rPr>
              <w:t>First (a)</w:t>
            </w:r>
          </w:p>
        </w:tc>
        <w:tc>
          <w:tcPr>
            <w:tcW w:w="150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color w:val="auto"/>
              </w:rPr>
              <w:t>Second (a)</w:t>
            </w:r>
          </w:p>
        </w:tc>
        <w:tc>
          <w:tcPr>
            <w:tcW w:w="142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color w:val="auto"/>
              </w:rPr>
              <w:t>Third (a)</w:t>
            </w:r>
          </w:p>
        </w:tc>
        <w:tc>
          <w:tcPr>
            <w:tcW w:w="144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color w:val="auto"/>
              </w:rPr>
              <w:t>Fourth (a)</w:t>
            </w: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Year</w:t>
            </w:r>
          </w:p>
        </w:tc>
        <w:tc>
          <w:tcPr>
            <w:tcW w:w="0" w:type="dxa"/>
            <w:vAlign w:val="bottom"/>
          </w:tcPr>
          <w:p>
            <w:pPr>
              <w:spacing w:after="0"/>
              <w:rPr>
                <w:sz w:val="1"/>
                <w:szCs w:val="1"/>
                <w:color w:val="auto"/>
              </w:rPr>
            </w:pPr>
          </w:p>
        </w:tc>
      </w:tr>
      <w:tr>
        <w:trPr>
          <w:trHeight w:val="156"/>
        </w:trPr>
        <w:tc>
          <w:tcPr>
            <w:tcW w:w="284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 except per share data)</w:t>
            </w:r>
          </w:p>
        </w:tc>
        <w:tc>
          <w:tcPr>
            <w:tcW w:w="1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2009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w w:val="87"/>
              </w:rPr>
              <w:t>36,582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8"/>
              </w:rPr>
              <w:t>38,424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7"/>
              </w:rPr>
              <w:t>44,062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87"/>
              </w:rPr>
              <w:t>52,193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6"/>
              </w:rPr>
              <w:t>171,261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2008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w w:val="87"/>
              </w:rPr>
              <w:t>58,409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8"/>
              </w:rPr>
              <w:t>51,833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7"/>
              </w:rPr>
              <w:t>48,016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87"/>
              </w:rPr>
              <w:t>41,401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6"/>
              </w:rPr>
              <w:t>199,659</w:t>
            </w:r>
          </w:p>
        </w:tc>
        <w:tc>
          <w:tcPr>
            <w:tcW w:w="0" w:type="dxa"/>
            <w:vAlign w:val="bottom"/>
          </w:tcPr>
          <w:p>
            <w:pPr>
              <w:spacing w:after="0"/>
              <w:rPr>
                <w:sz w:val="1"/>
                <w:szCs w:val="1"/>
                <w:color w:val="auto"/>
              </w:rPr>
            </w:pPr>
          </w:p>
        </w:tc>
      </w:tr>
      <w:tr>
        <w:trPr>
          <w:trHeight w:val="418"/>
        </w:trPr>
        <w:tc>
          <w:tcPr>
            <w:tcW w:w="28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2009</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1"/>
              <w:spacing w:after="0"/>
              <w:rPr>
                <w:sz w:val="20"/>
                <w:szCs w:val="20"/>
                <w:color w:val="auto"/>
              </w:rPr>
            </w:pPr>
            <w:r>
              <w:rPr>
                <w:rFonts w:ascii="Arial" w:cs="Arial" w:eastAsia="Arial" w:hAnsi="Arial"/>
                <w:sz w:val="18"/>
                <w:szCs w:val="18"/>
                <w:color w:val="auto"/>
              </w:rPr>
              <w:t>7,395</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70"/>
              <w:spacing w:after="0"/>
              <w:rPr>
                <w:sz w:val="20"/>
                <w:szCs w:val="20"/>
                <w:color w:val="auto"/>
              </w:rPr>
            </w:pPr>
            <w:r>
              <w:rPr>
                <w:rFonts w:ascii="Arial" w:cs="Arial" w:eastAsia="Arial" w:hAnsi="Arial"/>
                <w:sz w:val="18"/>
                <w:szCs w:val="18"/>
                <w:color w:val="auto"/>
                <w:w w:val="98"/>
              </w:rPr>
              <w:t>12,328</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w w:val="87"/>
              </w:rPr>
              <w:t>16,217</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0"/>
              <w:spacing w:after="0"/>
              <w:rPr>
                <w:sz w:val="20"/>
                <w:szCs w:val="20"/>
                <w:color w:val="auto"/>
              </w:rPr>
            </w:pPr>
            <w:r>
              <w:rPr>
                <w:rFonts w:ascii="Arial" w:cs="Arial" w:eastAsia="Arial" w:hAnsi="Arial"/>
                <w:sz w:val="18"/>
                <w:szCs w:val="18"/>
                <w:color w:val="auto"/>
                <w:w w:val="87"/>
              </w:rPr>
              <w:t>16,448</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1"/>
              <w:spacing w:after="0"/>
              <w:rPr>
                <w:sz w:val="20"/>
                <w:szCs w:val="20"/>
                <w:color w:val="auto"/>
              </w:rPr>
            </w:pPr>
            <w:r>
              <w:rPr>
                <w:rFonts w:ascii="Arial" w:cs="Arial" w:eastAsia="Arial" w:hAnsi="Arial"/>
                <w:sz w:val="18"/>
                <w:szCs w:val="18"/>
                <w:color w:val="auto"/>
              </w:rPr>
              <w:t>52,388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2008</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1"/>
              <w:spacing w:after="0"/>
              <w:rPr>
                <w:sz w:val="20"/>
                <w:szCs w:val="20"/>
                <w:color w:val="auto"/>
              </w:rPr>
            </w:pPr>
            <w:r>
              <w:rPr>
                <w:rFonts w:ascii="Arial" w:cs="Arial" w:eastAsia="Arial" w:hAnsi="Arial"/>
                <w:sz w:val="18"/>
                <w:szCs w:val="18"/>
                <w:color w:val="auto"/>
                <w:w w:val="87"/>
              </w:rPr>
              <w:t>20,807</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70"/>
              <w:spacing w:after="0"/>
              <w:rPr>
                <w:sz w:val="20"/>
                <w:szCs w:val="20"/>
                <w:color w:val="auto"/>
              </w:rPr>
            </w:pPr>
            <w:r>
              <w:rPr>
                <w:rFonts w:ascii="Arial" w:cs="Arial" w:eastAsia="Arial" w:hAnsi="Arial"/>
                <w:sz w:val="18"/>
                <w:szCs w:val="18"/>
                <w:color w:val="auto"/>
                <w:w w:val="98"/>
              </w:rPr>
              <w:t>18,440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w w:val="87"/>
              </w:rPr>
              <w:t>17,558</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0"/>
              <w:spacing w:after="0"/>
              <w:rPr>
                <w:sz w:val="20"/>
                <w:szCs w:val="20"/>
                <w:color w:val="auto"/>
              </w:rPr>
            </w:pPr>
            <w:r>
              <w:rPr>
                <w:rFonts w:ascii="Arial" w:cs="Arial" w:eastAsia="Arial" w:hAnsi="Arial"/>
                <w:sz w:val="18"/>
                <w:szCs w:val="18"/>
                <w:color w:val="auto"/>
              </w:rPr>
              <w:t>8,163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1"/>
              <w:spacing w:after="0"/>
              <w:rPr>
                <w:sz w:val="20"/>
                <w:szCs w:val="20"/>
                <w:color w:val="auto"/>
              </w:rPr>
            </w:pPr>
            <w:r>
              <w:rPr>
                <w:rFonts w:ascii="Arial" w:cs="Arial" w:eastAsia="Arial" w:hAnsi="Arial"/>
                <w:sz w:val="18"/>
                <w:szCs w:val="18"/>
                <w:color w:val="auto"/>
              </w:rPr>
              <w:t>64,968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(loss) from continuing</w:t>
            </w:r>
          </w:p>
        </w:tc>
        <w:tc>
          <w:tcPr>
            <w:tcW w:w="1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 (b):</w:t>
            </w:r>
          </w:p>
        </w:tc>
        <w:tc>
          <w:tcPr>
            <w:tcW w:w="14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2009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94"/>
              </w:rPr>
              <w:t>(6,262)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89"/>
              </w:rPr>
              <w:t>(22,605)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770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2"/>
              </w:rPr>
              <w:t>(28,168)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2008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1,952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174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4"/>
              </w:rPr>
              <w:t>(7,606)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418"/>
        </w:trPr>
        <w:tc>
          <w:tcPr>
            <w:tcW w:w="28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2009</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1"/>
              <w:spacing w:after="0"/>
              <w:rPr>
                <w:sz w:val="20"/>
                <w:szCs w:val="20"/>
                <w:color w:val="auto"/>
              </w:rPr>
            </w:pPr>
            <w:r>
              <w:rPr>
                <w:rFonts w:ascii="Arial" w:cs="Arial" w:eastAsia="Arial" w:hAnsi="Arial"/>
                <w:sz w:val="18"/>
                <w:szCs w:val="18"/>
                <w:color w:val="auto"/>
                <w:w w:val="94"/>
              </w:rPr>
              <w:t>(6,262)</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0"/>
              <w:spacing w:after="0"/>
              <w:rPr>
                <w:sz w:val="20"/>
                <w:szCs w:val="20"/>
                <w:color w:val="auto"/>
              </w:rPr>
            </w:pPr>
            <w:r>
              <w:rPr>
                <w:rFonts w:ascii="Arial" w:cs="Arial" w:eastAsia="Arial" w:hAnsi="Arial"/>
                <w:sz w:val="18"/>
                <w:szCs w:val="18"/>
                <w:color w:val="auto"/>
                <w:w w:val="89"/>
              </w:rPr>
              <w:t>(22,605)</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(71)</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0"/>
              <w:spacing w:after="0"/>
              <w:rPr>
                <w:sz w:val="20"/>
                <w:szCs w:val="20"/>
                <w:color w:val="auto"/>
              </w:rPr>
            </w:pPr>
            <w:r>
              <w:rPr>
                <w:rFonts w:ascii="Arial" w:cs="Arial" w:eastAsia="Arial" w:hAnsi="Arial"/>
                <w:sz w:val="18"/>
                <w:szCs w:val="18"/>
                <w:color w:val="auto"/>
              </w:rPr>
              <w:t>770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1"/>
              <w:spacing w:after="0"/>
              <w:rPr>
                <w:sz w:val="20"/>
                <w:szCs w:val="20"/>
                <w:color w:val="auto"/>
              </w:rPr>
            </w:pPr>
            <w:r>
              <w:rPr>
                <w:rFonts w:ascii="Arial" w:cs="Arial" w:eastAsia="Arial" w:hAnsi="Arial"/>
                <w:sz w:val="18"/>
                <w:szCs w:val="18"/>
                <w:color w:val="auto"/>
                <w:w w:val="92"/>
              </w:rPr>
              <w:t>(28,168)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2008</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1"/>
              <w:spacing w:after="0"/>
              <w:rPr>
                <w:sz w:val="20"/>
                <w:szCs w:val="20"/>
                <w:color w:val="auto"/>
              </w:rPr>
            </w:pPr>
            <w:r>
              <w:rPr>
                <w:rFonts w:ascii="Arial" w:cs="Arial" w:eastAsia="Arial" w:hAnsi="Arial"/>
                <w:sz w:val="18"/>
                <w:szCs w:val="18"/>
                <w:color w:val="auto"/>
              </w:rPr>
              <w:t>1,952</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174</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37</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0"/>
              <w:spacing w:after="0"/>
              <w:rPr>
                <w:sz w:val="20"/>
                <w:szCs w:val="20"/>
                <w:color w:val="auto"/>
              </w:rPr>
            </w:pPr>
            <w:r>
              <w:rPr>
                <w:rFonts w:ascii="Arial" w:cs="Arial" w:eastAsia="Arial" w:hAnsi="Arial"/>
                <w:sz w:val="18"/>
                <w:szCs w:val="18"/>
                <w:color w:val="auto"/>
                <w:w w:val="94"/>
              </w:rPr>
              <w:t>(7,606)</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(c):</w:t>
            </w: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200"/>
              <w:spacing w:after="0"/>
              <w:rPr>
                <w:sz w:val="20"/>
                <w:szCs w:val="20"/>
                <w:color w:val="auto"/>
              </w:rPr>
            </w:pPr>
            <w:r>
              <w:rPr>
                <w:rFonts w:ascii="Arial" w:cs="Arial" w:eastAsia="Arial" w:hAnsi="Arial"/>
                <w:sz w:val="18"/>
                <w:szCs w:val="18"/>
                <w:color w:val="auto"/>
              </w:rPr>
              <w:t>Basic:</w:t>
            </w: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Income (loss) from continuing</w:t>
            </w:r>
          </w:p>
        </w:tc>
        <w:tc>
          <w:tcPr>
            <w:tcW w:w="1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operations</w:t>
            </w:r>
          </w:p>
        </w:tc>
        <w:tc>
          <w:tcPr>
            <w:tcW w:w="14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2009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(0.27)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(0.97)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0.03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2008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0.08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0.01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(0.33)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820" w:type="dxa"/>
            <w:vAlign w:val="bottom"/>
          </w:tcPr>
          <w:p>
            <w:pPr>
              <w:ind w:left="400"/>
              <w:spacing w:after="0"/>
              <w:rPr>
                <w:sz w:val="20"/>
                <w:szCs w:val="20"/>
                <w:color w:val="auto"/>
              </w:rPr>
            </w:pPr>
            <w:r>
              <w:rPr>
                <w:rFonts w:ascii="Arial" w:cs="Arial" w:eastAsia="Arial" w:hAnsi="Arial"/>
                <w:sz w:val="18"/>
                <w:szCs w:val="18"/>
                <w:color w:val="auto"/>
              </w:rPr>
              <w:t>Net income (loss)</w:t>
            </w: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2009</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1"/>
              <w:spacing w:after="0"/>
              <w:rPr>
                <w:sz w:val="20"/>
                <w:szCs w:val="20"/>
                <w:color w:val="auto"/>
              </w:rPr>
            </w:pPr>
            <w:r>
              <w:rPr>
                <w:rFonts w:ascii="Arial" w:cs="Arial" w:eastAsia="Arial" w:hAnsi="Arial"/>
                <w:sz w:val="18"/>
                <w:szCs w:val="18"/>
                <w:color w:val="auto"/>
              </w:rPr>
              <w:t>(0.27)</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(0.97)</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(0.00)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0"/>
              <w:spacing w:after="0"/>
              <w:rPr>
                <w:sz w:val="20"/>
                <w:szCs w:val="20"/>
                <w:color w:val="auto"/>
              </w:rPr>
            </w:pPr>
            <w:r>
              <w:rPr>
                <w:rFonts w:ascii="Arial" w:cs="Arial" w:eastAsia="Arial" w:hAnsi="Arial"/>
                <w:sz w:val="18"/>
                <w:szCs w:val="18"/>
                <w:color w:val="auto"/>
              </w:rPr>
              <w:t>0.03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2008</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1"/>
              <w:spacing w:after="0"/>
              <w:rPr>
                <w:sz w:val="20"/>
                <w:szCs w:val="20"/>
                <w:color w:val="auto"/>
              </w:rPr>
            </w:pPr>
            <w:r>
              <w:rPr>
                <w:rFonts w:ascii="Arial" w:cs="Arial" w:eastAsia="Arial" w:hAnsi="Arial"/>
                <w:sz w:val="18"/>
                <w:szCs w:val="18"/>
                <w:color w:val="auto"/>
              </w:rPr>
              <w:t>0.08</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0.01</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0.00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(0.33)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ind w:left="400"/>
              <w:spacing w:after="0" w:line="201" w:lineRule="exact"/>
              <w:rPr>
                <w:sz w:val="20"/>
                <w:szCs w:val="20"/>
                <w:color w:val="auto"/>
              </w:rPr>
            </w:pPr>
            <w:r>
              <w:rPr>
                <w:rFonts w:ascii="Arial" w:cs="Arial" w:eastAsia="Arial" w:hAnsi="Arial"/>
                <w:sz w:val="18"/>
                <w:szCs w:val="18"/>
                <w:color w:val="auto"/>
              </w:rPr>
              <w:t>Income (loss) from continuing</w:t>
            </w:r>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600"/>
              <w:spacing w:after="0"/>
              <w:rPr>
                <w:sz w:val="20"/>
                <w:szCs w:val="20"/>
                <w:color w:val="auto"/>
              </w:rPr>
            </w:pPr>
            <w:r>
              <w:rPr>
                <w:rFonts w:ascii="Arial" w:cs="Arial" w:eastAsia="Arial" w:hAnsi="Arial"/>
                <w:sz w:val="18"/>
                <w:szCs w:val="18"/>
                <w:color w:val="auto"/>
              </w:rPr>
              <w:t>operations</w:t>
            </w: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2009</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1"/>
              <w:spacing w:after="0"/>
              <w:rPr>
                <w:sz w:val="20"/>
                <w:szCs w:val="20"/>
                <w:color w:val="auto"/>
              </w:rPr>
            </w:pPr>
            <w:r>
              <w:rPr>
                <w:rFonts w:ascii="Arial" w:cs="Arial" w:eastAsia="Arial" w:hAnsi="Arial"/>
                <w:sz w:val="18"/>
                <w:szCs w:val="18"/>
                <w:color w:val="auto"/>
              </w:rPr>
              <w:t>(0.27)</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(0.97)</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(0.00)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0"/>
              <w:spacing w:after="0"/>
              <w:rPr>
                <w:sz w:val="20"/>
                <w:szCs w:val="20"/>
                <w:color w:val="auto"/>
              </w:rPr>
            </w:pPr>
            <w:r>
              <w:rPr>
                <w:rFonts w:ascii="Arial" w:cs="Arial" w:eastAsia="Arial" w:hAnsi="Arial"/>
                <w:sz w:val="18"/>
                <w:szCs w:val="18"/>
                <w:color w:val="auto"/>
              </w:rPr>
              <w:t>0.03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2008</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1"/>
              <w:spacing w:after="0"/>
              <w:rPr>
                <w:sz w:val="20"/>
                <w:szCs w:val="20"/>
                <w:color w:val="auto"/>
              </w:rPr>
            </w:pPr>
            <w:r>
              <w:rPr>
                <w:rFonts w:ascii="Arial" w:cs="Arial" w:eastAsia="Arial" w:hAnsi="Arial"/>
                <w:sz w:val="18"/>
                <w:szCs w:val="18"/>
                <w:color w:val="auto"/>
              </w:rPr>
              <w:t>0.08</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0.01</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0.00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(0.33)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 (loss)</w:t>
            </w:r>
          </w:p>
        </w:tc>
        <w:tc>
          <w:tcPr>
            <w:tcW w:w="14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2009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(0.27)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(0.97)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0.03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2008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0.08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0.01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(0.33)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of the four quarters during 2009 and 2008 was comprised of 13 weeks.</w:t>
      </w:r>
    </w:p>
    <w:p>
      <w:pPr>
        <w:spacing w:after="0" w:line="76" w:lineRule="exact"/>
        <w:rPr>
          <w:rFonts w:ascii="Arial" w:cs="Arial" w:eastAsia="Arial" w:hAnsi="Arial"/>
          <w:sz w:val="18"/>
          <w:szCs w:val="18"/>
          <w:color w:val="auto"/>
        </w:rPr>
      </w:pPr>
    </w:p>
    <w:p>
      <w:pPr>
        <w:ind w:left="460" w:right="320" w:hanging="452"/>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second quarter of 2009 includes a charge of $19.6 million, for an increase in the valuation allowance against our deferred tax assets. The fourth quarter of 2008 includes a charge for excess inventory of $5.5 million at Delta and a charge of $2.6 million for acquired in-process research and development from the acquisition of Rasco.</w:t>
      </w:r>
    </w:p>
    <w:p>
      <w:pPr>
        <w:spacing w:after="0" w:line="32"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sum of the four quarters may not agree to the year total due to rounding within a quarter.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w:t>
      </w:r>
    </w:p>
    <w:p>
      <w:pPr>
        <w:spacing w:after="0" w:line="121" w:lineRule="exact"/>
        <w:rPr>
          <w:sz w:val="20"/>
          <w:szCs w:val="20"/>
          <w:color w:val="auto"/>
        </w:rPr>
      </w:pPr>
    </w:p>
    <w:p>
      <w:pPr>
        <w:ind w:left="240" w:right="120"/>
        <w:spacing w:after="0" w:line="277" w:lineRule="auto"/>
        <w:rPr>
          <w:sz w:val="20"/>
          <w:szCs w:val="20"/>
          <w:color w:val="auto"/>
        </w:rPr>
      </w:pPr>
      <w:r>
        <w:rPr>
          <w:rFonts w:ascii="Arial" w:cs="Arial" w:eastAsia="Arial" w:hAnsi="Arial"/>
          <w:sz w:val="18"/>
          <w:szCs w:val="18"/>
          <w:color w:val="auto"/>
        </w:rPr>
        <w:t>On January 27, 2010, we announced that the Cohu Board of Directors declared a $0.06 per share cash dividend payable on April 23, 2010 to shareholders of record on March 9, 2010.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10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have audited the accompanying consolidated balance sheets of Cohu, Inc. as of December 26, 2009 and December 27, 2008, and the related consolidated statements of operations, stockholders’ equity, and cash flows for each of the three years in the period ended December 26, 2009. Our audits also included the financial statement schedule listed in the Index at Item 15(a). These financial statements and schedule are the responsibility of the Company’s management. Our responsibility is to express an opinion on these financial statements and the schedule based on our audits.</w:t>
      </w:r>
    </w:p>
    <w:p>
      <w:pPr>
        <w:spacing w:after="0" w:line="6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0"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Cohu, Inc. at December 26, 2009 and December 27, 2008, and the consolidated results of its operations and its cash flows for each of the three years in the period ended December 26, 2009,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46"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Cohu, Inc.’s internal control over financial reporting as of December 26, 2009, based on criteria established in Internal Control—Integrated Framework issued by the Committee of Sponsoring Organizations of the Treadway Commission and our report dated February 23, 2010 expressed an unqualified opinion thereon.</w:t>
      </w:r>
    </w:p>
    <w:p>
      <w:pPr>
        <w:spacing w:after="0" w:line="3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2010</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15. (b) The following exhibits are filed as part of, or incorporated into, the 2009 Cohu, Inc. Annual Report on Form 10-K:</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14"/>
                <w:szCs w:val="14"/>
                <w:color w:val="auto"/>
              </w:rPr>
            </w:pPr>
          </w:p>
        </w:tc>
        <w:tc>
          <w:tcPr>
            <w:tcW w:w="10260" w:type="dxa"/>
            <w:vAlign w:val="bottom"/>
            <w:tcBorders>
              <w:bottom w:val="single" w:sz="8" w:color="auto"/>
            </w:tcBorders>
          </w:tcPr>
          <w:p>
            <w:pPr>
              <w:ind w:left="478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6"/>
                <w:szCs w:val="16"/>
                <w:color w:val="auto"/>
              </w:rPr>
            </w:pPr>
          </w:p>
        </w:tc>
        <w:tc>
          <w:tcPr>
            <w:tcW w:w="10260" w:type="dxa"/>
            <w:vAlign w:val="bottom"/>
          </w:tcPr>
          <w:p>
            <w:pPr>
              <w:spacing w:after="0" w:line="195" w:lineRule="exact"/>
              <w:rPr>
                <w:sz w:val="20"/>
                <w:szCs w:val="20"/>
                <w:color w:val="auto"/>
              </w:rPr>
            </w:pPr>
            <w:r>
              <w:rPr>
                <w:rFonts w:ascii="Arial" w:cs="Arial" w:eastAsia="Arial" w:hAnsi="Arial"/>
                <w:sz w:val="18"/>
                <w:szCs w:val="18"/>
                <w:color w:val="auto"/>
                <w:w w:val="96"/>
              </w:rPr>
              <w:t>Amended and Restated Certificate of Incorporation of Cohu, Inc. incorporated herein by reference to Exhibit 3.1(a) from the Cohu, Inc.</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10-Q for the quarterly period ended June 30, 1999</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3.1(a)</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Certificate of Amendment of Amended and Restated Certificate of Incorporation of Cohu, Inc. incorporated herein by reference from the</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Cohu, Inc. Form S-8 filed June 30, 2000, Exhibit 4.1(a)</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Amended and Restated Bylaws of Cohu, Inc. incorporated herein by reference to Exhibit 3.2 from the Cohu, Inc. Current Report on Form 8-K</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filed with the Securities and Exchange Commission on December 12, 1996</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Amended and Restated Rights Agreement dated November 10, 2006, between Cohu, Inc. and Mellon Investor Services LLC, as Rights Agent,</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incorporated herein by reference from the Cohu, Inc. Current Report on Form 8-K, filed with the Securities and Exchange Commission on</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November 13, 2006, Exhibit 99.1</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Cohu, Inc. 2005 Equity Incentive Plan, incorporated herein by reference from the Cohu, Inc. Current Report on Form 8-K filed with the</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Securities and Exchange Commission on May 13, 2009, Exhibit 10.1*</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Amended Cohu, Inc. 1997 Employee Stock Purchase Plan, incorporated herein by reference from the Cohu, Inc. Current Report on Form 8-K</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filed with the Securities and Exchange Commission on May 10, 2006, Exhibit 10.2*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Cohu, Inc. Deferred Compensation Plan (as amended and restated) incorporated herein by reference from the Cohu, Inc. Current Report on</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8-K filed with the Securities and Exchange Commission on December 29, 2008, Exhibit 10.1*</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Form of stock option agreement for use with stock options granted pursuant to the Cohu, Inc. 2005 Equity Incentive Plan incorporated herein</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by reference from the Cohu, Inc. Current Report on Form 8-K filed with the Securities and Exchange Commission on August 7, 2006*</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Restricted stock unit agreement for use with resticted stock units granted pursuant to the Cohu, Inc. 2005 Equity Incentive Plan incorporated</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herein by reference from the Cohu, Inc. Current Report on Form 8-K filed with the Securities and Exchange Commission on April 20, 2006*</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Share Purchase and Transfer Agreement dated December 5, 2008 by and among Delta Design, Inc. (and certain of its subsidiaries) and Dover</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Electronic Technologies, Inc. (and certain of its subsidiaries), incorporated herein by reference from the Cohu, Inc. Current Report on Form 8-</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K filed with the Securities and Exchange Commission on December 11, 2008, Exhibit 10.1</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Asset Purchase Agreement dated December 9, 2008 by and between a subsidiary of Delta Design, Inc. and certain subsidiaries of Dover</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Electronic Technologies, Inc., incorporated herein by reference from the Cohu, Inc. Current Report on Form 8-K filed with the Securities and</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Exchange Commission on December 11, 2008, Exhibit 10.2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Capital Equipment, Goods and Services Agreement, dated January 10, 2007, by and between Delta and Intel Corporation, incorporated by</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 from the Cohu, Inc. Current Report on Form 8-K filed April 25, 2007, Exhibit 99.1</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Business Agreement and Addendum by and between Advanced Micro Devices, Inc. and Delta Design, Inc. incorporated by reference from</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the Cohu, Inc. Current Report on Form 8-K filed February 22, 2006, Exhibit 99.1</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Offer Letter dated April 24, 2008, by and between Delta Design, Inc. and Roger J. Hopkins incorporated herein by reference from the Cohu,</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 Current Report on Form 8-K filed with the Securities and Exchange Commission on April 25, 2008, Exhibit 10.1*</w:t>
            </w:r>
          </w:p>
        </w:tc>
      </w:tr>
      <w:tr>
        <w:trPr>
          <w:trHeight w:val="405"/>
        </w:trPr>
        <w:tc>
          <w:tcPr>
            <w:tcW w:w="920" w:type="dxa"/>
            <w:vAlign w:val="bottom"/>
          </w:tcPr>
          <w:p>
            <w:pPr>
              <w:spacing w:after="0"/>
              <w:rPr>
                <w:sz w:val="24"/>
                <w:szCs w:val="24"/>
                <w:color w:val="auto"/>
              </w:rPr>
            </w:pPr>
          </w:p>
        </w:tc>
        <w:tc>
          <w:tcPr>
            <w:tcW w:w="10500" w:type="dxa"/>
            <w:vAlign w:val="bottom"/>
            <w:gridSpan w:val="2"/>
          </w:tcPr>
          <w:p>
            <w:pPr>
              <w:jc w:val="right"/>
              <w:ind w:right="5531"/>
              <w:spacing w:after="0"/>
              <w:rPr>
                <w:sz w:val="20"/>
                <w:szCs w:val="20"/>
                <w:color w:val="auto"/>
              </w:rPr>
            </w:pPr>
            <w:r>
              <w:rPr>
                <w:rFonts w:ascii="Arial" w:cs="Arial" w:eastAsia="Arial" w:hAnsi="Arial"/>
                <w:sz w:val="18"/>
                <w:szCs w:val="18"/>
                <w:color w:val="auto"/>
              </w:rPr>
              <w:t>60</w:t>
            </w:r>
          </w:p>
        </w:tc>
      </w:tr>
      <w:tr>
        <w:trPr>
          <w:trHeight w:val="226"/>
        </w:trPr>
        <w:tc>
          <w:tcPr>
            <w:tcW w:w="9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14"/>
                <w:szCs w:val="14"/>
                <w:color w:val="auto"/>
              </w:rPr>
            </w:pPr>
          </w:p>
        </w:tc>
        <w:tc>
          <w:tcPr>
            <w:tcW w:w="10260" w:type="dxa"/>
            <w:vAlign w:val="bottom"/>
            <w:tcBorders>
              <w:bottom w:val="single" w:sz="8" w:color="auto"/>
            </w:tcBorders>
          </w:tcPr>
          <w:p>
            <w:pPr>
              <w:ind w:left="478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10.11</w:t>
            </w:r>
          </w:p>
        </w:tc>
        <w:tc>
          <w:tcPr>
            <w:tcW w:w="240" w:type="dxa"/>
            <w:vAlign w:val="bottom"/>
          </w:tcPr>
          <w:p>
            <w:pPr>
              <w:spacing w:after="0"/>
              <w:rPr>
                <w:sz w:val="16"/>
                <w:szCs w:val="16"/>
                <w:color w:val="auto"/>
              </w:rPr>
            </w:pPr>
          </w:p>
        </w:tc>
        <w:tc>
          <w:tcPr>
            <w:tcW w:w="10260" w:type="dxa"/>
            <w:vAlign w:val="bottom"/>
          </w:tcPr>
          <w:p>
            <w:pPr>
              <w:spacing w:after="0" w:line="195" w:lineRule="exact"/>
              <w:rPr>
                <w:sz w:val="20"/>
                <w:szCs w:val="20"/>
                <w:color w:val="auto"/>
              </w:rPr>
            </w:pPr>
            <w:r>
              <w:rPr>
                <w:rFonts w:ascii="Arial" w:cs="Arial" w:eastAsia="Arial" w:hAnsi="Arial"/>
                <w:sz w:val="18"/>
                <w:szCs w:val="18"/>
                <w:color w:val="auto"/>
                <w:w w:val="91"/>
              </w:rPr>
              <w:t>Cohu, Inc. Retiree Health Benefits Agreement (as amended) incorporated herein by reference from the Cohu, Inc. Current Report on Form 8-</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K filed with the Securities and Exchange Commission on December 29, 2008, Exhibit 10.2*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Cohu, Inc. Change in Control Agreement incorporated herein by reference from the Cohu, Inc. Current Report on Form 8-K filed with the</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Securities and Exchange Commission on December 29, 2008, Exhibit 10.3*</w:t>
            </w:r>
          </w:p>
        </w:tc>
      </w:tr>
    </w:tbl>
    <w:p>
      <w:pPr>
        <w:spacing w:after="0" w:line="202" w:lineRule="exact"/>
        <w:rPr>
          <w:sz w:val="20"/>
          <w:szCs w:val="20"/>
          <w:color w:val="auto"/>
        </w:rPr>
      </w:pPr>
    </w:p>
    <w:p>
      <w:pPr>
        <w:ind w:left="1160" w:right="580" w:hanging="1152"/>
        <w:spacing w:after="0" w:line="277"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Cohu, Inc. Code of Business Conduct and Ethics, incorporated herein by reference from the Cohu 2003 Annual Report on Form 10-K, Exhibit 14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21</w:t>
            </w:r>
          </w:p>
        </w:tc>
        <w:tc>
          <w:tcPr>
            <w:tcW w:w="2420" w:type="dxa"/>
            <w:vAlign w:val="bottom"/>
          </w:tcPr>
          <w:p>
            <w:pPr>
              <w:ind w:left="420"/>
              <w:spacing w:after="0"/>
              <w:rPr>
                <w:sz w:val="20"/>
                <w:szCs w:val="20"/>
                <w:color w:val="auto"/>
              </w:rPr>
            </w:pPr>
            <w:r>
              <w:rPr>
                <w:rFonts w:ascii="Arial" w:cs="Arial" w:eastAsia="Arial" w:hAnsi="Arial"/>
                <w:sz w:val="18"/>
                <w:szCs w:val="18"/>
                <w:color w:val="auto"/>
                <w:w w:val="96"/>
              </w:rPr>
              <w:t>Subsidiaries of Cohu, Inc.</w:t>
            </w:r>
          </w:p>
        </w:tc>
        <w:tc>
          <w:tcPr>
            <w:tcW w:w="8120" w:type="dxa"/>
            <w:vAlign w:val="bottom"/>
          </w:tcPr>
          <w:p>
            <w:pPr>
              <w:spacing w:after="0"/>
              <w:rPr>
                <w:sz w:val="20"/>
                <w:szCs w:val="20"/>
                <w:color w:val="auto"/>
              </w:rPr>
            </w:pP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23</w:t>
            </w:r>
          </w:p>
        </w:tc>
        <w:tc>
          <w:tcPr>
            <w:tcW w:w="10540" w:type="dxa"/>
            <w:vAlign w:val="bottom"/>
            <w:gridSpan w:val="2"/>
          </w:tcPr>
          <w:p>
            <w:pPr>
              <w:ind w:left="4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31.1</w:t>
            </w:r>
          </w:p>
        </w:tc>
        <w:tc>
          <w:tcPr>
            <w:tcW w:w="10540" w:type="dxa"/>
            <w:vAlign w:val="bottom"/>
            <w:gridSpan w:val="2"/>
          </w:tcPr>
          <w:p>
            <w:pPr>
              <w:ind w:left="420"/>
              <w:spacing w:after="0"/>
              <w:rPr>
                <w:sz w:val="20"/>
                <w:szCs w:val="20"/>
                <w:color w:val="auto"/>
              </w:rPr>
            </w:pPr>
            <w:r>
              <w:rPr>
                <w:rFonts w:ascii="Arial" w:cs="Arial" w:eastAsia="Arial" w:hAnsi="Arial"/>
                <w:sz w:val="18"/>
                <w:szCs w:val="18"/>
                <w:color w:val="auto"/>
              </w:rPr>
              <w:t>Certification pursuant to Section 302(a) of the Sarbanes-Oxley Act of 2002 for James A. Donahue</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31.2</w:t>
            </w:r>
          </w:p>
        </w:tc>
        <w:tc>
          <w:tcPr>
            <w:tcW w:w="10540" w:type="dxa"/>
            <w:vAlign w:val="bottom"/>
            <w:gridSpan w:val="2"/>
          </w:tcPr>
          <w:p>
            <w:pPr>
              <w:ind w:left="420"/>
              <w:spacing w:after="0"/>
              <w:rPr>
                <w:sz w:val="20"/>
                <w:szCs w:val="20"/>
                <w:color w:val="auto"/>
              </w:rPr>
            </w:pPr>
            <w:r>
              <w:rPr>
                <w:rFonts w:ascii="Arial" w:cs="Arial" w:eastAsia="Arial" w:hAnsi="Arial"/>
                <w:sz w:val="18"/>
                <w:szCs w:val="18"/>
                <w:color w:val="auto"/>
              </w:rPr>
              <w:t>Certification pursuant to Section 302(a) of the Sarbanes-Oxley Act of 2002 for Jeffrey D. Jones</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32.1</w:t>
            </w:r>
          </w:p>
        </w:tc>
        <w:tc>
          <w:tcPr>
            <w:tcW w:w="2420" w:type="dxa"/>
            <w:vAlign w:val="bottom"/>
          </w:tcPr>
          <w:p>
            <w:pPr>
              <w:ind w:left="420"/>
              <w:spacing w:after="0"/>
              <w:rPr>
                <w:sz w:val="20"/>
                <w:szCs w:val="20"/>
                <w:color w:val="auto"/>
              </w:rPr>
            </w:pPr>
            <w:r>
              <w:rPr>
                <w:rFonts w:ascii="Arial" w:cs="Arial" w:eastAsia="Arial" w:hAnsi="Arial"/>
                <w:sz w:val="18"/>
                <w:szCs w:val="18"/>
                <w:color w:val="auto"/>
                <w:w w:val="92"/>
              </w:rPr>
              <w:t>Certification pursuant to 18</w:t>
            </w:r>
          </w:p>
        </w:tc>
        <w:tc>
          <w:tcPr>
            <w:tcW w:w="8120" w:type="dxa"/>
            <w:vAlign w:val="bottom"/>
          </w:tcPr>
          <w:p>
            <w:pPr>
              <w:ind w:left="20"/>
              <w:spacing w:after="0"/>
              <w:rPr>
                <w:sz w:val="20"/>
                <w:szCs w:val="20"/>
                <w:color w:val="auto"/>
              </w:rPr>
            </w:pPr>
            <w:r>
              <w:rPr>
                <w:rFonts w:ascii="Arial" w:cs="Arial" w:eastAsia="Arial" w:hAnsi="Arial"/>
                <w:sz w:val="18"/>
                <w:szCs w:val="18"/>
                <w:color w:val="auto"/>
                <w:w w:val="95"/>
              </w:rPr>
              <w:t>U.S.C. Section 1350, as adopted pursuant to Section 906 of the Sarbanes-Oxley Act of 2002 for James A.</w:t>
            </w:r>
          </w:p>
        </w:tc>
      </w:tr>
      <w:tr>
        <w:trPr>
          <w:trHeight w:val="230"/>
        </w:trPr>
        <w:tc>
          <w:tcPr>
            <w:tcW w:w="740" w:type="dxa"/>
            <w:vAlign w:val="bottom"/>
          </w:tcPr>
          <w:p>
            <w:pPr>
              <w:spacing w:after="0"/>
              <w:rPr>
                <w:sz w:val="20"/>
                <w:szCs w:val="20"/>
                <w:color w:val="auto"/>
              </w:rPr>
            </w:pPr>
          </w:p>
        </w:tc>
        <w:tc>
          <w:tcPr>
            <w:tcW w:w="2420" w:type="dxa"/>
            <w:vAlign w:val="bottom"/>
          </w:tcPr>
          <w:p>
            <w:pPr>
              <w:ind w:left="420"/>
              <w:spacing w:after="0"/>
              <w:rPr>
                <w:sz w:val="20"/>
                <w:szCs w:val="20"/>
                <w:color w:val="auto"/>
              </w:rPr>
            </w:pPr>
            <w:r>
              <w:rPr>
                <w:rFonts w:ascii="Arial" w:cs="Arial" w:eastAsia="Arial" w:hAnsi="Arial"/>
                <w:sz w:val="18"/>
                <w:szCs w:val="18"/>
                <w:color w:val="auto"/>
              </w:rPr>
              <w:t>Donahue</w:t>
            </w:r>
          </w:p>
        </w:tc>
        <w:tc>
          <w:tcPr>
            <w:tcW w:w="8120" w:type="dxa"/>
            <w:vAlign w:val="bottom"/>
          </w:tcPr>
          <w:p>
            <w:pPr>
              <w:spacing w:after="0"/>
              <w:rPr>
                <w:sz w:val="20"/>
                <w:szCs w:val="20"/>
                <w:color w:val="auto"/>
              </w:rPr>
            </w:pP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32.2</w:t>
            </w:r>
          </w:p>
        </w:tc>
        <w:tc>
          <w:tcPr>
            <w:tcW w:w="2420" w:type="dxa"/>
            <w:vAlign w:val="bottom"/>
          </w:tcPr>
          <w:p>
            <w:pPr>
              <w:ind w:left="420"/>
              <w:spacing w:after="0"/>
              <w:rPr>
                <w:sz w:val="20"/>
                <w:szCs w:val="20"/>
                <w:color w:val="auto"/>
              </w:rPr>
            </w:pPr>
            <w:r>
              <w:rPr>
                <w:rFonts w:ascii="Arial" w:cs="Arial" w:eastAsia="Arial" w:hAnsi="Arial"/>
                <w:sz w:val="18"/>
                <w:szCs w:val="18"/>
                <w:color w:val="auto"/>
                <w:w w:val="92"/>
              </w:rPr>
              <w:t>Certification pursuant to 18</w:t>
            </w:r>
          </w:p>
        </w:tc>
        <w:tc>
          <w:tcPr>
            <w:tcW w:w="8120" w:type="dxa"/>
            <w:vAlign w:val="bottom"/>
          </w:tcPr>
          <w:p>
            <w:pPr>
              <w:ind w:left="20"/>
              <w:spacing w:after="0"/>
              <w:rPr>
                <w:sz w:val="20"/>
                <w:szCs w:val="20"/>
                <w:color w:val="auto"/>
              </w:rPr>
            </w:pPr>
            <w:r>
              <w:rPr>
                <w:rFonts w:ascii="Arial" w:cs="Arial" w:eastAsia="Arial" w:hAnsi="Arial"/>
                <w:sz w:val="18"/>
                <w:szCs w:val="18"/>
                <w:color w:val="auto"/>
                <w:w w:val="89"/>
              </w:rPr>
              <w:t>U.S.C. Section 1350, as adopted pursuant to Section 906 of the Sarbanes-Oxley Act of 2002 for Jeffrey D. Jones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13036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COHU, INC.</w:t>
            </w: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Date: February 23,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James A. Donahue</w:t>
            </w:r>
          </w:p>
        </w:tc>
      </w:tr>
      <w:tr>
        <w:trPr>
          <w:trHeight w:val="195"/>
        </w:trPr>
        <w:tc>
          <w:tcPr>
            <w:tcW w:w="5500" w:type="dxa"/>
            <w:vAlign w:val="bottom"/>
          </w:tcPr>
          <w:p>
            <w:pPr>
              <w:spacing w:after="0"/>
              <w:rPr>
                <w:sz w:val="16"/>
                <w:szCs w:val="16"/>
                <w:color w:val="auto"/>
              </w:rPr>
            </w:pPr>
          </w:p>
        </w:tc>
        <w:tc>
          <w:tcPr>
            <w:tcW w:w="4220" w:type="dxa"/>
            <w:vAlign w:val="bottom"/>
          </w:tcPr>
          <w:p>
            <w:pPr>
              <w:ind w:left="280"/>
              <w:spacing w:after="0" w:line="195" w:lineRule="exact"/>
              <w:rPr>
                <w:sz w:val="20"/>
                <w:szCs w:val="20"/>
                <w:color w:val="auto"/>
              </w:rPr>
            </w:pPr>
            <w:r>
              <w:rPr>
                <w:rFonts w:ascii="Arial" w:cs="Arial" w:eastAsia="Arial" w:hAnsi="Arial"/>
                <w:sz w:val="18"/>
                <w:szCs w:val="18"/>
                <w:color w:val="auto"/>
              </w:rPr>
              <w:t>James A. Donahue</w:t>
            </w:r>
          </w:p>
        </w:tc>
      </w:tr>
      <w:tr>
        <w:trPr>
          <w:trHeight w:val="230"/>
        </w:trPr>
        <w:tc>
          <w:tcPr>
            <w:tcW w:w="5500" w:type="dxa"/>
            <w:vAlign w:val="bottom"/>
          </w:tcPr>
          <w:p>
            <w:pPr>
              <w:spacing w:after="0"/>
              <w:rPr>
                <w:sz w:val="20"/>
                <w:szCs w:val="20"/>
                <w:color w:val="auto"/>
              </w:rPr>
            </w:pPr>
          </w:p>
        </w:tc>
        <w:tc>
          <w:tcPr>
            <w:tcW w:w="4220" w:type="dxa"/>
            <w:vAlign w:val="bottom"/>
          </w:tcPr>
          <w:p>
            <w:pPr>
              <w:ind w:left="280"/>
              <w:spacing w:after="0"/>
              <w:rPr>
                <w:sz w:val="20"/>
                <w:szCs w:val="20"/>
                <w:color w:val="auto"/>
              </w:rPr>
            </w:pPr>
            <w:r>
              <w:rPr>
                <w:rFonts w:ascii="Arial" w:cs="Arial" w:eastAsia="Arial" w:hAnsi="Arial"/>
                <w:sz w:val="18"/>
                <w:szCs w:val="18"/>
                <w:color w:val="auto"/>
              </w:rPr>
              <w:t>President and Chief Executive Officer</w:t>
            </w:r>
          </w:p>
        </w:tc>
      </w:tr>
    </w:tbl>
    <w:p>
      <w:pPr>
        <w:spacing w:after="0" w:line="310"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Signature</w:t>
            </w:r>
          </w:p>
        </w:tc>
        <w:tc>
          <w:tcPr>
            <w:tcW w:w="340" w:type="dxa"/>
            <w:vAlign w:val="bottom"/>
          </w:tcPr>
          <w:p>
            <w:pPr>
              <w:spacing w:after="0"/>
              <w:rPr>
                <w:sz w:val="14"/>
                <w:szCs w:val="14"/>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w:t>
            </w:r>
          </w:p>
        </w:tc>
        <w:tc>
          <w:tcPr>
            <w:tcW w:w="320" w:type="dxa"/>
            <w:vAlign w:val="bottom"/>
          </w:tcPr>
          <w:p>
            <w:pPr>
              <w:spacing w:after="0"/>
              <w:rPr>
                <w:sz w:val="14"/>
                <w:szCs w:val="14"/>
                <w:color w:val="auto"/>
              </w:rPr>
            </w:pPr>
          </w:p>
        </w:tc>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Date</w:t>
            </w:r>
          </w:p>
        </w:tc>
      </w:tr>
      <w:tr>
        <w:trPr>
          <w:trHeight w:val="426"/>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A. Schwan</w:t>
            </w:r>
          </w:p>
        </w:tc>
        <w:tc>
          <w:tcPr>
            <w:tcW w:w="34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Chairman of the Board,</w:t>
            </w:r>
          </w:p>
        </w:tc>
        <w:tc>
          <w:tcPr>
            <w:tcW w:w="3300" w:type="dxa"/>
            <w:vAlign w:val="bottom"/>
            <w:gridSpan w:val="2"/>
          </w:tcPr>
          <w:p>
            <w:pPr>
              <w:ind w:left="320"/>
              <w:spacing w:after="0"/>
              <w:rPr>
                <w:sz w:val="20"/>
                <w:szCs w:val="20"/>
                <w:color w:val="auto"/>
              </w:rPr>
            </w:pPr>
            <w:r>
              <w:rPr>
                <w:rFonts w:ascii="Arial" w:cs="Arial" w:eastAsia="Arial" w:hAnsi="Arial"/>
                <w:sz w:val="18"/>
                <w:szCs w:val="18"/>
                <w:color w:val="auto"/>
              </w:rPr>
              <w:t>February 23, 2010</w:t>
            </w:r>
          </w:p>
        </w:tc>
      </w:tr>
      <w:tr>
        <w:trPr>
          <w:trHeight w:val="224"/>
        </w:trPr>
        <w:tc>
          <w:tcPr>
            <w:tcW w:w="2940" w:type="dxa"/>
            <w:vAlign w:val="bottom"/>
          </w:tcPr>
          <w:p>
            <w:pPr>
              <w:spacing w:after="0"/>
              <w:rPr>
                <w:sz w:val="20"/>
                <w:szCs w:val="20"/>
                <w:color w:val="auto"/>
              </w:rPr>
            </w:pPr>
            <w:r>
              <w:rPr>
                <w:rFonts w:ascii="Arial" w:cs="Arial" w:eastAsia="Arial" w:hAnsi="Arial"/>
                <w:sz w:val="18"/>
                <w:szCs w:val="18"/>
                <w:color w:val="auto"/>
              </w:rPr>
              <w:t>Charles A. Schwan</w:t>
            </w:r>
          </w:p>
        </w:tc>
        <w:tc>
          <w:tcPr>
            <w:tcW w:w="340" w:type="dxa"/>
            <w:vAlign w:val="bottom"/>
          </w:tcPr>
          <w:p>
            <w:pPr>
              <w:spacing w:after="0"/>
              <w:rPr>
                <w:sz w:val="19"/>
                <w:szCs w:val="19"/>
                <w:color w:val="auto"/>
              </w:rPr>
            </w:pPr>
          </w:p>
        </w:tc>
        <w:tc>
          <w:tcPr>
            <w:tcW w:w="4840" w:type="dxa"/>
            <w:vAlign w:val="bottom"/>
          </w:tcPr>
          <w:p>
            <w:pPr>
              <w:ind w:left="40"/>
              <w:spacing w:after="0"/>
              <w:rPr>
                <w:sz w:val="20"/>
                <w:szCs w:val="20"/>
                <w:color w:val="auto"/>
              </w:rPr>
            </w:pPr>
            <w:r>
              <w:rPr>
                <w:rFonts w:ascii="Arial" w:cs="Arial" w:eastAsia="Arial" w:hAnsi="Arial"/>
                <w:sz w:val="18"/>
                <w:szCs w:val="18"/>
                <w:color w:val="auto"/>
              </w:rPr>
              <w:t>Director</w:t>
            </w:r>
          </w:p>
        </w:tc>
        <w:tc>
          <w:tcPr>
            <w:tcW w:w="32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431"/>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A. Donahue</w:t>
            </w:r>
          </w:p>
        </w:tc>
        <w:tc>
          <w:tcPr>
            <w:tcW w:w="34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3300" w:type="dxa"/>
            <w:vAlign w:val="bottom"/>
            <w:gridSpan w:val="2"/>
          </w:tcPr>
          <w:p>
            <w:pPr>
              <w:ind w:left="320"/>
              <w:spacing w:after="0"/>
              <w:rPr>
                <w:sz w:val="20"/>
                <w:szCs w:val="20"/>
                <w:color w:val="auto"/>
              </w:rPr>
            </w:pPr>
            <w:r>
              <w:rPr>
                <w:rFonts w:ascii="Arial" w:cs="Arial" w:eastAsia="Arial" w:hAnsi="Arial"/>
                <w:sz w:val="18"/>
                <w:szCs w:val="18"/>
                <w:color w:val="auto"/>
              </w:rPr>
              <w:t>February 23, 2010</w:t>
            </w:r>
          </w:p>
        </w:tc>
      </w:tr>
      <w:tr>
        <w:trPr>
          <w:trHeight w:val="224"/>
        </w:trPr>
        <w:tc>
          <w:tcPr>
            <w:tcW w:w="2940" w:type="dxa"/>
            <w:vAlign w:val="bottom"/>
          </w:tcPr>
          <w:p>
            <w:pPr>
              <w:spacing w:after="0"/>
              <w:rPr>
                <w:sz w:val="20"/>
                <w:szCs w:val="20"/>
                <w:color w:val="auto"/>
              </w:rPr>
            </w:pPr>
            <w:r>
              <w:rPr>
                <w:rFonts w:ascii="Arial" w:cs="Arial" w:eastAsia="Arial" w:hAnsi="Arial"/>
                <w:sz w:val="18"/>
                <w:szCs w:val="18"/>
                <w:color w:val="auto"/>
              </w:rPr>
              <w:t>James A. Donahue</w:t>
            </w:r>
          </w:p>
        </w:tc>
        <w:tc>
          <w:tcPr>
            <w:tcW w:w="340" w:type="dxa"/>
            <w:vAlign w:val="bottom"/>
          </w:tcPr>
          <w:p>
            <w:pPr>
              <w:spacing w:after="0"/>
              <w:rPr>
                <w:sz w:val="19"/>
                <w:szCs w:val="19"/>
                <w:color w:val="auto"/>
              </w:rPr>
            </w:pPr>
          </w:p>
        </w:tc>
        <w:tc>
          <w:tcPr>
            <w:tcW w:w="4840" w:type="dxa"/>
            <w:vAlign w:val="bottom"/>
          </w:tcPr>
          <w:p>
            <w:pPr>
              <w:ind w:left="40"/>
              <w:spacing w:after="0"/>
              <w:rPr>
                <w:sz w:val="20"/>
                <w:szCs w:val="20"/>
                <w:color w:val="auto"/>
              </w:rPr>
            </w:pPr>
            <w:r>
              <w:rPr>
                <w:rFonts w:ascii="Arial" w:cs="Arial" w:eastAsia="Arial" w:hAnsi="Arial"/>
                <w:sz w:val="18"/>
                <w:szCs w:val="18"/>
                <w:color w:val="auto"/>
              </w:rPr>
              <w:t>Director (Principal Executive Officer)</w:t>
            </w:r>
          </w:p>
        </w:tc>
        <w:tc>
          <w:tcPr>
            <w:tcW w:w="32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431"/>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D. Jones</w:t>
            </w:r>
          </w:p>
        </w:tc>
        <w:tc>
          <w:tcPr>
            <w:tcW w:w="34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Vice President, Finance and Chief</w:t>
            </w:r>
          </w:p>
        </w:tc>
        <w:tc>
          <w:tcPr>
            <w:tcW w:w="3300" w:type="dxa"/>
            <w:vAlign w:val="bottom"/>
            <w:gridSpan w:val="2"/>
          </w:tcPr>
          <w:p>
            <w:pPr>
              <w:ind w:left="320"/>
              <w:spacing w:after="0"/>
              <w:rPr>
                <w:sz w:val="20"/>
                <w:szCs w:val="20"/>
                <w:color w:val="auto"/>
              </w:rPr>
            </w:pPr>
            <w:r>
              <w:rPr>
                <w:rFonts w:ascii="Arial" w:cs="Arial" w:eastAsia="Arial" w:hAnsi="Arial"/>
                <w:sz w:val="18"/>
                <w:szCs w:val="18"/>
                <w:color w:val="auto"/>
              </w:rPr>
              <w:t>February 23, 2010</w:t>
            </w:r>
          </w:p>
        </w:tc>
      </w:tr>
      <w:tr>
        <w:trPr>
          <w:trHeight w:val="182"/>
        </w:trPr>
        <w:tc>
          <w:tcPr>
            <w:tcW w:w="2940" w:type="dxa"/>
            <w:vAlign w:val="bottom"/>
          </w:tcPr>
          <w:p>
            <w:pPr>
              <w:spacing w:after="0" w:line="182" w:lineRule="exact"/>
              <w:rPr>
                <w:sz w:val="20"/>
                <w:szCs w:val="20"/>
                <w:color w:val="auto"/>
              </w:rPr>
            </w:pPr>
            <w:r>
              <w:rPr>
                <w:rFonts w:ascii="Arial" w:cs="Arial" w:eastAsia="Arial" w:hAnsi="Arial"/>
                <w:sz w:val="18"/>
                <w:szCs w:val="18"/>
                <w:color w:val="auto"/>
              </w:rPr>
              <w:t>Jeffrey D. Jones</w:t>
            </w:r>
          </w:p>
        </w:tc>
        <w:tc>
          <w:tcPr>
            <w:tcW w:w="340" w:type="dxa"/>
            <w:vAlign w:val="bottom"/>
          </w:tcPr>
          <w:p>
            <w:pPr>
              <w:spacing w:after="0"/>
              <w:rPr>
                <w:sz w:val="15"/>
                <w:szCs w:val="15"/>
                <w:color w:val="auto"/>
              </w:rPr>
            </w:pPr>
          </w:p>
        </w:tc>
        <w:tc>
          <w:tcPr>
            <w:tcW w:w="4840" w:type="dxa"/>
            <w:vAlign w:val="bottom"/>
          </w:tcPr>
          <w:p>
            <w:pPr>
              <w:ind w:left="40"/>
              <w:spacing w:after="0" w:line="182" w:lineRule="exact"/>
              <w:rPr>
                <w:sz w:val="20"/>
                <w:szCs w:val="20"/>
                <w:color w:val="auto"/>
              </w:rPr>
            </w:pPr>
            <w:r>
              <w:rPr>
                <w:rFonts w:ascii="Arial" w:cs="Arial" w:eastAsia="Arial" w:hAnsi="Arial"/>
                <w:sz w:val="18"/>
                <w:szCs w:val="18"/>
                <w:color w:val="auto"/>
              </w:rPr>
              <w:t>Financial Officer (Principal</w:t>
            </w:r>
          </w:p>
        </w:tc>
        <w:tc>
          <w:tcPr>
            <w:tcW w:w="320" w:type="dxa"/>
            <w:vAlign w:val="bottom"/>
          </w:tcPr>
          <w:p>
            <w:pPr>
              <w:spacing w:after="0"/>
              <w:rPr>
                <w:sz w:val="15"/>
                <w:szCs w:val="15"/>
                <w:color w:val="auto"/>
              </w:rPr>
            </w:pPr>
          </w:p>
        </w:tc>
        <w:tc>
          <w:tcPr>
            <w:tcW w:w="2980" w:type="dxa"/>
            <w:vAlign w:val="bottom"/>
          </w:tcPr>
          <w:p>
            <w:pPr>
              <w:spacing w:after="0"/>
              <w:rPr>
                <w:sz w:val="15"/>
                <w:szCs w:val="15"/>
                <w:color w:val="auto"/>
              </w:rPr>
            </w:pPr>
          </w:p>
        </w:tc>
      </w:tr>
      <w:tr>
        <w:trPr>
          <w:trHeight w:val="230"/>
        </w:trPr>
        <w:tc>
          <w:tcPr>
            <w:tcW w:w="2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40" w:type="dxa"/>
            <w:vAlign w:val="bottom"/>
          </w:tcPr>
          <w:p>
            <w:pPr>
              <w:ind w:left="40"/>
              <w:spacing w:after="0"/>
              <w:rPr>
                <w:sz w:val="20"/>
                <w:szCs w:val="20"/>
                <w:color w:val="auto"/>
              </w:rPr>
            </w:pPr>
            <w:r>
              <w:rPr>
                <w:rFonts w:ascii="Arial" w:cs="Arial" w:eastAsia="Arial" w:hAnsi="Arial"/>
                <w:sz w:val="18"/>
                <w:szCs w:val="18"/>
                <w:color w:val="auto"/>
              </w:rPr>
              <w:t>Financial and Accounting Officer)</w:t>
            </w:r>
          </w:p>
        </w:tc>
        <w:tc>
          <w:tcPr>
            <w:tcW w:w="32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32"/>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J. Bilodeau</w:t>
            </w:r>
          </w:p>
        </w:tc>
        <w:tc>
          <w:tcPr>
            <w:tcW w:w="34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Director</w:t>
            </w:r>
          </w:p>
        </w:tc>
        <w:tc>
          <w:tcPr>
            <w:tcW w:w="3300" w:type="dxa"/>
            <w:vAlign w:val="bottom"/>
            <w:gridSpan w:val="2"/>
          </w:tcPr>
          <w:p>
            <w:pPr>
              <w:ind w:left="320"/>
              <w:spacing w:after="0"/>
              <w:rPr>
                <w:sz w:val="20"/>
                <w:szCs w:val="20"/>
                <w:color w:val="auto"/>
              </w:rPr>
            </w:pPr>
            <w:r>
              <w:rPr>
                <w:rFonts w:ascii="Arial" w:cs="Arial" w:eastAsia="Arial" w:hAnsi="Arial"/>
                <w:sz w:val="18"/>
                <w:szCs w:val="18"/>
                <w:color w:val="auto"/>
              </w:rPr>
              <w:t>February 23, 2010</w:t>
            </w:r>
          </w:p>
        </w:tc>
      </w:tr>
      <w:tr>
        <w:trPr>
          <w:trHeight w:val="224"/>
        </w:trPr>
        <w:tc>
          <w:tcPr>
            <w:tcW w:w="2940" w:type="dxa"/>
            <w:vAlign w:val="bottom"/>
          </w:tcPr>
          <w:p>
            <w:pPr>
              <w:spacing w:after="0"/>
              <w:rPr>
                <w:sz w:val="20"/>
                <w:szCs w:val="20"/>
                <w:color w:val="auto"/>
              </w:rPr>
            </w:pPr>
            <w:r>
              <w:rPr>
                <w:rFonts w:ascii="Arial" w:cs="Arial" w:eastAsia="Arial" w:hAnsi="Arial"/>
                <w:sz w:val="18"/>
                <w:szCs w:val="18"/>
                <w:color w:val="auto"/>
              </w:rPr>
              <w:t>Steven J. Bilodeau</w:t>
            </w:r>
          </w:p>
        </w:tc>
        <w:tc>
          <w:tcPr>
            <w:tcW w:w="34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431"/>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Harry L. Casari</w:t>
            </w:r>
          </w:p>
        </w:tc>
        <w:tc>
          <w:tcPr>
            <w:tcW w:w="34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Director</w:t>
            </w:r>
          </w:p>
        </w:tc>
        <w:tc>
          <w:tcPr>
            <w:tcW w:w="3300" w:type="dxa"/>
            <w:vAlign w:val="bottom"/>
            <w:gridSpan w:val="2"/>
          </w:tcPr>
          <w:p>
            <w:pPr>
              <w:ind w:left="320"/>
              <w:spacing w:after="0"/>
              <w:rPr>
                <w:sz w:val="20"/>
                <w:szCs w:val="20"/>
                <w:color w:val="auto"/>
              </w:rPr>
            </w:pPr>
            <w:r>
              <w:rPr>
                <w:rFonts w:ascii="Arial" w:cs="Arial" w:eastAsia="Arial" w:hAnsi="Arial"/>
                <w:sz w:val="18"/>
                <w:szCs w:val="18"/>
                <w:color w:val="auto"/>
              </w:rPr>
              <w:t>February 23, 2010</w:t>
            </w:r>
          </w:p>
        </w:tc>
      </w:tr>
      <w:tr>
        <w:trPr>
          <w:trHeight w:val="224"/>
        </w:trPr>
        <w:tc>
          <w:tcPr>
            <w:tcW w:w="2940" w:type="dxa"/>
            <w:vAlign w:val="bottom"/>
          </w:tcPr>
          <w:p>
            <w:pPr>
              <w:spacing w:after="0"/>
              <w:rPr>
                <w:sz w:val="20"/>
                <w:szCs w:val="20"/>
                <w:color w:val="auto"/>
              </w:rPr>
            </w:pPr>
            <w:r>
              <w:rPr>
                <w:rFonts w:ascii="Arial" w:cs="Arial" w:eastAsia="Arial" w:hAnsi="Arial"/>
                <w:sz w:val="18"/>
                <w:szCs w:val="18"/>
                <w:color w:val="auto"/>
              </w:rPr>
              <w:t>Harry L. Casari</w:t>
            </w:r>
          </w:p>
        </w:tc>
        <w:tc>
          <w:tcPr>
            <w:tcW w:w="34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431"/>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L. Ciardella</w:t>
            </w:r>
          </w:p>
        </w:tc>
        <w:tc>
          <w:tcPr>
            <w:tcW w:w="34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Director</w:t>
            </w:r>
          </w:p>
        </w:tc>
        <w:tc>
          <w:tcPr>
            <w:tcW w:w="3300" w:type="dxa"/>
            <w:vAlign w:val="bottom"/>
            <w:gridSpan w:val="2"/>
          </w:tcPr>
          <w:p>
            <w:pPr>
              <w:ind w:left="320"/>
              <w:spacing w:after="0"/>
              <w:rPr>
                <w:sz w:val="20"/>
                <w:szCs w:val="20"/>
                <w:color w:val="auto"/>
              </w:rPr>
            </w:pPr>
            <w:r>
              <w:rPr>
                <w:rFonts w:ascii="Arial" w:cs="Arial" w:eastAsia="Arial" w:hAnsi="Arial"/>
                <w:sz w:val="18"/>
                <w:szCs w:val="18"/>
                <w:color w:val="auto"/>
              </w:rPr>
              <w:t>February 23, 2010</w:t>
            </w:r>
          </w:p>
        </w:tc>
      </w:tr>
      <w:tr>
        <w:trPr>
          <w:trHeight w:val="224"/>
        </w:trPr>
        <w:tc>
          <w:tcPr>
            <w:tcW w:w="2940" w:type="dxa"/>
            <w:vAlign w:val="bottom"/>
          </w:tcPr>
          <w:p>
            <w:pPr>
              <w:spacing w:after="0"/>
              <w:rPr>
                <w:sz w:val="20"/>
                <w:szCs w:val="20"/>
                <w:color w:val="auto"/>
              </w:rPr>
            </w:pPr>
            <w:r>
              <w:rPr>
                <w:rFonts w:ascii="Arial" w:cs="Arial" w:eastAsia="Arial" w:hAnsi="Arial"/>
                <w:sz w:val="18"/>
                <w:szCs w:val="18"/>
                <w:color w:val="auto"/>
              </w:rPr>
              <w:t>Robert L. Ciardella</w:t>
            </w:r>
          </w:p>
        </w:tc>
        <w:tc>
          <w:tcPr>
            <w:tcW w:w="34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431"/>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Harold Harrigian</w:t>
            </w:r>
          </w:p>
        </w:tc>
        <w:tc>
          <w:tcPr>
            <w:tcW w:w="34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Director</w:t>
            </w:r>
          </w:p>
        </w:tc>
        <w:tc>
          <w:tcPr>
            <w:tcW w:w="3300" w:type="dxa"/>
            <w:vAlign w:val="bottom"/>
            <w:gridSpan w:val="2"/>
          </w:tcPr>
          <w:p>
            <w:pPr>
              <w:ind w:left="320"/>
              <w:spacing w:after="0"/>
              <w:rPr>
                <w:sz w:val="20"/>
                <w:szCs w:val="20"/>
                <w:color w:val="auto"/>
              </w:rPr>
            </w:pPr>
            <w:r>
              <w:rPr>
                <w:rFonts w:ascii="Arial" w:cs="Arial" w:eastAsia="Arial" w:hAnsi="Arial"/>
                <w:sz w:val="18"/>
                <w:szCs w:val="18"/>
                <w:color w:val="auto"/>
              </w:rPr>
              <w:t>February 23, 2010</w:t>
            </w:r>
          </w:p>
        </w:tc>
      </w:tr>
      <w:tr>
        <w:trPr>
          <w:trHeight w:val="224"/>
        </w:trPr>
        <w:tc>
          <w:tcPr>
            <w:tcW w:w="2940" w:type="dxa"/>
            <w:vAlign w:val="bottom"/>
          </w:tcPr>
          <w:p>
            <w:pPr>
              <w:spacing w:after="0"/>
              <w:rPr>
                <w:sz w:val="20"/>
                <w:szCs w:val="20"/>
                <w:color w:val="auto"/>
              </w:rPr>
            </w:pPr>
            <w:r>
              <w:rPr>
                <w:rFonts w:ascii="Arial" w:cs="Arial" w:eastAsia="Arial" w:hAnsi="Arial"/>
                <w:sz w:val="18"/>
                <w:szCs w:val="18"/>
                <w:color w:val="auto"/>
              </w:rPr>
              <w:t>Harold Harrigian</w:t>
            </w:r>
          </w:p>
        </w:tc>
        <w:tc>
          <w:tcPr>
            <w:tcW w:w="34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404"/>
        </w:trPr>
        <w:tc>
          <w:tcPr>
            <w:tcW w:w="2940" w:type="dxa"/>
            <w:vAlign w:val="bottom"/>
          </w:tcPr>
          <w:p>
            <w:pPr>
              <w:spacing w:after="0"/>
              <w:rPr>
                <w:sz w:val="24"/>
                <w:szCs w:val="24"/>
                <w:color w:val="auto"/>
              </w:rPr>
            </w:pPr>
          </w:p>
        </w:tc>
        <w:tc>
          <w:tcPr>
            <w:tcW w:w="5180" w:type="dxa"/>
            <w:vAlign w:val="bottom"/>
            <w:gridSpan w:val="2"/>
          </w:tcPr>
          <w:p>
            <w:pPr>
              <w:jc w:val="right"/>
              <w:ind w:right="2231"/>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26"/>
        </w:trPr>
        <w:tc>
          <w:tcPr>
            <w:tcW w:w="29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8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QUALIFYING ACCOUNTS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40" w:type="dxa"/>
            <w:vAlign w:val="bottom"/>
            <w:gridSpan w:val="2"/>
          </w:tcPr>
          <w:p>
            <w:pPr>
              <w:ind w:left="460"/>
              <w:spacing w:after="0"/>
              <w:rPr>
                <w:sz w:val="20"/>
                <w:szCs w:val="20"/>
                <w:color w:val="auto"/>
              </w:rPr>
            </w:pPr>
            <w:r>
              <w:rPr>
                <w:rFonts w:ascii="Arial" w:cs="Arial" w:eastAsia="Arial" w:hAnsi="Arial"/>
                <w:sz w:val="14"/>
                <w:szCs w:val="14"/>
                <w:color w:val="auto"/>
              </w:rPr>
              <w:t>Additions</w:t>
            </w: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Additions</w:t>
            </w: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(Reductions)</w:t>
            </w: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720" w:type="dxa"/>
            <w:vAlign w:val="bottom"/>
            <w:gridSpan w:val="2"/>
          </w:tcPr>
          <w:p>
            <w:pPr>
              <w:jc w:val="center"/>
              <w:ind w:left="134"/>
              <w:spacing w:after="0" w:line="149" w:lineRule="exact"/>
              <w:rPr>
                <w:sz w:val="20"/>
                <w:szCs w:val="20"/>
                <w:color w:val="auto"/>
              </w:rPr>
            </w:pPr>
            <w:r>
              <w:rPr>
                <w:rFonts w:ascii="Arial" w:cs="Arial" w:eastAsia="Arial" w:hAnsi="Arial"/>
                <w:sz w:val="14"/>
                <w:szCs w:val="14"/>
                <w:color w:val="auto"/>
                <w:w w:val="93"/>
              </w:rPr>
              <w:t>Balance at</w:t>
            </w:r>
          </w:p>
        </w:tc>
        <w:tc>
          <w:tcPr>
            <w:tcW w:w="540" w:type="dxa"/>
            <w:vAlign w:val="bottom"/>
          </w:tcPr>
          <w:p>
            <w:pPr>
              <w:spacing w:after="0"/>
              <w:rPr>
                <w:sz w:val="12"/>
                <w:szCs w:val="12"/>
                <w:color w:val="auto"/>
              </w:rPr>
            </w:pPr>
          </w:p>
        </w:tc>
        <w:tc>
          <w:tcPr>
            <w:tcW w:w="980" w:type="dxa"/>
            <w:vAlign w:val="bottom"/>
          </w:tcPr>
          <w:p>
            <w:pPr>
              <w:jc w:val="center"/>
              <w:ind w:right="473"/>
              <w:spacing w:after="0" w:line="149" w:lineRule="exact"/>
              <w:rPr>
                <w:sz w:val="20"/>
                <w:szCs w:val="20"/>
                <w:color w:val="auto"/>
              </w:rPr>
            </w:pPr>
            <w:r>
              <w:rPr>
                <w:rFonts w:ascii="Arial" w:cs="Arial" w:eastAsia="Arial" w:hAnsi="Arial"/>
                <w:sz w:val="14"/>
                <w:szCs w:val="14"/>
                <w:color w:val="auto"/>
              </w:rPr>
              <w:t>Not</w:t>
            </w: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Charged</w:t>
            </w: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jc w:val="center"/>
              <w:ind w:right="216"/>
              <w:spacing w:after="0" w:line="149" w:lineRule="exact"/>
              <w:rPr>
                <w:sz w:val="20"/>
                <w:szCs w:val="20"/>
                <w:color w:val="auto"/>
              </w:rPr>
            </w:pPr>
            <w:r>
              <w:rPr>
                <w:rFonts w:ascii="Arial" w:cs="Arial" w:eastAsia="Arial" w:hAnsi="Arial"/>
                <w:sz w:val="14"/>
                <w:szCs w:val="14"/>
                <w:color w:val="auto"/>
                <w:w w:val="94"/>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720" w:type="dxa"/>
            <w:vAlign w:val="bottom"/>
            <w:gridSpan w:val="2"/>
          </w:tcPr>
          <w:p>
            <w:pPr>
              <w:jc w:val="center"/>
              <w:ind w:left="114"/>
              <w:spacing w:after="0" w:line="149" w:lineRule="exact"/>
              <w:rPr>
                <w:sz w:val="20"/>
                <w:szCs w:val="20"/>
                <w:color w:val="auto"/>
              </w:rPr>
            </w:pPr>
            <w:r>
              <w:rPr>
                <w:rFonts w:ascii="Arial" w:cs="Arial" w:eastAsia="Arial" w:hAnsi="Arial"/>
                <w:sz w:val="14"/>
                <w:szCs w:val="14"/>
                <w:color w:val="auto"/>
                <w:w w:val="96"/>
              </w:rPr>
              <w:t>Beginning</w:t>
            </w:r>
          </w:p>
        </w:tc>
        <w:tc>
          <w:tcPr>
            <w:tcW w:w="15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Charged</w:t>
            </w:r>
          </w:p>
        </w:tc>
        <w:tc>
          <w:tcPr>
            <w:tcW w:w="15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(Credited)</w:t>
            </w:r>
          </w:p>
        </w:tc>
        <w:tc>
          <w:tcPr>
            <w:tcW w:w="15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Deductions/</w:t>
            </w:r>
          </w:p>
        </w:tc>
        <w:tc>
          <w:tcPr>
            <w:tcW w:w="520" w:type="dxa"/>
            <w:vAlign w:val="bottom"/>
          </w:tcPr>
          <w:p>
            <w:pPr>
              <w:spacing w:after="0"/>
              <w:rPr>
                <w:sz w:val="12"/>
                <w:szCs w:val="12"/>
                <w:color w:val="auto"/>
              </w:rPr>
            </w:pPr>
          </w:p>
        </w:tc>
        <w:tc>
          <w:tcPr>
            <w:tcW w:w="780" w:type="dxa"/>
            <w:vAlign w:val="bottom"/>
          </w:tcPr>
          <w:p>
            <w:pPr>
              <w:jc w:val="center"/>
              <w:ind w:right="216"/>
              <w:spacing w:after="0" w:line="149" w:lineRule="exact"/>
              <w:rPr>
                <w:sz w:val="20"/>
                <w:szCs w:val="20"/>
                <w:color w:val="auto"/>
              </w:rPr>
            </w:pPr>
            <w:r>
              <w:rPr>
                <w:rFonts w:ascii="Arial" w:cs="Arial" w:eastAsia="Arial" w:hAnsi="Arial"/>
                <w:sz w:val="14"/>
                <w:szCs w:val="14"/>
                <w:color w:val="auto"/>
                <w:w w:val="88"/>
              </w:rPr>
              <w:t>at End</w:t>
            </w:r>
          </w:p>
        </w:tc>
        <w:tc>
          <w:tcPr>
            <w:tcW w:w="0" w:type="dxa"/>
            <w:vAlign w:val="bottom"/>
          </w:tcPr>
          <w:p>
            <w:pPr>
              <w:spacing w:after="0"/>
              <w:rPr>
                <w:sz w:val="1"/>
                <w:szCs w:val="1"/>
                <w:color w:val="auto"/>
              </w:rPr>
            </w:pPr>
          </w:p>
        </w:tc>
      </w:tr>
      <w:tr>
        <w:trPr>
          <w:trHeight w:val="174"/>
        </w:trPr>
        <w:tc>
          <w:tcPr>
            <w:tcW w:w="3840" w:type="dxa"/>
            <w:vAlign w:val="bottom"/>
            <w:gridSpan w:val="2"/>
          </w:tcPr>
          <w:p>
            <w:pPr>
              <w:spacing w:after="0"/>
              <w:rPr>
                <w:sz w:val="20"/>
                <w:szCs w:val="20"/>
                <w:color w:val="auto"/>
              </w:rPr>
            </w:pPr>
            <w:r>
              <w:rPr>
                <w:rFonts w:ascii="Arial" w:cs="Arial" w:eastAsia="Arial" w:hAnsi="Arial"/>
                <w:sz w:val="14"/>
                <w:szCs w:val="14"/>
                <w:color w:val="auto"/>
              </w:rPr>
              <w:t>Description</w:t>
            </w:r>
          </w:p>
        </w:tc>
        <w:tc>
          <w:tcPr>
            <w:tcW w:w="720" w:type="dxa"/>
            <w:vAlign w:val="bottom"/>
          </w:tcPr>
          <w:p>
            <w:pPr>
              <w:spacing w:after="0"/>
              <w:rPr>
                <w:sz w:val="15"/>
                <w:szCs w:val="15"/>
                <w:color w:val="auto"/>
              </w:rPr>
            </w:pPr>
          </w:p>
        </w:tc>
        <w:tc>
          <w:tcPr>
            <w:tcW w:w="1000" w:type="dxa"/>
            <w:vAlign w:val="bottom"/>
          </w:tcPr>
          <w:p>
            <w:pPr>
              <w:jc w:val="center"/>
              <w:ind w:right="413"/>
              <w:spacing w:after="0"/>
              <w:rPr>
                <w:sz w:val="20"/>
                <w:szCs w:val="20"/>
                <w:color w:val="auto"/>
              </w:rPr>
            </w:pPr>
            <w:r>
              <w:rPr>
                <w:rFonts w:ascii="Arial" w:cs="Arial" w:eastAsia="Arial" w:hAnsi="Arial"/>
                <w:sz w:val="14"/>
                <w:szCs w:val="14"/>
                <w:color w:val="auto"/>
                <w:w w:val="92"/>
              </w:rPr>
              <w:t>of Year</w:t>
            </w: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w w:val="91"/>
              </w:rPr>
              <w:t>to Expense</w:t>
            </w:r>
          </w:p>
        </w:tc>
        <w:tc>
          <w:tcPr>
            <w:tcW w:w="1540" w:type="dxa"/>
            <w:vAlign w:val="bottom"/>
            <w:gridSpan w:val="2"/>
          </w:tcPr>
          <w:p>
            <w:pPr>
              <w:jc w:val="center"/>
              <w:spacing w:after="0"/>
              <w:rPr>
                <w:sz w:val="20"/>
                <w:szCs w:val="20"/>
                <w:color w:val="auto"/>
              </w:rPr>
            </w:pPr>
            <w:r>
              <w:rPr>
                <w:rFonts w:ascii="Arial" w:cs="Arial" w:eastAsia="Arial" w:hAnsi="Arial"/>
                <w:sz w:val="14"/>
                <w:szCs w:val="14"/>
                <w:color w:val="auto"/>
                <w:w w:val="91"/>
              </w:rPr>
              <w:t>to Expense</w:t>
            </w:r>
          </w:p>
        </w:tc>
        <w:tc>
          <w:tcPr>
            <w:tcW w:w="1500" w:type="dxa"/>
            <w:vAlign w:val="bottom"/>
            <w:gridSpan w:val="2"/>
          </w:tcPr>
          <w:p>
            <w:pPr>
              <w:ind w:left="440"/>
              <w:spacing w:after="0"/>
              <w:rPr>
                <w:sz w:val="20"/>
                <w:szCs w:val="20"/>
                <w:color w:val="auto"/>
              </w:rPr>
            </w:pPr>
            <w:r>
              <w:rPr>
                <w:rFonts w:ascii="Arial" w:cs="Arial" w:eastAsia="Arial" w:hAnsi="Arial"/>
                <w:sz w:val="14"/>
                <w:szCs w:val="14"/>
                <w:color w:val="auto"/>
              </w:rPr>
              <w:t>Write-offs</w:t>
            </w:r>
          </w:p>
        </w:tc>
        <w:tc>
          <w:tcPr>
            <w:tcW w:w="520" w:type="dxa"/>
            <w:vAlign w:val="bottom"/>
          </w:tcPr>
          <w:p>
            <w:pPr>
              <w:spacing w:after="0"/>
              <w:rPr>
                <w:sz w:val="15"/>
                <w:szCs w:val="15"/>
                <w:color w:val="auto"/>
              </w:rPr>
            </w:pPr>
          </w:p>
        </w:tc>
        <w:tc>
          <w:tcPr>
            <w:tcW w:w="780" w:type="dxa"/>
            <w:vAlign w:val="bottom"/>
          </w:tcPr>
          <w:p>
            <w:pPr>
              <w:jc w:val="center"/>
              <w:ind w:right="216"/>
              <w:spacing w:after="0"/>
              <w:rPr>
                <w:sz w:val="20"/>
                <w:szCs w:val="20"/>
                <w:color w:val="auto"/>
              </w:rPr>
            </w:pPr>
            <w:r>
              <w:rPr>
                <w:rFonts w:ascii="Arial" w:cs="Arial" w:eastAsia="Arial" w:hAnsi="Arial"/>
                <w:sz w:val="14"/>
                <w:szCs w:val="14"/>
                <w:color w:val="auto"/>
                <w:w w:val="97"/>
              </w:rPr>
              <w:t>of 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7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Year ended December 29, 2007</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413"/>
              <w:spacing w:after="0"/>
              <w:rPr>
                <w:sz w:val="20"/>
                <w:szCs w:val="20"/>
                <w:color w:val="auto"/>
              </w:rPr>
            </w:pPr>
            <w:r>
              <w:rPr>
                <w:rFonts w:ascii="Arial" w:cs="Arial" w:eastAsia="Arial" w:hAnsi="Arial"/>
                <w:sz w:val="18"/>
                <w:szCs w:val="18"/>
                <w:color w:val="auto"/>
              </w:rPr>
              <w:t>1,644</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15(1)</w:t>
            </w:r>
          </w:p>
        </w:tc>
        <w:tc>
          <w:tcPr>
            <w:tcW w:w="540" w:type="dxa"/>
            <w:vAlign w:val="bottom"/>
          </w:tcPr>
          <w:p>
            <w:pPr>
              <w:ind w:left="46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430"/>
              <w:spacing w:after="0"/>
              <w:rPr>
                <w:sz w:val="20"/>
                <w:szCs w:val="20"/>
                <w:color w:val="auto"/>
              </w:rPr>
            </w:pPr>
            <w:r>
              <w:rPr>
                <w:rFonts w:ascii="Arial" w:cs="Arial" w:eastAsia="Arial" w:hAnsi="Arial"/>
                <w:sz w:val="18"/>
                <w:szCs w:val="18"/>
                <w:color w:val="auto"/>
              </w:rPr>
              <w:t>(92)</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470"/>
              <w:spacing w:after="0"/>
              <w:rPr>
                <w:sz w:val="20"/>
                <w:szCs w:val="20"/>
                <w:color w:val="auto"/>
              </w:rPr>
            </w:pPr>
            <w:r>
              <w:rPr>
                <w:rFonts w:ascii="Arial" w:cs="Arial" w:eastAsia="Arial" w:hAnsi="Arial"/>
                <w:sz w:val="18"/>
                <w:szCs w:val="18"/>
                <w:color w:val="auto"/>
              </w:rPr>
              <w:t>12</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6"/>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27, 2008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1,555</w:t>
            </w:r>
          </w:p>
        </w:tc>
        <w:tc>
          <w:tcPr>
            <w:tcW w:w="5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136(2)</w:t>
            </w:r>
          </w:p>
        </w:tc>
        <w:tc>
          <w:tcPr>
            <w:tcW w:w="540" w:type="dxa"/>
            <w:vAlign w:val="bottom"/>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68</w:t>
            </w:r>
          </w:p>
        </w:tc>
        <w:tc>
          <w:tcPr>
            <w:tcW w:w="5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432"/>
        </w:trPr>
        <w:tc>
          <w:tcPr>
            <w:tcW w:w="3840" w:type="dxa"/>
            <w:vAlign w:val="bottom"/>
            <w:gridSpan w:val="2"/>
          </w:tcPr>
          <w:p>
            <w:pPr>
              <w:spacing w:after="0"/>
              <w:rPr>
                <w:sz w:val="20"/>
                <w:szCs w:val="20"/>
                <w:color w:val="auto"/>
              </w:rPr>
            </w:pPr>
            <w:r>
              <w:rPr>
                <w:rFonts w:ascii="Arial" w:cs="Arial" w:eastAsia="Arial" w:hAnsi="Arial"/>
                <w:sz w:val="18"/>
                <w:szCs w:val="18"/>
                <w:color w:val="auto"/>
              </w:rPr>
              <w:t>Year ended December 26, 2009</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413"/>
              <w:spacing w:after="0"/>
              <w:rPr>
                <w:sz w:val="20"/>
                <w:szCs w:val="20"/>
                <w:color w:val="auto"/>
              </w:rPr>
            </w:pPr>
            <w:r>
              <w:rPr>
                <w:rFonts w:ascii="Arial" w:cs="Arial" w:eastAsia="Arial" w:hAnsi="Arial"/>
                <w:sz w:val="18"/>
                <w:szCs w:val="18"/>
                <w:color w:val="auto"/>
              </w:rPr>
              <w:t>1,610</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10(3)</w:t>
            </w:r>
          </w:p>
        </w:tc>
        <w:tc>
          <w:tcPr>
            <w:tcW w:w="540" w:type="dxa"/>
            <w:vAlign w:val="bottom"/>
          </w:tcPr>
          <w:p>
            <w:pPr>
              <w:ind w:left="46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490"/>
              <w:spacing w:after="0"/>
              <w:rPr>
                <w:sz w:val="20"/>
                <w:szCs w:val="20"/>
                <w:color w:val="auto"/>
              </w:rPr>
            </w:pPr>
            <w:r>
              <w:rPr>
                <w:rFonts w:ascii="Arial" w:cs="Arial" w:eastAsia="Arial" w:hAnsi="Arial"/>
                <w:sz w:val="18"/>
                <w:szCs w:val="18"/>
                <w:color w:val="auto"/>
              </w:rPr>
              <w:t>107</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470"/>
              <w:spacing w:after="0"/>
              <w:rPr>
                <w:sz w:val="20"/>
                <w:szCs w:val="20"/>
                <w:color w:val="auto"/>
              </w:rPr>
            </w:pPr>
            <w:r>
              <w:rPr>
                <w:rFonts w:ascii="Arial" w:cs="Arial" w:eastAsia="Arial" w:hAnsi="Arial"/>
                <w:sz w:val="18"/>
                <w:szCs w:val="18"/>
                <w:color w:val="auto"/>
              </w:rPr>
              <w:t>714</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6"/>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Reserve for excess and obsolete inventories:</w:t>
            </w: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840" w:type="dxa"/>
            <w:vAlign w:val="bottom"/>
            <w:gridSpan w:val="2"/>
          </w:tcPr>
          <w:p>
            <w:pPr>
              <w:spacing w:after="0"/>
              <w:rPr>
                <w:sz w:val="20"/>
                <w:szCs w:val="20"/>
                <w:color w:val="auto"/>
              </w:rPr>
            </w:pPr>
            <w:r>
              <w:rPr>
                <w:rFonts w:ascii="Arial" w:cs="Arial" w:eastAsia="Arial" w:hAnsi="Arial"/>
                <w:sz w:val="18"/>
                <w:szCs w:val="18"/>
                <w:color w:val="auto"/>
              </w:rPr>
              <w:t>Year ended December 29, 2007</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413"/>
              <w:spacing w:after="0"/>
              <w:rPr>
                <w:sz w:val="20"/>
                <w:szCs w:val="20"/>
                <w:color w:val="auto"/>
              </w:rPr>
            </w:pPr>
            <w:r>
              <w:rPr>
                <w:rFonts w:ascii="Arial" w:cs="Arial" w:eastAsia="Arial" w:hAnsi="Arial"/>
                <w:sz w:val="18"/>
                <w:szCs w:val="18"/>
                <w:color w:val="auto"/>
                <w:w w:val="87"/>
              </w:rPr>
              <w:t>30,403</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273"/>
              <w:spacing w:after="0"/>
              <w:rPr>
                <w:sz w:val="20"/>
                <w:szCs w:val="20"/>
                <w:color w:val="auto"/>
              </w:rPr>
            </w:pPr>
            <w:r>
              <w:rPr>
                <w:rFonts w:ascii="Arial" w:cs="Arial" w:eastAsia="Arial" w:hAnsi="Arial"/>
                <w:sz w:val="18"/>
                <w:szCs w:val="18"/>
                <w:color w:val="auto"/>
                <w:w w:val="89"/>
              </w:rPr>
              <w:t>1,279(4)</w:t>
            </w:r>
          </w:p>
        </w:tc>
        <w:tc>
          <w:tcPr>
            <w:tcW w:w="540" w:type="dxa"/>
            <w:vAlign w:val="bottom"/>
          </w:tcPr>
          <w:p>
            <w:pPr>
              <w:ind w:left="46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490"/>
              <w:spacing w:after="0"/>
              <w:rPr>
                <w:sz w:val="20"/>
                <w:szCs w:val="20"/>
                <w:color w:val="auto"/>
              </w:rPr>
            </w:pPr>
            <w:r>
              <w:rPr>
                <w:rFonts w:ascii="Arial" w:cs="Arial" w:eastAsia="Arial" w:hAnsi="Arial"/>
                <w:sz w:val="18"/>
                <w:szCs w:val="18"/>
                <w:color w:val="auto"/>
                <w:w w:val="88"/>
              </w:rPr>
              <w:t>4,556</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470"/>
              <w:spacing w:after="0"/>
              <w:rPr>
                <w:sz w:val="20"/>
                <w:szCs w:val="20"/>
                <w:color w:val="auto"/>
              </w:rPr>
            </w:pPr>
            <w:r>
              <w:rPr>
                <w:rFonts w:ascii="Arial" w:cs="Arial" w:eastAsia="Arial" w:hAnsi="Arial"/>
                <w:sz w:val="18"/>
                <w:szCs w:val="18"/>
                <w:color w:val="auto"/>
                <w:w w:val="84"/>
              </w:rPr>
              <w:t>4,701</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6"/>
              <w:spacing w:after="0"/>
              <w:rPr>
                <w:sz w:val="20"/>
                <w:szCs w:val="20"/>
                <w:color w:val="auto"/>
              </w:rPr>
            </w:pPr>
            <w:r>
              <w:rPr>
                <w:rFonts w:ascii="Arial" w:cs="Arial" w:eastAsia="Arial" w:hAnsi="Arial"/>
                <w:sz w:val="18"/>
                <w:szCs w:val="18"/>
                <w:color w:val="auto"/>
                <w:w w:val="87"/>
              </w:rPr>
              <w:t>31,537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27, 2008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w w:val="87"/>
              </w:rPr>
              <w:t>31,537</w:t>
            </w:r>
          </w:p>
        </w:tc>
        <w:tc>
          <w:tcPr>
            <w:tcW w:w="5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w w:val="89"/>
              </w:rPr>
              <w:t>1,512(5)</w:t>
            </w:r>
          </w:p>
        </w:tc>
        <w:tc>
          <w:tcPr>
            <w:tcW w:w="540" w:type="dxa"/>
            <w:vAlign w:val="bottom"/>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89"/>
              </w:rPr>
              <w:t>1,693(7)</w:t>
            </w:r>
          </w:p>
        </w:tc>
        <w:tc>
          <w:tcPr>
            <w:tcW w:w="5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84"/>
              </w:rPr>
              <w:t>4,449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87"/>
              </w:rPr>
              <w:t>30,293</w:t>
            </w:r>
          </w:p>
        </w:tc>
        <w:tc>
          <w:tcPr>
            <w:tcW w:w="0" w:type="dxa"/>
            <w:vAlign w:val="bottom"/>
          </w:tcPr>
          <w:p>
            <w:pPr>
              <w:spacing w:after="0"/>
              <w:rPr>
                <w:sz w:val="1"/>
                <w:szCs w:val="1"/>
                <w:color w:val="auto"/>
              </w:rPr>
            </w:pPr>
          </w:p>
        </w:tc>
      </w:tr>
      <w:tr>
        <w:trPr>
          <w:trHeight w:val="432"/>
        </w:trPr>
        <w:tc>
          <w:tcPr>
            <w:tcW w:w="3840" w:type="dxa"/>
            <w:vAlign w:val="bottom"/>
            <w:gridSpan w:val="2"/>
          </w:tcPr>
          <w:p>
            <w:pPr>
              <w:spacing w:after="0"/>
              <w:rPr>
                <w:sz w:val="20"/>
                <w:szCs w:val="20"/>
                <w:color w:val="auto"/>
              </w:rPr>
            </w:pPr>
            <w:r>
              <w:rPr>
                <w:rFonts w:ascii="Arial" w:cs="Arial" w:eastAsia="Arial" w:hAnsi="Arial"/>
                <w:sz w:val="18"/>
                <w:szCs w:val="18"/>
                <w:color w:val="auto"/>
              </w:rPr>
              <w:t>Year ended December 26, 2009</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413"/>
              <w:spacing w:after="0"/>
              <w:rPr>
                <w:sz w:val="20"/>
                <w:szCs w:val="20"/>
                <w:color w:val="auto"/>
              </w:rPr>
            </w:pPr>
            <w:r>
              <w:rPr>
                <w:rFonts w:ascii="Arial" w:cs="Arial" w:eastAsia="Arial" w:hAnsi="Arial"/>
                <w:sz w:val="18"/>
                <w:szCs w:val="18"/>
                <w:color w:val="auto"/>
                <w:w w:val="87"/>
              </w:rPr>
              <w:t>30,293</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129(6)</w:t>
            </w:r>
          </w:p>
        </w:tc>
        <w:tc>
          <w:tcPr>
            <w:tcW w:w="540" w:type="dxa"/>
            <w:vAlign w:val="bottom"/>
          </w:tcPr>
          <w:p>
            <w:pPr>
              <w:ind w:left="46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490"/>
              <w:spacing w:after="0"/>
              <w:rPr>
                <w:sz w:val="20"/>
                <w:szCs w:val="20"/>
                <w:color w:val="auto"/>
              </w:rPr>
            </w:pPr>
            <w:r>
              <w:rPr>
                <w:rFonts w:ascii="Arial" w:cs="Arial" w:eastAsia="Arial" w:hAnsi="Arial"/>
                <w:sz w:val="18"/>
                <w:szCs w:val="18"/>
                <w:color w:val="auto"/>
                <w:w w:val="88"/>
              </w:rPr>
              <w:t>4,439</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470"/>
              <w:spacing w:after="0"/>
              <w:rPr>
                <w:sz w:val="20"/>
                <w:szCs w:val="20"/>
                <w:color w:val="auto"/>
              </w:rPr>
            </w:pPr>
            <w:r>
              <w:rPr>
                <w:rFonts w:ascii="Arial" w:cs="Arial" w:eastAsia="Arial" w:hAnsi="Arial"/>
                <w:sz w:val="18"/>
                <w:szCs w:val="18"/>
                <w:color w:val="auto"/>
                <w:w w:val="84"/>
              </w:rPr>
              <w:t>9,181</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6"/>
              <w:spacing w:after="0"/>
              <w:rPr>
                <w:sz w:val="20"/>
                <w:szCs w:val="20"/>
                <w:color w:val="auto"/>
              </w:rPr>
            </w:pPr>
            <w:r>
              <w:rPr>
                <w:rFonts w:ascii="Arial" w:cs="Arial" w:eastAsia="Arial" w:hAnsi="Arial"/>
                <w:sz w:val="18"/>
                <w:szCs w:val="18"/>
                <w:color w:val="auto"/>
                <w:w w:val="87"/>
              </w:rPr>
              <w:t>25,680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 resulting from AVS acquisition in March, 2007.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$127 resulting from Rasco acquisition in December, 2008 and foreign currency impact.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reserve balances resulting from foreign currency impact.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 resulting from AVS acquisition in March, 2007 and reclass from other reserves.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 resulting from Rasco acquisition in December, 2008 and foreign currency impact.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reserve balances resulting from foreign currency impact.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$4.5 million credited to expense for products sold in 2008 that were reserved in 2006.</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19"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Exhibit 21</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780" w:type="dxa"/>
            <w:vAlign w:val="bottom"/>
            <w:gridSpan w:val="3"/>
          </w:tcPr>
          <w:p>
            <w:pPr>
              <w:ind w:left="760"/>
              <w:spacing w:after="0"/>
              <w:rPr>
                <w:sz w:val="20"/>
                <w:szCs w:val="20"/>
                <w:color w:val="auto"/>
              </w:rPr>
            </w:pPr>
            <w:r>
              <w:rPr>
                <w:rFonts w:ascii="Arial" w:cs="Arial" w:eastAsia="Arial" w:hAnsi="Arial"/>
                <w:sz w:val="18"/>
                <w:szCs w:val="18"/>
                <w:b w:val="1"/>
                <w:bCs w:val="1"/>
                <w:color w:val="auto"/>
              </w:rPr>
              <w:t>SUBSIDIARIES OF COHU, INC.</w:t>
            </w:r>
          </w:p>
        </w:tc>
      </w:tr>
      <w:tr>
        <w:trPr>
          <w:trHeight w:val="346"/>
        </w:trPr>
        <w:tc>
          <w:tcPr>
            <w:tcW w:w="3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4"/>
                <w:szCs w:val="14"/>
                <w:color w:val="auto"/>
              </w:rPr>
              <w:t>PLACE OF</w:t>
            </w:r>
          </w:p>
        </w:tc>
      </w:tr>
      <w:tr>
        <w:trPr>
          <w:trHeight w:val="167"/>
        </w:trPr>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LEGAL ENTITY NAME</w:t>
            </w:r>
          </w:p>
        </w:tc>
        <w:tc>
          <w:tcPr>
            <w:tcW w:w="15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5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INCORPORATION</w:t>
            </w:r>
          </w:p>
        </w:tc>
      </w:tr>
      <w:tr>
        <w:trPr>
          <w:trHeight w:val="195"/>
        </w:trPr>
        <w:tc>
          <w:tcPr>
            <w:tcW w:w="3640" w:type="dxa"/>
            <w:vAlign w:val="bottom"/>
          </w:tcPr>
          <w:p>
            <w:pPr>
              <w:spacing w:after="0" w:line="195" w:lineRule="exact"/>
              <w:rPr>
                <w:sz w:val="20"/>
                <w:szCs w:val="20"/>
                <w:color w:val="auto"/>
              </w:rPr>
            </w:pPr>
            <w:r>
              <w:rPr>
                <w:rFonts w:ascii="Arial" w:cs="Arial" w:eastAsia="Arial" w:hAnsi="Arial"/>
                <w:sz w:val="18"/>
                <w:szCs w:val="18"/>
                <w:color w:val="auto"/>
              </w:rPr>
              <w:t>Delta Design, Inc. (1)</w:t>
            </w:r>
          </w:p>
        </w:tc>
        <w:tc>
          <w:tcPr>
            <w:tcW w:w="1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0" w:type="dxa"/>
            <w:vAlign w:val="bottom"/>
          </w:tcPr>
          <w:p>
            <w:pPr>
              <w:spacing w:after="0" w:line="195" w:lineRule="exact"/>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FRL, Incorporated.</w:t>
            </w: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Broadcast Microwave Services, Inc. (2)</w:t>
            </w: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Delta Design (Littleton), Inc.</w:t>
            </w: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Cohu Foreign Sales Ltd.</w:t>
            </w:r>
          </w:p>
        </w:tc>
        <w:tc>
          <w:tcPr>
            <w:tcW w:w="1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Barbados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Delta Design, Inc. owns the following subsidiaries: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Delta Design Singapore PTE LTD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Delta Design Philippines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Cohu S.A.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Delta Design Europe GmbH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Rasco GmbH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Rosenheim Automation Systems Corporation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Singapore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Costa Rica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00" w:lineRule="exact"/>
        <w:rPr>
          <w:sz w:val="20"/>
          <w:szCs w:val="20"/>
          <w:color w:val="auto"/>
        </w:rPr>
      </w:pPr>
    </w:p>
    <w:p>
      <w:pPr>
        <w:sectPr>
          <w:pgSz w:w="11900" w:h="16838" w:orient="portrait"/>
          <w:cols w:equalWidth="0" w:num="2">
            <w:col w:w="4900" w:space="720"/>
            <w:col w:w="5800"/>
          </w:cols>
          <w:pgMar w:left="240" w:top="125" w:right="239" w:bottom="1440" w:gutter="0" w:footer="0" w:header="0"/>
          <w:type w:val="continuous"/>
        </w:sectPr>
      </w:pPr>
    </w:p>
    <w:p>
      <w:pPr>
        <w:spacing w:after="0" w:line="51"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Broadcast Microwave Services, Inc. owns the following subsidiaries:</w:t>
      </w:r>
    </w:p>
    <w:p>
      <w:pPr>
        <w:sectPr>
          <w:pgSz w:w="11900" w:h="16838" w:orient="portrait"/>
          <w:cols w:equalWidth="0" w:num="1">
            <w:col w:w="11420"/>
          </w:cols>
          <w:pgMar w:left="240" w:top="125" w:right="239" w:bottom="1440" w:gutter="0" w:footer="0" w:header="0"/>
          <w:type w:val="continuous"/>
        </w:sectPr>
      </w:pPr>
    </w:p>
    <w:p>
      <w:pPr>
        <w:spacing w:after="0" w:line="248" w:lineRule="exact"/>
        <w:rPr>
          <w:sz w:val="20"/>
          <w:szCs w:val="20"/>
          <w:color w:val="auto"/>
        </w:rPr>
      </w:pPr>
    </w:p>
    <w:p>
      <w:pPr>
        <w:ind w:left="460" w:right="140"/>
        <w:spacing w:after="0" w:line="342" w:lineRule="auto"/>
        <w:rPr>
          <w:sz w:val="20"/>
          <w:szCs w:val="20"/>
          <w:color w:val="auto"/>
        </w:rPr>
      </w:pPr>
      <w:r>
        <w:rPr>
          <w:rFonts w:ascii="Arial" w:cs="Arial" w:eastAsia="Arial" w:hAnsi="Arial"/>
          <w:sz w:val="16"/>
          <w:szCs w:val="16"/>
          <w:color w:val="auto"/>
        </w:rPr>
        <w:t>Broadcast Microwave Services Europe Holding GmbH Broadcast Microwave Services Europe Verwaltungs GmbH</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ectPr>
          <w:pgSz w:w="11900" w:h="16838" w:orient="portrait"/>
          <w:cols w:equalWidth="0" w:num="2">
            <w:col w:w="4900" w:space="720"/>
            <w:col w:w="5800"/>
          </w:cols>
          <w:pgMar w:left="240" w:top="125" w:right="239" w:bottom="1440" w:gutter="0" w:footer="0" w:header="0"/>
          <w:type w:val="continuous"/>
        </w:sectPr>
      </w:pPr>
    </w:p>
    <w:bookmarkStart w:id="67" w:name="page68"/>
    <w:bookmarkEnd w:id="67"/>
    <w:p>
      <w:pPr>
        <w:jc w:val="right"/>
        <w:spacing w:after="0"/>
        <w:rPr>
          <w:sz w:val="20"/>
          <w:szCs w:val="20"/>
          <w:color w:val="auto"/>
        </w:rPr>
      </w:pPr>
      <w:r>
        <w:rPr>
          <w:rFonts w:ascii="Arial" w:cs="Arial" w:eastAsia="Arial" w:hAnsi="Arial"/>
          <w:sz w:val="18"/>
          <w:szCs w:val="18"/>
          <w:color w:val="auto"/>
        </w:rPr>
        <w:t>Exhibit 23</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We consent to the incorporation by reference in the Registration Statements (Form S-8 Nos. 33-60735, 333-16293, 333-62803, 333-27663, 333-40610, 333-66466, 333-97449, 333-117554, 333-132605, 333-142579, and 333-160760) pertaining to the Cohu, Inc. 1994, 1996 and 1998 Stock Option Plans, 1996 Outside Directors Stock Option Plan, 1997 Employee Stock Purchase Plan and 2005 Equity Incentive Plan of Cohu, Inc. of our reports dated February 23, 2010, with respect to the consolidated financial statements and schedule of Cohu, Inc., and the effectiveness of internal control over financial reporting of Cohu, Inc., included in this Annual Report (Form 10-K) for the year ended December 26, 2009.</w:t>
      </w:r>
    </w:p>
    <w:p>
      <w:pPr>
        <w:spacing w:after="0" w:line="38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2010</w:t>
      </w:r>
    </w:p>
    <w:p>
      <w:pPr>
        <w:sectPr>
          <w:pgSz w:w="11900" w:h="16838" w:orient="portrait"/>
          <w:cols w:equalWidth="0" w:num="1">
            <w:col w:w="11420"/>
          </w:cols>
          <w:pgMar w:left="240" w:top="125"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James A. Donahue, certify that:</w:t>
      </w:r>
    </w:p>
    <w:p>
      <w:pPr>
        <w:spacing w:after="0" w:line="117" w:lineRule="exact"/>
        <w:rPr>
          <w:sz w:val="20"/>
          <w:szCs w:val="20"/>
          <w:color w:val="auto"/>
        </w:rPr>
      </w:pPr>
    </w:p>
    <w:p>
      <w:pPr>
        <w:ind w:left="420" w:hanging="187"/>
        <w:spacing w:after="0"/>
        <w:tabs>
          <w:tab w:leader="none" w:pos="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 have reviewed this Form 10-K of Cohu, Inc.;</w:t>
      </w:r>
    </w:p>
    <w:p>
      <w:pPr>
        <w:spacing w:after="0" w:line="117" w:lineRule="exact"/>
        <w:rPr>
          <w:rFonts w:ascii="Arial" w:cs="Arial" w:eastAsia="Arial" w:hAnsi="Arial"/>
          <w:sz w:val="18"/>
          <w:szCs w:val="18"/>
          <w:color w:val="auto"/>
        </w:rPr>
      </w:pPr>
    </w:p>
    <w:p>
      <w:pPr>
        <w:ind w:right="440" w:firstLine="233"/>
        <w:spacing w:after="0" w:line="342" w:lineRule="auto"/>
        <w:tabs>
          <w:tab w:leader="none" w:pos="405" w:val="left"/>
        </w:tabs>
        <w:numPr>
          <w:ilvl w:val="1"/>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00" w:firstLine="233"/>
        <w:spacing w:after="0" w:line="277" w:lineRule="auto"/>
        <w:tabs>
          <w:tab w:leader="none" w:pos="405" w:val="left"/>
        </w:tabs>
        <w:numPr>
          <w:ilvl w:val="1"/>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33"/>
        <w:spacing w:after="0" w:line="264" w:lineRule="auto"/>
        <w:tabs>
          <w:tab w:leader="none" w:pos="402"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20" w:hanging="436"/>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0" w:hanging="436"/>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436"/>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00" w:hanging="436"/>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20" w:firstLine="233"/>
        <w:spacing w:after="0" w:line="308" w:lineRule="auto"/>
        <w:tabs>
          <w:tab w:leader="none" w:pos="402"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660" w:right="40" w:hanging="436"/>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80" w:hanging="436"/>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23,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Jeffrey D. Jones, certify that:</w:t>
      </w:r>
    </w:p>
    <w:p>
      <w:pPr>
        <w:spacing w:after="0" w:line="117" w:lineRule="exact"/>
        <w:rPr>
          <w:sz w:val="20"/>
          <w:szCs w:val="20"/>
          <w:color w:val="auto"/>
        </w:rPr>
      </w:pPr>
    </w:p>
    <w:p>
      <w:pPr>
        <w:ind w:left="420" w:hanging="187"/>
        <w:spacing w:after="0"/>
        <w:tabs>
          <w:tab w:leader="none" w:pos="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 have reviewed this Form 10-K of Cohu, Inc.;</w:t>
      </w:r>
    </w:p>
    <w:p>
      <w:pPr>
        <w:spacing w:after="0" w:line="117" w:lineRule="exact"/>
        <w:rPr>
          <w:rFonts w:ascii="Arial" w:cs="Arial" w:eastAsia="Arial" w:hAnsi="Arial"/>
          <w:sz w:val="18"/>
          <w:szCs w:val="18"/>
          <w:color w:val="auto"/>
        </w:rPr>
      </w:pPr>
    </w:p>
    <w:p>
      <w:pPr>
        <w:ind w:right="440" w:firstLine="233"/>
        <w:spacing w:after="0" w:line="342" w:lineRule="auto"/>
        <w:tabs>
          <w:tab w:leader="none" w:pos="405" w:val="left"/>
        </w:tabs>
        <w:numPr>
          <w:ilvl w:val="1"/>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00" w:firstLine="233"/>
        <w:spacing w:after="0" w:line="277" w:lineRule="auto"/>
        <w:tabs>
          <w:tab w:leader="none" w:pos="405" w:val="left"/>
        </w:tabs>
        <w:numPr>
          <w:ilvl w:val="1"/>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33"/>
        <w:spacing w:after="0" w:line="264" w:lineRule="auto"/>
        <w:tabs>
          <w:tab w:leader="none" w:pos="402"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20" w:hanging="436"/>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0" w:hanging="436"/>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436"/>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00" w:hanging="436"/>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20" w:firstLine="233"/>
        <w:spacing w:after="0" w:line="308" w:lineRule="auto"/>
        <w:tabs>
          <w:tab w:leader="none" w:pos="402" w:val="left"/>
        </w:tabs>
        <w:numPr>
          <w:ilvl w:val="1"/>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660" w:right="40" w:hanging="436"/>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80" w:hanging="436"/>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23,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 Chief Financial Officer</w:t>
      </w:r>
    </w:p>
    <w:p>
      <w:pPr>
        <w:sectPr>
          <w:pgSz w:w="11900" w:h="16838" w:orient="portrait"/>
          <w:cols w:equalWidth="0" w:num="1">
            <w:col w:w="11420"/>
          </w:cols>
          <w:pgMar w:left="240" w:top="125"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03"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In connection with the accompanying Annual Report of Cohu, Inc. (the “Company”) on Form 10-K for the fiscal year ended December 26, 2009 (the “Report”), I, James A. Donahue, President and Chief Executive Officer of the Company, certify, pursuant to 18 U.S.C. Section 1350, as adopted pursuant to Section 906 of the Sarbanes-Oxley Act of 2002, that, based on my knowledge:</w:t>
      </w:r>
    </w:p>
    <w:p>
      <w:pPr>
        <w:spacing w:after="0" w:line="73"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23,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03" w:lineRule="exact"/>
        <w:rPr>
          <w:sz w:val="20"/>
          <w:szCs w:val="20"/>
          <w:color w:val="auto"/>
        </w:rPr>
      </w:pPr>
    </w:p>
    <w:p>
      <w:pPr>
        <w:jc w:val="both"/>
        <w:ind w:right="420" w:firstLine="225"/>
        <w:spacing w:after="0" w:line="264" w:lineRule="auto"/>
        <w:rPr>
          <w:sz w:val="20"/>
          <w:szCs w:val="20"/>
          <w:color w:val="auto"/>
        </w:rPr>
      </w:pPr>
      <w:r>
        <w:rPr>
          <w:rFonts w:ascii="Arial" w:cs="Arial" w:eastAsia="Arial" w:hAnsi="Arial"/>
          <w:sz w:val="18"/>
          <w:szCs w:val="18"/>
          <w:color w:val="auto"/>
        </w:rPr>
        <w:t>In connection with the accompanying Annual Report of Cohu, Inc. (the “Company”) on Form 10-K for the fiscal year ended December 26, 2009 (the “Report”), I, Jeffrey D. Jones, Vice President Finance &amp; Chief Financial Officer of the Company, certify, pursuant to 18 U.S.C. Section 1350, as adopted pursuant to Section 906 of the Sarbanes-Oxley Act of 2002, that, based on my knowledge:</w:t>
      </w:r>
    </w:p>
    <w:p>
      <w:pPr>
        <w:spacing w:after="0" w:line="73"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23,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o"/>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lowerRoman"/>
      <w:start w:val="5"/>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1)"/>
      <w:numFmt w:val="lowerRoman"/>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5"/>
    </w:lvl>
  </w:abstractNum>
  <w:abstractNum w:abstractNumId="14">
    <w:nsid w:val="2443A858"/>
    <w:multiLevelType w:val="hybridMultilevel"/>
    <w:lvl w:ilvl="0">
      <w:lvlJc w:val="left"/>
      <w:lvlText w:val="%1."/>
      <w:numFmt w:val="decimal"/>
      <w:start w:val="6"/>
    </w:lvl>
  </w:abstractNum>
  <w:abstractNum w:abstractNumId="15">
    <w:nsid w:val="2D1D5AE9"/>
    <w:multiLevelType w:val="hybridMultilevel"/>
    <w:lvl w:ilvl="0">
      <w:lvlJc w:val="left"/>
      <w:lvlText w:val="%1."/>
      <w:numFmt w:val="decimal"/>
      <w:start w:val="7"/>
    </w:lvl>
  </w:abstractNum>
  <w:abstractNum w:abstractNumId="16">
    <w:nsid w:val="6763845E"/>
    <w:multiLevelType w:val="hybridMultilevel"/>
    <w:lvl w:ilvl="0">
      <w:lvlJc w:val="left"/>
      <w:lvlText w:val="(%1)"/>
      <w:numFmt w:val="lowerLetter"/>
      <w:start w:val="1"/>
    </w:lvl>
  </w:abstractNum>
  <w:abstractNum w:abstractNumId="17">
    <w:nsid w:val="75A2A8D4"/>
    <w:multiLevelType w:val="hybridMultilevel"/>
    <w:lvl w:ilvl="0">
      <w:lvlJc w:val="left"/>
      <w:lvlText w:val="%1"/>
      <w:numFmt w:val="decimal"/>
      <w:start w:val="14"/>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2"/>
    </w:lvl>
  </w:abstractNum>
  <w:abstractNum w:abstractNumId="22">
    <w:nsid w:val="189A769B"/>
    <w:multiLevelType w:val="hybridMultilevel"/>
    <w:lvl w:ilvl="0">
      <w:lvlJc w:val="left"/>
      <w:lvlText w:val="%1"/>
      <w:numFmt w:val="lowerLetter"/>
      <w:start w:val="1"/>
    </w:lvl>
    <w:lvl w:ilvl="1">
      <w:lvlJc w:val="left"/>
      <w:lvlText w:val="%2."/>
      <w:numFmt w:val="decimal"/>
      <w:start w:val="1"/>
    </w:lvl>
  </w:abstractNum>
  <w:abstractNum w:abstractNumId="23">
    <w:nsid w:val="54E49EB4"/>
    <w:multiLevelType w:val="hybridMultilevel"/>
    <w:lvl w:ilvl="0">
      <w:lvlJc w:val="left"/>
      <w:lvlText w:val="%1)"/>
      <w:numFmt w:val="lowerLetter"/>
      <w:start w:val="1"/>
    </w:lvl>
    <w:lvl w:ilvl="1">
      <w:lvlJc w:val="left"/>
      <w:lvlText w:val="%2."/>
      <w:numFmt w:val="decimal"/>
      <w:start w:val="5"/>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1"/>
      <w:numFmt w:val="lowerLetter"/>
      <w:start w:val="1"/>
    </w:lvl>
    <w:lvl w:ilvl="1">
      <w:lvlJc w:val="left"/>
      <w:lvlText w:val="%2."/>
      <w:numFmt w:val="decimal"/>
      <w:start w:val="1"/>
    </w:lvl>
  </w:abstractNum>
  <w:abstractNum w:abstractNumId="26">
    <w:nsid w:val="836C40E"/>
    <w:multiLevelType w:val="hybridMultilevel"/>
    <w:lvl w:ilvl="0">
      <w:lvlJc w:val="left"/>
      <w:lvlText w:val="%1)"/>
      <w:numFmt w:val="lowerLetter"/>
      <w:start w:val="1"/>
    </w:lvl>
    <w:lvl w:ilvl="1">
      <w:lvlJc w:val="left"/>
      <w:lvlText w:val="%2."/>
      <w:numFmt w:val="decimal"/>
      <w:start w:val="5"/>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2019-12-09T22:28:37Z</dcterms:created>
  <dcterms:modified xsi:type="dcterms:W3CDTF">2019-12-09T22:28:37Z</dcterms:modified>
</cp:coreProperties>
</file>