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16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ind w:left="640" w:right="2619" w:hanging="632"/>
        <w:spacing w:after="0" w:line="34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MARCH 31, 1999</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4" w:lineRule="exact"/>
        <w:rPr>
          <w:sz w:val="24"/>
          <w:szCs w:val="24"/>
          <w:color w:val="auto"/>
        </w:rPr>
      </w:pPr>
    </w:p>
    <w:p>
      <w:pPr>
        <w:ind w:left="640" w:right="2519" w:hanging="632"/>
        <w:spacing w:after="0" w:line="347" w:lineRule="auto"/>
        <w:tabs>
          <w:tab w:leader="none" w:pos="21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18" w:right="1440" w:bottom="1440" w:gutter="0" w:footer="0" w:header="0"/>
        </w:sectPr>
      </w:pPr>
    </w:p>
    <w:p>
      <w:pPr>
        <w:spacing w:after="0" w:line="37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95-1934119</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218" w:right="1440" w:bottom="1440" w:gutter="0" w:footer="0" w:header="0"/>
          <w:type w:val="continuous"/>
        </w:sectPr>
      </w:pPr>
    </w:p>
    <w:p>
      <w:pPr>
        <w:spacing w:after="0" w:line="172"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5755 KEARNY VILLA ROAD, SAN DIEGO, CALIFORNIA</w:t>
      </w:r>
      <w:r>
        <w:rPr>
          <w:sz w:val="20"/>
          <w:szCs w:val="20"/>
          <w:color w:val="auto"/>
        </w:rPr>
        <w:tab/>
      </w:r>
      <w:r>
        <w:rPr>
          <w:rFonts w:ascii="Courier New" w:cs="Courier New" w:eastAsia="Courier New" w:hAnsi="Courier New"/>
          <w:sz w:val="18"/>
          <w:szCs w:val="18"/>
          <w:color w:val="auto"/>
        </w:rPr>
        <w:t>92123</w:t>
      </w:r>
    </w:p>
    <w:p>
      <w:pPr>
        <w:sectPr>
          <w:pgSz w:w="11900" w:h="16838" w:orient="portrait"/>
          <w:cols w:equalWidth="0" w:num="1">
            <w:col w:w="10219"/>
          </w:cols>
          <w:pgMar w:left="240" w:top="218" w:right="1440" w:bottom="1440" w:gutter="0" w:footer="0" w:header="0"/>
          <w:type w:val="continuous"/>
        </w:sectPr>
      </w:pPr>
    </w:p>
    <w:p>
      <w:pPr>
        <w:spacing w:after="0" w:line="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90"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(Address of principal executive office)</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18"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619-277-6700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218" w:right="1440" w:bottom="1440" w:gutter="0" w:footer="0" w:header="0"/>
          <w:type w:val="continuous"/>
        </w:sectPr>
      </w:pPr>
    </w:p>
    <w:p>
      <w:pPr>
        <w:spacing w:after="0" w:line="194"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spacing w:after="0" w:line="295" w:lineRule="exact"/>
        <w:rPr>
          <w:sz w:val="24"/>
          <w:szCs w:val="24"/>
          <w:color w:val="auto"/>
        </w:rPr>
      </w:pPr>
    </w:p>
    <w:p>
      <w:pPr>
        <w:ind w:left="2320"/>
        <w:spacing w:after="0"/>
        <w:tabs>
          <w:tab w:leader="none" w:pos="356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As of March 31, 1999, the Registrant had 9,827,733 shares of its $1.00 par value common stock outstanding.</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ind w:left="3800"/>
        <w:spacing w:after="0" w:line="238" w:lineRule="auto"/>
        <w:rPr>
          <w:sz w:val="20"/>
          <w:szCs w:val="20"/>
          <w:color w:val="auto"/>
        </w:rPr>
      </w:pPr>
      <w:r>
        <w:rPr>
          <w:rFonts w:ascii="Courier New" w:cs="Courier New" w:eastAsia="Courier New" w:hAnsi="Courier New"/>
          <w:sz w:val="18"/>
          <w:szCs w:val="18"/>
          <w:color w:val="auto"/>
        </w:rPr>
        <w:t>FORM 10-Q</w:t>
      </w:r>
    </w:p>
    <w:p>
      <w:pPr>
        <w:ind w:left="3480"/>
        <w:spacing w:after="0"/>
        <w:rPr>
          <w:sz w:val="20"/>
          <w:szCs w:val="20"/>
          <w:color w:val="auto"/>
        </w:rPr>
      </w:pPr>
      <w:r>
        <w:rPr>
          <w:rFonts w:ascii="Courier New" w:cs="Courier New" w:eastAsia="Courier New" w:hAnsi="Courier New"/>
          <w:sz w:val="18"/>
          <w:szCs w:val="18"/>
          <w:color w:val="auto"/>
        </w:rPr>
        <w:t>MARCH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FINANCIAL INFORMATION</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PAGE NUMBER</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7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717"/>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70"/>
              </w:rPr>
              <w:t>Condensed Consolidated Balance Sheets</w:t>
            </w:r>
            <w:r>
              <w:rPr>
                <w:rFonts w:ascii="Courier New" w:cs="Courier New" w:eastAsia="Courier New" w:hAnsi="Courier New"/>
                <w:sz w:val="31"/>
                <w:szCs w:val="31"/>
                <w:color w:val="auto"/>
                <w:w w:val="70"/>
                <w:vertAlign w:val="subscript"/>
              </w:rPr>
              <w:t>..............................</w:t>
            </w:r>
          </w:p>
        </w:tc>
        <w:tc>
          <w:tcPr>
            <w:tcW w:w="13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March 31, 1999 (Unaudited) and December 31, 1998</w:t>
            </w: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06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70"/>
              </w:rPr>
              <w:t>Condensed Consolidated Statements of Income</w:t>
            </w:r>
            <w:r>
              <w:rPr>
                <w:rFonts w:ascii="Courier New" w:cs="Courier New" w:eastAsia="Courier New" w:hAnsi="Courier New"/>
                <w:sz w:val="35"/>
                <w:szCs w:val="35"/>
                <w:color w:val="auto"/>
                <w:w w:val="70"/>
                <w:vertAlign w:val="subscript"/>
              </w:rPr>
              <w:t>....................................</w:t>
            </w:r>
            <w:r>
              <w:rPr>
                <w:rFonts w:ascii="Courier New" w:cs="Courier New" w:eastAsia="Courier New" w:hAnsi="Courier New"/>
                <w:sz w:val="18"/>
                <w:szCs w:val="18"/>
                <w:color w:val="auto"/>
                <w:w w:val="70"/>
              </w:rPr>
              <w:t>(Unaudited)</w:t>
            </w:r>
          </w:p>
        </w:tc>
        <w:tc>
          <w:tcPr>
            <w:tcW w:w="13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Three Months Ended March 31, 1999 and 1998</w:t>
            </w: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06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Courier New" w:cs="Courier New" w:eastAsia="Courier New" w:hAnsi="Courier New"/>
                <w:sz w:val="17"/>
                <w:szCs w:val="17"/>
                <w:color w:val="auto"/>
                <w:w w:val="71"/>
              </w:rPr>
              <w:t>Condensed Consolidated Statements of Cash Flows</w:t>
            </w:r>
            <w:r>
              <w:rPr>
                <w:rFonts w:ascii="Courier New" w:cs="Courier New" w:eastAsia="Courier New" w:hAnsi="Courier New"/>
                <w:sz w:val="34"/>
                <w:szCs w:val="34"/>
                <w:color w:val="auto"/>
                <w:w w:val="71"/>
                <w:vertAlign w:val="subscript"/>
              </w:rPr>
              <w:t>....................................</w:t>
            </w:r>
            <w:r>
              <w:rPr>
                <w:rFonts w:ascii="Courier New" w:cs="Courier New" w:eastAsia="Courier New" w:hAnsi="Courier New"/>
                <w:sz w:val="17"/>
                <w:szCs w:val="17"/>
                <w:color w:val="auto"/>
                <w:w w:val="71"/>
              </w:rPr>
              <w:t>(Unaudited)</w:t>
            </w:r>
          </w:p>
        </w:tc>
        <w:tc>
          <w:tcPr>
            <w:tcW w:w="13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Three Months Ended March 31, 1999 and 1998</w:t>
            </w: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6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91"/>
              </w:rPr>
              <w:t>Notes to Unaudited Condensed Consolidated Financial Statements................</w:t>
            </w: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514"/>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70"/>
              </w:rPr>
              <w:t>Management's Discussion and Analysis of</w:t>
            </w:r>
            <w:r>
              <w:rPr>
                <w:rFonts w:ascii="Courier New" w:cs="Courier New" w:eastAsia="Courier New" w:hAnsi="Courier New"/>
                <w:sz w:val="32"/>
                <w:szCs w:val="32"/>
                <w:color w:val="auto"/>
                <w:w w:val="70"/>
                <w:vertAlign w:val="subscript"/>
              </w:rPr>
              <w:t>.................................</w:t>
            </w:r>
          </w:p>
        </w:tc>
        <w:tc>
          <w:tcPr>
            <w:tcW w:w="13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Financial Condition and Results of Operations</w:t>
            </w: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92"/>
              </w:rPr>
              <w:t>Quantitative and Qualitative Disclosures about Market Risk...................</w:t>
            </w: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810"/>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OTHER INFORMATION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92"/>
              </w:rPr>
              <w:t>Exhibits and Reports on Form 8-K.............................................</w:t>
            </w: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BALANCE SHEETS</w:t>
      </w:r>
    </w:p>
    <w:tbl>
      <w:tblPr>
        <w:tblLayout w:type="fixed"/>
        <w:tblInd w:w="0" w:type="dxa"/>
        <w:tblCellMar>
          <w:top w:w="0" w:type="dxa"/>
          <w:left w:w="0" w:type="dxa"/>
          <w:bottom w:w="0" w:type="dxa"/>
          <w:right w:w="0" w:type="dxa"/>
        </w:tblCellMar>
      </w:tblPr>
      <w:tr>
        <w:trPr>
          <w:trHeight w:val="296"/>
        </w:trPr>
        <w:tc>
          <w:tcPr>
            <w:tcW w:w="6060" w:type="dxa"/>
            <w:vAlign w:val="bottom"/>
          </w:tcPr>
          <w:p>
            <w:pPr>
              <w:ind w:left="3480"/>
              <w:spacing w:after="0"/>
              <w:rPr>
                <w:sz w:val="20"/>
                <w:szCs w:val="20"/>
                <w:color w:val="auto"/>
              </w:rPr>
            </w:pPr>
            <w:r>
              <w:rPr>
                <w:rFonts w:ascii="Courier New" w:cs="Courier New" w:eastAsia="Courier New" w:hAnsi="Courier New"/>
                <w:sz w:val="18"/>
                <w:szCs w:val="18"/>
                <w:color w:val="auto"/>
              </w:rPr>
              <w:t>(in thousands)</w:t>
            </w:r>
          </w:p>
        </w:tc>
        <w:tc>
          <w:tcPr>
            <w:tcW w:w="1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7"/>
        </w:trPr>
        <w:tc>
          <w:tcPr>
            <w:tcW w:w="60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96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MARCH 31,</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1999</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9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060" w:type="dxa"/>
            <w:vAlign w:val="bottom"/>
          </w:tcPr>
          <w:p>
            <w:pPr>
              <w:spacing w:after="0"/>
              <w:rPr>
                <w:sz w:val="24"/>
                <w:szCs w:val="24"/>
                <w:color w:val="auto"/>
              </w:rPr>
            </w:pPr>
          </w:p>
        </w:tc>
        <w:tc>
          <w:tcPr>
            <w:tcW w:w="196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(Unaudited)</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9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$ 60,574</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$ 74,446</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9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26,420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12,257</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 less allowance for doubtful</w:t>
            </w:r>
          </w:p>
        </w:tc>
        <w:tc>
          <w:tcPr>
            <w:tcW w:w="19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18,356</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18,800</w:t>
            </w:r>
          </w:p>
        </w:tc>
        <w:tc>
          <w:tcPr>
            <w:tcW w:w="0" w:type="dxa"/>
            <w:vAlign w:val="bottom"/>
          </w:tcPr>
          <w:p>
            <w:pPr>
              <w:spacing w:after="0"/>
              <w:rPr>
                <w:sz w:val="1"/>
                <w:szCs w:val="1"/>
                <w:color w:val="auto"/>
              </w:rPr>
            </w:pPr>
          </w:p>
        </w:tc>
      </w:tr>
      <w:tr>
        <w:trPr>
          <w:trHeight w:val="203"/>
        </w:trPr>
        <w:tc>
          <w:tcPr>
            <w:tcW w:w="6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accounts of $1,243 in 1999 and $1,338 in 1998</w:t>
            </w:r>
          </w:p>
        </w:tc>
        <w:tc>
          <w:tcPr>
            <w:tcW w:w="19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19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13,623</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12,977</w:t>
            </w:r>
          </w:p>
        </w:tc>
        <w:tc>
          <w:tcPr>
            <w:tcW w:w="0" w:type="dxa"/>
            <w:vAlign w:val="bottom"/>
          </w:tcPr>
          <w:p>
            <w:pPr>
              <w:spacing w:after="0"/>
              <w:rPr>
                <w:sz w:val="1"/>
                <w:szCs w:val="1"/>
                <w:color w:val="auto"/>
              </w:rPr>
            </w:pPr>
          </w:p>
        </w:tc>
      </w:tr>
      <w:tr>
        <w:trPr>
          <w:trHeight w:val="203"/>
        </w:trPr>
        <w:tc>
          <w:tcPr>
            <w:tcW w:w="6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Raw materials and purchased parts</w:t>
            </w:r>
          </w:p>
        </w:tc>
        <w:tc>
          <w:tcPr>
            <w:tcW w:w="19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Work in process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10,404</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5,927</w:t>
            </w:r>
          </w:p>
        </w:tc>
        <w:tc>
          <w:tcPr>
            <w:tcW w:w="0" w:type="dxa"/>
            <w:vAlign w:val="bottom"/>
          </w:tcPr>
          <w:p>
            <w:pPr>
              <w:spacing w:after="0"/>
              <w:rPr>
                <w:sz w:val="1"/>
                <w:szCs w:val="1"/>
                <w:color w:val="auto"/>
              </w:rPr>
            </w:pPr>
          </w:p>
        </w:tc>
      </w:tr>
      <w:tr>
        <w:trPr>
          <w:trHeight w:val="203"/>
        </w:trPr>
        <w:tc>
          <w:tcPr>
            <w:tcW w:w="6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Finished goods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4,019</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6,973</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Deferred income taxes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28,046</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25,877</w:t>
            </w:r>
          </w:p>
        </w:tc>
        <w:tc>
          <w:tcPr>
            <w:tcW w:w="0" w:type="dxa"/>
            <w:vAlign w:val="bottom"/>
          </w:tcPr>
          <w:p>
            <w:pPr>
              <w:spacing w:after="0"/>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10,477</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10,477</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1,489</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1,541</w:t>
            </w:r>
          </w:p>
        </w:tc>
        <w:tc>
          <w:tcPr>
            <w:tcW w:w="0" w:type="dxa"/>
            <w:vAlign w:val="bottom"/>
          </w:tcPr>
          <w:p>
            <w:pPr>
              <w:spacing w:after="0"/>
              <w:rPr>
                <w:sz w:val="1"/>
                <w:szCs w:val="1"/>
                <w:color w:val="auto"/>
              </w:rPr>
            </w:pPr>
          </w:p>
        </w:tc>
      </w:tr>
      <w:tr>
        <w:trPr>
          <w:trHeight w:val="203"/>
        </w:trPr>
        <w:tc>
          <w:tcPr>
            <w:tcW w:w="606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Total current assets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060" w:type="dxa"/>
            <w:vAlign w:val="bottom"/>
            <w:vMerge w:val="continue"/>
          </w:tcPr>
          <w:p>
            <w:pPr>
              <w:spacing w:after="0"/>
              <w:rPr>
                <w:sz w:val="24"/>
                <w:szCs w:val="24"/>
                <w:color w:val="auto"/>
              </w:rPr>
            </w:pP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145,362</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143,398</w:t>
            </w: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9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2,501</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2,501</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19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12,149</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12,102</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18,018</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17,801</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Less accumulated depreciation and amortization</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32,668</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32,404</w:t>
            </w:r>
          </w:p>
        </w:tc>
        <w:tc>
          <w:tcPr>
            <w:tcW w:w="0" w:type="dxa"/>
            <w:vAlign w:val="bottom"/>
          </w:tcPr>
          <w:p>
            <w:pPr>
              <w:spacing w:after="0"/>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15,393</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14,791</w:t>
            </w:r>
          </w:p>
        </w:tc>
        <w:tc>
          <w:tcPr>
            <w:tcW w:w="0" w:type="dxa"/>
            <w:vAlign w:val="bottom"/>
          </w:tcPr>
          <w:p>
            <w:pPr>
              <w:spacing w:after="0"/>
              <w:rPr>
                <w:sz w:val="1"/>
                <w:szCs w:val="1"/>
                <w:color w:val="auto"/>
              </w:rPr>
            </w:pPr>
          </w:p>
        </w:tc>
      </w:tr>
      <w:tr>
        <w:trPr>
          <w:trHeight w:val="203"/>
        </w:trPr>
        <w:tc>
          <w:tcPr>
            <w:tcW w:w="606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Net property, plant and equipment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17,275</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17,613</w:t>
            </w:r>
          </w:p>
        </w:tc>
        <w:tc>
          <w:tcPr>
            <w:tcW w:w="0" w:type="dxa"/>
            <w:vAlign w:val="bottom"/>
          </w:tcPr>
          <w:p>
            <w:pPr>
              <w:spacing w:after="0"/>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 of accumulated amortization</w:t>
            </w:r>
          </w:p>
        </w:tc>
        <w:tc>
          <w:tcPr>
            <w:tcW w:w="19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1,083</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1,155</w:t>
            </w:r>
          </w:p>
        </w:tc>
        <w:tc>
          <w:tcPr>
            <w:tcW w:w="0" w:type="dxa"/>
            <w:vAlign w:val="bottom"/>
          </w:tcPr>
          <w:p>
            <w:pPr>
              <w:spacing w:after="0"/>
              <w:rPr>
                <w:sz w:val="1"/>
                <w:szCs w:val="1"/>
                <w:color w:val="auto"/>
              </w:rPr>
            </w:pPr>
          </w:p>
        </w:tc>
      </w:tr>
      <w:tr>
        <w:trPr>
          <w:trHeight w:val="203"/>
        </w:trPr>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$2,044 in 1999 and $1,972 in 1998</w:t>
            </w:r>
          </w:p>
        </w:tc>
        <w:tc>
          <w:tcPr>
            <w:tcW w:w="19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64</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$163,784</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$162,231</w:t>
            </w:r>
          </w:p>
        </w:tc>
        <w:tc>
          <w:tcPr>
            <w:tcW w:w="0" w:type="dxa"/>
            <w:vAlign w:val="bottom"/>
          </w:tcPr>
          <w:p>
            <w:pPr>
              <w:spacing w:after="0"/>
              <w:rPr>
                <w:sz w:val="1"/>
                <w:szCs w:val="1"/>
                <w:color w:val="auto"/>
              </w:rPr>
            </w:pPr>
          </w:p>
        </w:tc>
      </w:tr>
      <w:tr>
        <w:trPr>
          <w:trHeight w:val="296"/>
        </w:trPr>
        <w:tc>
          <w:tcPr>
            <w:tcW w:w="6060" w:type="dxa"/>
            <w:vAlign w:val="bottom"/>
          </w:tcPr>
          <w:p>
            <w:pPr>
              <w:spacing w:after="0"/>
              <w:rPr>
                <w:sz w:val="24"/>
                <w:szCs w:val="24"/>
                <w:color w:val="auto"/>
              </w:rPr>
            </w:pP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9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  8,021</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  3,016</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9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3,109</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3,070</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12,850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17,169</w:t>
            </w:r>
          </w:p>
        </w:tc>
        <w:tc>
          <w:tcPr>
            <w:tcW w:w="0" w:type="dxa"/>
            <w:vAlign w:val="bottom"/>
          </w:tcPr>
          <w:p>
            <w:pPr>
              <w:spacing w:after="0"/>
              <w:rPr>
                <w:sz w:val="1"/>
                <w:szCs w:val="1"/>
                <w:color w:val="auto"/>
              </w:rPr>
            </w:pPr>
          </w:p>
        </w:tc>
      </w:tr>
      <w:tr>
        <w:trPr>
          <w:trHeight w:val="203"/>
        </w:trPr>
        <w:tc>
          <w:tcPr>
            <w:tcW w:w="606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060" w:type="dxa"/>
            <w:vAlign w:val="bottom"/>
            <w:vMerge w:val="continue"/>
          </w:tcPr>
          <w:p>
            <w:pPr>
              <w:spacing w:after="0"/>
              <w:rPr>
                <w:sz w:val="24"/>
                <w:szCs w:val="24"/>
                <w:color w:val="auto"/>
              </w:rPr>
            </w:pP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23,980</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23,255</w:t>
            </w: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999</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993</w:t>
            </w:r>
          </w:p>
        </w:tc>
        <w:tc>
          <w:tcPr>
            <w:tcW w:w="0" w:type="dxa"/>
            <w:vAlign w:val="bottom"/>
          </w:tcPr>
          <w:p>
            <w:pPr>
              <w:spacing w:after="0"/>
              <w:rPr>
                <w:sz w:val="1"/>
                <w:szCs w:val="1"/>
                <w:color w:val="auto"/>
              </w:rPr>
            </w:pPr>
          </w:p>
        </w:tc>
      </w:tr>
      <w:tr>
        <w:trPr>
          <w:trHeight w:val="296"/>
        </w:trPr>
        <w:tc>
          <w:tcPr>
            <w:tcW w:w="606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520</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520</w:t>
            </w: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9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w:t>
            </w:r>
          </w:p>
        </w:tc>
        <w:tc>
          <w:tcPr>
            <w:tcW w:w="19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9,828</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9,779</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11,435</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11,169</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117,022</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116,515</w:t>
            </w:r>
          </w:p>
        </w:tc>
        <w:tc>
          <w:tcPr>
            <w:tcW w:w="0" w:type="dxa"/>
            <w:vAlign w:val="bottom"/>
          </w:tcPr>
          <w:p>
            <w:pPr>
              <w:spacing w:after="0"/>
              <w:rPr>
                <w:sz w:val="1"/>
                <w:szCs w:val="1"/>
                <w:color w:val="auto"/>
              </w:rPr>
            </w:pPr>
          </w:p>
        </w:tc>
      </w:tr>
      <w:tr>
        <w:trPr>
          <w:trHeight w:val="203"/>
        </w:trPr>
        <w:tc>
          <w:tcPr>
            <w:tcW w:w="606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Total stockholders' equity</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138,285</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137,463</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$163,784</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$162,231</w:t>
            </w:r>
          </w:p>
        </w:tc>
        <w:tc>
          <w:tcPr>
            <w:tcW w:w="0" w:type="dxa"/>
            <w:vAlign w:val="bottom"/>
          </w:tcPr>
          <w:p>
            <w:pPr>
              <w:spacing w:after="0"/>
              <w:rPr>
                <w:sz w:val="1"/>
                <w:szCs w:val="1"/>
                <w:color w:val="auto"/>
              </w:rPr>
            </w:pPr>
          </w:p>
        </w:tc>
      </w:tr>
      <w:tr>
        <w:trPr>
          <w:trHeight w:val="296"/>
        </w:trPr>
        <w:tc>
          <w:tcPr>
            <w:tcW w:w="6060" w:type="dxa"/>
            <w:vAlign w:val="bottom"/>
          </w:tcPr>
          <w:p>
            <w:pPr>
              <w:spacing w:after="0"/>
              <w:rPr>
                <w:sz w:val="24"/>
                <w:szCs w:val="24"/>
                <w:color w:val="auto"/>
              </w:rPr>
            </w:pP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285" w:right="1440" w:bottom="4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85" w:right="1440" w:bottom="411"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INCOME</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779"/>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7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THREE MONTHS ENDED MARCH 31,</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1999</w:t>
            </w:r>
          </w:p>
        </w:tc>
        <w:tc>
          <w:tcPr>
            <w:tcW w:w="6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1998</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232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32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$29,526</w:t>
            </w: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$56,691</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1160" w:type="dxa"/>
            <w:vAlign w:val="bottom"/>
          </w:tcPr>
          <w:p>
            <w:pPr>
              <w:spacing w:after="0"/>
              <w:rPr>
                <w:sz w:val="17"/>
                <w:szCs w:val="17"/>
                <w:color w:val="auto"/>
              </w:rPr>
            </w:pPr>
          </w:p>
        </w:tc>
        <w:tc>
          <w:tcPr>
            <w:tcW w:w="11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w w:val="92"/>
              </w:rPr>
              <w:t>19,164</w:t>
            </w:r>
          </w:p>
        </w:tc>
        <w:tc>
          <w:tcPr>
            <w:tcW w:w="620" w:type="dxa"/>
            <w:vAlign w:val="bottom"/>
          </w:tcPr>
          <w:p>
            <w:pPr>
              <w:spacing w:after="0"/>
              <w:rPr>
                <w:sz w:val="17"/>
                <w:szCs w:val="17"/>
                <w:color w:val="auto"/>
              </w:rPr>
            </w:pPr>
          </w:p>
        </w:tc>
        <w:tc>
          <w:tcPr>
            <w:tcW w:w="8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5"/>
              </w:rPr>
              <w:t>33,367</w:t>
            </w:r>
          </w:p>
        </w:tc>
        <w:tc>
          <w:tcPr>
            <w:tcW w:w="0" w:type="dxa"/>
            <w:vAlign w:val="bottom"/>
          </w:tcPr>
          <w:p>
            <w:pPr>
              <w:spacing w:after="0"/>
              <w:rPr>
                <w:sz w:val="1"/>
                <w:szCs w:val="1"/>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sales</w:t>
            </w:r>
          </w:p>
        </w:tc>
        <w:tc>
          <w:tcPr>
            <w:tcW w:w="1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1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4,297</w:t>
            </w:r>
          </w:p>
        </w:tc>
        <w:tc>
          <w:tcPr>
            <w:tcW w:w="6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5,401</w:t>
            </w:r>
          </w:p>
        </w:tc>
        <w:tc>
          <w:tcPr>
            <w:tcW w:w="0" w:type="dxa"/>
            <w:vAlign w:val="bottom"/>
          </w:tcPr>
          <w:p>
            <w:pPr>
              <w:spacing w:after="0"/>
              <w:rPr>
                <w:sz w:val="1"/>
                <w:szCs w:val="1"/>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1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5,087</w:t>
            </w:r>
          </w:p>
        </w:tc>
        <w:tc>
          <w:tcPr>
            <w:tcW w:w="6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6,176</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23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28,548</w:t>
            </w:r>
          </w:p>
        </w:tc>
        <w:tc>
          <w:tcPr>
            <w:tcW w:w="6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44,944</w:t>
            </w:r>
          </w:p>
        </w:tc>
        <w:tc>
          <w:tcPr>
            <w:tcW w:w="0" w:type="dxa"/>
            <w:vAlign w:val="bottom"/>
          </w:tcPr>
          <w:p>
            <w:pPr>
              <w:spacing w:after="0"/>
              <w:rPr>
                <w:sz w:val="1"/>
                <w:szCs w:val="1"/>
                <w:color w:val="auto"/>
              </w:rPr>
            </w:pPr>
          </w:p>
        </w:tc>
      </w:tr>
      <w:tr>
        <w:trPr>
          <w:trHeight w:val="203"/>
        </w:trPr>
        <w:tc>
          <w:tcPr>
            <w:tcW w:w="4860" w:type="dxa"/>
            <w:vAlign w:val="bottom"/>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23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978</w:t>
            </w:r>
          </w:p>
        </w:tc>
        <w:tc>
          <w:tcPr>
            <w:tcW w:w="6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11,747</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1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1,113</w:t>
            </w:r>
          </w:p>
        </w:tc>
        <w:tc>
          <w:tcPr>
            <w:tcW w:w="6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769</w:t>
            </w:r>
          </w:p>
        </w:tc>
        <w:tc>
          <w:tcPr>
            <w:tcW w:w="0" w:type="dxa"/>
            <w:vAlign w:val="bottom"/>
          </w:tcPr>
          <w:p>
            <w:pPr>
              <w:spacing w:after="0"/>
              <w:rPr>
                <w:sz w:val="1"/>
                <w:szCs w:val="1"/>
                <w:color w:val="auto"/>
              </w:rPr>
            </w:pPr>
          </w:p>
        </w:tc>
      </w:tr>
      <w:tr>
        <w:trPr>
          <w:trHeight w:val="203"/>
        </w:trPr>
        <w:tc>
          <w:tcPr>
            <w:tcW w:w="486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23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2,091</w:t>
            </w:r>
          </w:p>
        </w:tc>
        <w:tc>
          <w:tcPr>
            <w:tcW w:w="6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12,516</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1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700</w:t>
            </w:r>
          </w:p>
        </w:tc>
        <w:tc>
          <w:tcPr>
            <w:tcW w:w="6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4,300</w:t>
            </w:r>
          </w:p>
        </w:tc>
        <w:tc>
          <w:tcPr>
            <w:tcW w:w="0" w:type="dxa"/>
            <w:vAlign w:val="bottom"/>
          </w:tcPr>
          <w:p>
            <w:pPr>
              <w:spacing w:after="0"/>
              <w:rPr>
                <w:sz w:val="1"/>
                <w:szCs w:val="1"/>
                <w:color w:val="auto"/>
              </w:rPr>
            </w:pPr>
          </w:p>
        </w:tc>
      </w:tr>
      <w:tr>
        <w:trPr>
          <w:trHeight w:val="203"/>
        </w:trPr>
        <w:tc>
          <w:tcPr>
            <w:tcW w:w="486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23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23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$ 1,391</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$ 8,216</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232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.14</w:t>
            </w: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.85</w:t>
            </w:r>
          </w:p>
        </w:tc>
        <w:tc>
          <w:tcPr>
            <w:tcW w:w="0" w:type="dxa"/>
            <w:vAlign w:val="bottom"/>
          </w:tcPr>
          <w:p>
            <w:pPr>
              <w:spacing w:after="0"/>
              <w:rPr>
                <w:sz w:val="1"/>
                <w:szCs w:val="1"/>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Diluted</w:t>
            </w:r>
          </w:p>
        </w:tc>
        <w:tc>
          <w:tcPr>
            <w:tcW w:w="23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232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rPr>
              <w:t>Weighted average shares used in</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computing earnings per share:</w:t>
            </w:r>
          </w:p>
        </w:tc>
        <w:tc>
          <w:tcPr>
            <w:tcW w:w="1160" w:type="dxa"/>
            <w:vAlign w:val="bottom"/>
          </w:tcPr>
          <w:p>
            <w:pPr>
              <w:spacing w:after="0"/>
              <w:rPr>
                <w:sz w:val="17"/>
                <w:szCs w:val="17"/>
                <w:color w:val="auto"/>
              </w:rPr>
            </w:pPr>
          </w:p>
        </w:tc>
        <w:tc>
          <w:tcPr>
            <w:tcW w:w="11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9,807</w:t>
            </w:r>
          </w:p>
        </w:tc>
        <w:tc>
          <w:tcPr>
            <w:tcW w:w="620" w:type="dxa"/>
            <w:vAlign w:val="bottom"/>
          </w:tcPr>
          <w:p>
            <w:pPr>
              <w:spacing w:after="0"/>
              <w:rPr>
                <w:sz w:val="17"/>
                <w:szCs w:val="17"/>
                <w:color w:val="auto"/>
              </w:rPr>
            </w:pPr>
          </w:p>
        </w:tc>
        <w:tc>
          <w:tcPr>
            <w:tcW w:w="8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9,687</w:t>
            </w:r>
          </w:p>
        </w:tc>
        <w:tc>
          <w:tcPr>
            <w:tcW w:w="0" w:type="dxa"/>
            <w:vAlign w:val="bottom"/>
          </w:tcPr>
          <w:p>
            <w:pPr>
              <w:spacing w:after="0"/>
              <w:rPr>
                <w:sz w:val="1"/>
                <w:szCs w:val="1"/>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1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Diluted</w:t>
            </w:r>
          </w:p>
        </w:tc>
        <w:tc>
          <w:tcPr>
            <w:tcW w:w="23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10,059</w:t>
            </w:r>
          </w:p>
        </w:tc>
        <w:tc>
          <w:tcPr>
            <w:tcW w:w="6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10,067</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232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CASH FLOWS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96"/>
        </w:trPr>
        <w:tc>
          <w:tcPr>
            <w:tcW w:w="6740" w:type="dxa"/>
            <w:vAlign w:val="bottom"/>
          </w:tcPr>
          <w:p>
            <w:pPr>
              <w:ind w:left="3480"/>
              <w:spacing w:after="0"/>
              <w:rPr>
                <w:sz w:val="20"/>
                <w:szCs w:val="20"/>
                <w:color w:val="auto"/>
              </w:rPr>
            </w:pPr>
            <w:r>
              <w:rPr>
                <w:rFonts w:ascii="Courier New" w:cs="Courier New" w:eastAsia="Courier New" w:hAnsi="Courier New"/>
                <w:sz w:val="18"/>
                <w:szCs w:val="18"/>
                <w:color w:val="auto"/>
              </w:rPr>
              <w:t>(in thousands)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7"/>
        </w:trPr>
        <w:tc>
          <w:tcPr>
            <w:tcW w:w="6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4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740" w:type="dxa"/>
            <w:vAlign w:val="bottom"/>
          </w:tcPr>
          <w:p>
            <w:pPr>
              <w:spacing w:after="0"/>
              <w:rPr>
                <w:sz w:val="24"/>
                <w:szCs w:val="24"/>
                <w:color w:val="auto"/>
              </w:rPr>
            </w:pPr>
          </w:p>
        </w:tc>
        <w:tc>
          <w:tcPr>
            <w:tcW w:w="160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4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1,391</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8,216</w:t>
            </w:r>
          </w:p>
        </w:tc>
        <w:tc>
          <w:tcPr>
            <w:tcW w:w="0" w:type="dxa"/>
            <w:vAlign w:val="bottom"/>
          </w:tcPr>
          <w:p>
            <w:pPr>
              <w:spacing w:after="0"/>
              <w:rPr>
                <w:sz w:val="1"/>
                <w:szCs w:val="1"/>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4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440" w:type="dxa"/>
            <w:vAlign w:val="bottom"/>
          </w:tcPr>
          <w:p>
            <w:pPr>
              <w:spacing w:after="0"/>
              <w:rPr>
                <w:sz w:val="17"/>
                <w:szCs w:val="17"/>
                <w:color w:val="auto"/>
              </w:rPr>
            </w:pP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671</w:t>
            </w:r>
          </w:p>
        </w:tc>
        <w:tc>
          <w:tcPr>
            <w:tcW w:w="460" w:type="dxa"/>
            <w:vAlign w:val="bottom"/>
          </w:tcPr>
          <w:p>
            <w:pPr>
              <w:spacing w:after="0"/>
              <w:rPr>
                <w:sz w:val="17"/>
                <w:szCs w:val="17"/>
                <w:color w:val="auto"/>
              </w:rPr>
            </w:pPr>
          </w:p>
        </w:tc>
        <w:tc>
          <w:tcPr>
            <w:tcW w:w="8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561</w:t>
            </w:r>
          </w:p>
        </w:tc>
        <w:tc>
          <w:tcPr>
            <w:tcW w:w="0" w:type="dxa"/>
            <w:vAlign w:val="bottom"/>
          </w:tcPr>
          <w:p>
            <w:pPr>
              <w:spacing w:after="0"/>
              <w:rPr>
                <w:sz w:val="1"/>
                <w:szCs w:val="1"/>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Purchase consideration to be paid with stock</w:t>
            </w:r>
          </w:p>
        </w:tc>
        <w:tc>
          <w:tcPr>
            <w:tcW w:w="440" w:type="dxa"/>
            <w:vAlign w:val="bottom"/>
          </w:tcPr>
          <w:p>
            <w:pPr>
              <w:spacing w:after="0"/>
              <w:rPr>
                <w:sz w:val="17"/>
                <w:szCs w:val="17"/>
                <w:color w:val="auto"/>
              </w:rPr>
            </w:pP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286</w:t>
            </w:r>
          </w:p>
        </w:tc>
        <w:tc>
          <w:tcPr>
            <w:tcW w:w="0" w:type="dxa"/>
            <w:vAlign w:val="bottom"/>
          </w:tcPr>
          <w:p>
            <w:pPr>
              <w:spacing w:after="0"/>
              <w:rPr>
                <w:sz w:val="1"/>
                <w:szCs w:val="1"/>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accrued retiree medical benefits</w:t>
            </w:r>
          </w:p>
        </w:tc>
        <w:tc>
          <w:tcPr>
            <w:tcW w:w="440" w:type="dxa"/>
            <w:vAlign w:val="bottom"/>
          </w:tcPr>
          <w:p>
            <w:pPr>
              <w:spacing w:after="0"/>
              <w:rPr>
                <w:sz w:val="17"/>
                <w:szCs w:val="17"/>
                <w:color w:val="auto"/>
              </w:rPr>
            </w:pP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w:t>
            </w:r>
          </w:p>
        </w:tc>
        <w:tc>
          <w:tcPr>
            <w:tcW w:w="4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440" w:type="dxa"/>
            <w:vAlign w:val="bottom"/>
          </w:tcPr>
          <w:p>
            <w:pPr>
              <w:spacing w:after="0"/>
              <w:rPr>
                <w:sz w:val="17"/>
                <w:szCs w:val="17"/>
                <w:color w:val="auto"/>
              </w:rPr>
            </w:pP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444</w:t>
            </w:r>
          </w:p>
        </w:tc>
        <w:tc>
          <w:tcPr>
            <w:tcW w:w="4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(3,532)</w:t>
            </w:r>
          </w:p>
        </w:tc>
        <w:tc>
          <w:tcPr>
            <w:tcW w:w="0" w:type="dxa"/>
            <w:vAlign w:val="bottom"/>
          </w:tcPr>
          <w:p>
            <w:pPr>
              <w:spacing w:after="0"/>
              <w:rPr>
                <w:sz w:val="1"/>
                <w:szCs w:val="1"/>
                <w:color w:val="auto"/>
              </w:rPr>
            </w:pP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Inventories</w:t>
            </w:r>
          </w:p>
        </w:tc>
        <w:tc>
          <w:tcPr>
            <w:tcW w:w="4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(2,169)</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(4,448)</w:t>
            </w:r>
          </w:p>
        </w:tc>
        <w:tc>
          <w:tcPr>
            <w:tcW w:w="0" w:type="dxa"/>
            <w:vAlign w:val="bottom"/>
          </w:tcPr>
          <w:p>
            <w:pPr>
              <w:spacing w:after="0"/>
              <w:rPr>
                <w:sz w:val="1"/>
                <w:szCs w:val="1"/>
                <w:color w:val="auto"/>
              </w:rPr>
            </w:pP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440" w:type="dxa"/>
            <w:vAlign w:val="bottom"/>
          </w:tcPr>
          <w:p>
            <w:pPr>
              <w:spacing w:after="0"/>
              <w:rPr>
                <w:sz w:val="17"/>
                <w:szCs w:val="17"/>
                <w:color w:val="auto"/>
              </w:rPr>
            </w:pP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52</w:t>
            </w:r>
          </w:p>
        </w:tc>
        <w:tc>
          <w:tcPr>
            <w:tcW w:w="4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w:t>
            </w:r>
          </w:p>
        </w:tc>
        <w:tc>
          <w:tcPr>
            <w:tcW w:w="0" w:type="dxa"/>
            <w:vAlign w:val="bottom"/>
          </w:tcPr>
          <w:p>
            <w:pPr>
              <w:spacing w:after="0"/>
              <w:rPr>
                <w:sz w:val="1"/>
                <w:szCs w:val="1"/>
                <w:color w:val="auto"/>
              </w:rPr>
            </w:pP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40" w:type="dxa"/>
            <w:vAlign w:val="bottom"/>
          </w:tcPr>
          <w:p>
            <w:pPr>
              <w:spacing w:after="0"/>
              <w:rPr>
                <w:sz w:val="17"/>
                <w:szCs w:val="17"/>
                <w:color w:val="auto"/>
              </w:rPr>
            </w:pP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5,005</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(1,903)</w:t>
            </w:r>
          </w:p>
        </w:tc>
        <w:tc>
          <w:tcPr>
            <w:tcW w:w="0" w:type="dxa"/>
            <w:vAlign w:val="bottom"/>
          </w:tcPr>
          <w:p>
            <w:pPr>
              <w:spacing w:after="0"/>
              <w:rPr>
                <w:sz w:val="1"/>
                <w:szCs w:val="1"/>
                <w:color w:val="auto"/>
              </w:rPr>
            </w:pP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440" w:type="dxa"/>
            <w:vAlign w:val="bottom"/>
          </w:tcPr>
          <w:p>
            <w:pPr>
              <w:spacing w:after="0"/>
              <w:rPr>
                <w:sz w:val="17"/>
                <w:szCs w:val="17"/>
                <w:color w:val="auto"/>
              </w:rPr>
            </w:pP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39</w:t>
            </w:r>
          </w:p>
        </w:tc>
        <w:tc>
          <w:tcPr>
            <w:tcW w:w="4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3,277</w:t>
            </w:r>
          </w:p>
        </w:tc>
        <w:tc>
          <w:tcPr>
            <w:tcW w:w="0" w:type="dxa"/>
            <w:vAlign w:val="bottom"/>
          </w:tcPr>
          <w:p>
            <w:pPr>
              <w:spacing w:after="0"/>
              <w:rPr>
                <w:sz w:val="1"/>
                <w:szCs w:val="1"/>
                <w:color w:val="auto"/>
              </w:rPr>
            </w:pP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4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(4,319)</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(1,903)</w:t>
            </w:r>
          </w:p>
        </w:tc>
        <w:tc>
          <w:tcPr>
            <w:tcW w:w="0" w:type="dxa"/>
            <w:vAlign w:val="bottom"/>
          </w:tcPr>
          <w:p>
            <w:pPr>
              <w:spacing w:after="0"/>
              <w:rPr>
                <w:sz w:val="1"/>
                <w:szCs w:val="1"/>
                <w:color w:val="auto"/>
              </w:rPr>
            </w:pPr>
          </w:p>
        </w:tc>
      </w:tr>
      <w:tr>
        <w:trPr>
          <w:trHeight w:val="203"/>
        </w:trPr>
        <w:tc>
          <w:tcPr>
            <w:tcW w:w="674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provided from operating activities</w:t>
            </w:r>
          </w:p>
        </w:tc>
        <w:tc>
          <w:tcPr>
            <w:tcW w:w="16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7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1,120</w:t>
            </w:r>
          </w:p>
        </w:tc>
        <w:tc>
          <w:tcPr>
            <w:tcW w:w="4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693</w:t>
            </w: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440" w:type="dxa"/>
            <w:vAlign w:val="bottom"/>
          </w:tcPr>
          <w:p>
            <w:pPr>
              <w:spacing w:after="0"/>
              <w:rPr>
                <w:sz w:val="24"/>
                <w:szCs w:val="24"/>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4"/>
              </w:rPr>
              <w:t>(16,163)</w:t>
            </w:r>
          </w:p>
        </w:tc>
        <w:tc>
          <w:tcPr>
            <w:tcW w:w="46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(4,000)</w:t>
            </w:r>
          </w:p>
        </w:tc>
        <w:tc>
          <w:tcPr>
            <w:tcW w:w="0" w:type="dxa"/>
            <w:vAlign w:val="bottom"/>
          </w:tcPr>
          <w:p>
            <w:pPr>
              <w:spacing w:after="0"/>
              <w:rPr>
                <w:sz w:val="1"/>
                <w:szCs w:val="1"/>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440" w:type="dxa"/>
            <w:vAlign w:val="bottom"/>
          </w:tcPr>
          <w:p>
            <w:pPr>
              <w:spacing w:after="0"/>
              <w:rPr>
                <w:sz w:val="17"/>
                <w:szCs w:val="17"/>
                <w:color w:val="auto"/>
              </w:rPr>
            </w:pP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2,000</w:t>
            </w:r>
          </w:p>
        </w:tc>
        <w:tc>
          <w:tcPr>
            <w:tcW w:w="4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12,815</w:t>
            </w:r>
          </w:p>
        </w:tc>
        <w:tc>
          <w:tcPr>
            <w:tcW w:w="0" w:type="dxa"/>
            <w:vAlign w:val="bottom"/>
          </w:tcPr>
          <w:p>
            <w:pPr>
              <w:spacing w:after="0"/>
              <w:rPr>
                <w:sz w:val="1"/>
                <w:szCs w:val="1"/>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plant, equipment and other assets</w:t>
            </w:r>
          </w:p>
        </w:tc>
        <w:tc>
          <w:tcPr>
            <w:tcW w:w="4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w:t>
            </w:r>
          </w:p>
        </w:tc>
        <w:tc>
          <w:tcPr>
            <w:tcW w:w="0" w:type="dxa"/>
            <w:vAlign w:val="bottom"/>
          </w:tcPr>
          <w:p>
            <w:pPr>
              <w:spacing w:after="0"/>
              <w:rPr>
                <w:sz w:val="1"/>
                <w:szCs w:val="1"/>
                <w:color w:val="auto"/>
              </w:rPr>
            </w:pPr>
          </w:p>
        </w:tc>
      </w:tr>
      <w:tr>
        <w:trPr>
          <w:trHeight w:val="203"/>
        </w:trPr>
        <w:tc>
          <w:tcPr>
            <w:tcW w:w="674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provided by (used for) investing activities</w:t>
            </w:r>
          </w:p>
        </w:tc>
        <w:tc>
          <w:tcPr>
            <w:tcW w:w="16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7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(14,423)</w:t>
            </w:r>
          </w:p>
        </w:tc>
        <w:tc>
          <w:tcPr>
            <w:tcW w:w="4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7,976</w:t>
            </w: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40" w:type="dxa"/>
            <w:vAlign w:val="bottom"/>
          </w:tcPr>
          <w:p>
            <w:pPr>
              <w:spacing w:after="0"/>
              <w:rPr>
                <w:sz w:val="24"/>
                <w:szCs w:val="24"/>
                <w:color w:val="auto"/>
              </w:rPr>
            </w:pP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315</w:t>
            </w:r>
          </w:p>
        </w:tc>
        <w:tc>
          <w:tcPr>
            <w:tcW w:w="460" w:type="dxa"/>
            <w:vAlign w:val="bottom"/>
          </w:tcPr>
          <w:p>
            <w:pPr>
              <w:spacing w:after="0"/>
              <w:rPr>
                <w:sz w:val="24"/>
                <w:szCs w:val="24"/>
                <w:color w:val="auto"/>
              </w:rPr>
            </w:pPr>
          </w:p>
        </w:tc>
        <w:tc>
          <w:tcPr>
            <w:tcW w:w="8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1,380</w:t>
            </w:r>
          </w:p>
        </w:tc>
        <w:tc>
          <w:tcPr>
            <w:tcW w:w="0" w:type="dxa"/>
            <w:vAlign w:val="bottom"/>
          </w:tcPr>
          <w:p>
            <w:pPr>
              <w:spacing w:after="0"/>
              <w:rPr>
                <w:sz w:val="1"/>
                <w:szCs w:val="1"/>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dividends</w:t>
            </w:r>
          </w:p>
        </w:tc>
        <w:tc>
          <w:tcPr>
            <w:tcW w:w="4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(884)</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(777)</w:t>
            </w:r>
          </w:p>
        </w:tc>
        <w:tc>
          <w:tcPr>
            <w:tcW w:w="0" w:type="dxa"/>
            <w:vAlign w:val="bottom"/>
          </w:tcPr>
          <w:p>
            <w:pPr>
              <w:spacing w:after="0"/>
              <w:rPr>
                <w:sz w:val="1"/>
                <w:szCs w:val="1"/>
                <w:color w:val="auto"/>
              </w:rPr>
            </w:pPr>
          </w:p>
        </w:tc>
      </w:tr>
      <w:tr>
        <w:trPr>
          <w:trHeight w:val="203"/>
        </w:trPr>
        <w:tc>
          <w:tcPr>
            <w:tcW w:w="674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provided by (used for) financing activities</w:t>
            </w:r>
          </w:p>
        </w:tc>
        <w:tc>
          <w:tcPr>
            <w:tcW w:w="16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(569)</w:t>
            </w:r>
          </w:p>
        </w:tc>
        <w:tc>
          <w:tcPr>
            <w:tcW w:w="4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603</w:t>
            </w:r>
          </w:p>
        </w:tc>
        <w:tc>
          <w:tcPr>
            <w:tcW w:w="0" w:type="dxa"/>
            <w:vAlign w:val="bottom"/>
          </w:tcPr>
          <w:p>
            <w:pPr>
              <w:spacing w:after="0"/>
              <w:rPr>
                <w:sz w:val="1"/>
                <w:szCs w:val="1"/>
                <w:color w:val="auto"/>
              </w:rPr>
            </w:pPr>
          </w:p>
        </w:tc>
      </w:tr>
      <w:tr>
        <w:trPr>
          <w:trHeight w:val="203"/>
        </w:trPr>
        <w:tc>
          <w:tcPr>
            <w:tcW w:w="6740" w:type="dxa"/>
            <w:vAlign w:val="bottom"/>
            <w:vMerge w:val="restart"/>
          </w:tcPr>
          <w:p>
            <w:pPr>
              <w:spacing w:after="0"/>
              <w:rPr>
                <w:sz w:val="20"/>
                <w:szCs w:val="20"/>
                <w:color w:val="auto"/>
              </w:rPr>
            </w:pPr>
            <w:r>
              <w:rPr>
                <w:rFonts w:ascii="Courier New" w:cs="Courier New" w:eastAsia="Courier New" w:hAnsi="Courier New"/>
                <w:sz w:val="18"/>
                <w:szCs w:val="18"/>
                <w:color w:val="auto"/>
              </w:rPr>
              <w:t>Net increase (decrease) in cash and cash equivalents</w:t>
            </w:r>
          </w:p>
        </w:tc>
        <w:tc>
          <w:tcPr>
            <w:tcW w:w="16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(13,872)</w:t>
            </w:r>
          </w:p>
        </w:tc>
        <w:tc>
          <w:tcPr>
            <w:tcW w:w="4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9,272</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440" w:type="dxa"/>
            <w:vAlign w:val="bottom"/>
          </w:tcPr>
          <w:p>
            <w:pPr>
              <w:spacing w:after="0"/>
              <w:rPr>
                <w:sz w:val="17"/>
                <w:szCs w:val="17"/>
                <w:color w:val="auto"/>
              </w:rPr>
            </w:pP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74,446</w:t>
            </w:r>
          </w:p>
        </w:tc>
        <w:tc>
          <w:tcPr>
            <w:tcW w:w="4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39,736</w:t>
            </w:r>
          </w:p>
        </w:tc>
        <w:tc>
          <w:tcPr>
            <w:tcW w:w="0" w:type="dxa"/>
            <w:vAlign w:val="bottom"/>
          </w:tcPr>
          <w:p>
            <w:pPr>
              <w:spacing w:after="0"/>
              <w:rPr>
                <w:sz w:val="1"/>
                <w:szCs w:val="1"/>
                <w:color w:val="auto"/>
              </w:rPr>
            </w:pPr>
          </w:p>
        </w:tc>
      </w:tr>
      <w:tr>
        <w:trPr>
          <w:trHeight w:val="203"/>
        </w:trPr>
        <w:tc>
          <w:tcPr>
            <w:tcW w:w="674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at end of  period</w:t>
            </w:r>
          </w:p>
        </w:tc>
        <w:tc>
          <w:tcPr>
            <w:tcW w:w="16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6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$ 60,574</w:t>
            </w: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$ 49,008</w:t>
            </w:r>
          </w:p>
        </w:tc>
        <w:tc>
          <w:tcPr>
            <w:tcW w:w="0" w:type="dxa"/>
            <w:vAlign w:val="bottom"/>
          </w:tcPr>
          <w:p>
            <w:pPr>
              <w:spacing w:after="0"/>
              <w:rPr>
                <w:sz w:val="1"/>
                <w:szCs w:val="1"/>
                <w:color w:val="auto"/>
              </w:rPr>
            </w:pPr>
          </w:p>
        </w:tc>
      </w:tr>
      <w:tr>
        <w:trPr>
          <w:trHeight w:val="296"/>
        </w:trPr>
        <w:tc>
          <w:tcPr>
            <w:tcW w:w="6740" w:type="dxa"/>
            <w:vAlign w:val="bottom"/>
          </w:tcPr>
          <w:p>
            <w:pPr>
              <w:spacing w:after="0"/>
              <w:rPr>
                <w:sz w:val="24"/>
                <w:szCs w:val="24"/>
                <w:color w:val="auto"/>
              </w:rPr>
            </w:pPr>
          </w:p>
        </w:tc>
        <w:tc>
          <w:tcPr>
            <w:tcW w:w="160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4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661</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1,228</w:t>
            </w:r>
          </w:p>
        </w:tc>
        <w:tc>
          <w:tcPr>
            <w:tcW w:w="0" w:type="dxa"/>
            <w:vAlign w:val="bottom"/>
          </w:tcPr>
          <w:p>
            <w:pPr>
              <w:spacing w:after="0"/>
              <w:rPr>
                <w:sz w:val="1"/>
                <w:szCs w:val="1"/>
                <w:color w:val="auto"/>
              </w:rPr>
            </w:pPr>
          </w:p>
        </w:tc>
      </w:tr>
      <w:tr>
        <w:trPr>
          <w:trHeight w:val="296"/>
        </w:trPr>
        <w:tc>
          <w:tcPr>
            <w:tcW w:w="6740" w:type="dxa"/>
            <w:vAlign w:val="bottom"/>
          </w:tcPr>
          <w:p>
            <w:pPr>
              <w:ind w:left="640"/>
              <w:spacing w:after="0"/>
              <w:rPr>
                <w:sz w:val="20"/>
                <w:szCs w:val="20"/>
                <w:color w:val="auto"/>
              </w:rPr>
            </w:pPr>
            <w:r>
              <w:rPr>
                <w:rFonts w:ascii="Courier New" w:cs="Courier New" w:eastAsia="Courier New" w:hAnsi="Courier New"/>
                <w:sz w:val="18"/>
                <w:szCs w:val="18"/>
                <w:color w:val="auto"/>
              </w:rPr>
              <w:t>Income taxes</w:t>
            </w:r>
          </w:p>
        </w:tc>
        <w:tc>
          <w:tcPr>
            <w:tcW w:w="4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1779"/>
        <w:spacing w:after="0"/>
        <w:rPr>
          <w:sz w:val="20"/>
          <w:szCs w:val="20"/>
          <w:color w:val="auto"/>
        </w:rPr>
      </w:pPr>
      <w:r>
        <w:rPr>
          <w:rFonts w:ascii="Courier New" w:cs="Courier New" w:eastAsia="Courier New" w:hAnsi="Courier New"/>
          <w:sz w:val="18"/>
          <w:szCs w:val="18"/>
          <w:color w:val="auto"/>
        </w:rPr>
        <w:t>MARCH 31, 1999</w:t>
      </w:r>
    </w:p>
    <w:p>
      <w:pPr>
        <w:spacing w:after="0" w:line="200" w:lineRule="exact"/>
        <w:rPr>
          <w:sz w:val="20"/>
          <w:szCs w:val="20"/>
          <w:color w:val="auto"/>
        </w:rPr>
      </w:pPr>
    </w:p>
    <w:p>
      <w:pPr>
        <w:spacing w:after="0" w:line="37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1 -</w:t>
      </w:r>
      <w:r>
        <w:rPr>
          <w:sz w:val="20"/>
          <w:szCs w:val="20"/>
          <w:color w:val="auto"/>
        </w:rPr>
        <w:tab/>
      </w:r>
      <w:r>
        <w:rPr>
          <w:rFonts w:ascii="Courier New" w:cs="Courier New" w:eastAsia="Courier New" w:hAnsi="Courier New"/>
          <w:sz w:val="16"/>
          <w:szCs w:val="16"/>
          <w:color w:val="auto"/>
        </w:rPr>
        <w:t>BASIS OF PRESENTATION</w:t>
      </w:r>
    </w:p>
    <w:p>
      <w:pPr>
        <w:spacing w:after="0" w:line="31" w:lineRule="exact"/>
        <w:rPr>
          <w:sz w:val="20"/>
          <w:szCs w:val="20"/>
          <w:color w:val="auto"/>
        </w:rPr>
      </w:pPr>
    </w:p>
    <w:p>
      <w:pPr>
        <w:ind w:left="640" w:right="1779"/>
        <w:spacing w:after="0" w:line="244" w:lineRule="auto"/>
        <w:rPr>
          <w:sz w:val="20"/>
          <w:szCs w:val="20"/>
          <w:color w:val="auto"/>
        </w:rPr>
      </w:pPr>
      <w:r>
        <w:rPr>
          <w:rFonts w:ascii="Courier New" w:cs="Courier New" w:eastAsia="Courier New" w:hAnsi="Courier New"/>
          <w:sz w:val="18"/>
          <w:szCs w:val="18"/>
          <w:color w:val="auto"/>
        </w:rPr>
        <w:t>The accompanying interim financial statements are unaudited but include all adjustments (consisting of normal recurring adjustments) which Cohu, Inc. (the "Company") considers necessary for a fair statement of the results for the period. The operating results for the three months ended March 31, 1999 are not necessarily indicative of the operating results for the entire year or any future period. These financial statements should be read in conjunction with the consolidated financial statements incorporated by reference in the Company's Annual Report on Form 10-K for the year ended December 31, 1998 and management's discussion and analysis of financial condition and results of operations included elsewhere herein. Certain amounts in the December 31, 1998 consolidated balance sheet have been reclassified to conform to the March 31, 1999 presentation.</w:t>
      </w:r>
    </w:p>
    <w:p>
      <w:pPr>
        <w:spacing w:after="0" w:line="31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2 -</w:t>
      </w:r>
      <w:r>
        <w:rPr>
          <w:sz w:val="20"/>
          <w:szCs w:val="20"/>
          <w:color w:val="auto"/>
        </w:rPr>
        <w:tab/>
      </w:r>
      <w:r>
        <w:rPr>
          <w:rFonts w:ascii="Courier New" w:cs="Courier New" w:eastAsia="Courier New" w:hAnsi="Courier New"/>
          <w:sz w:val="16"/>
          <w:szCs w:val="16"/>
          <w:color w:val="auto"/>
        </w:rPr>
        <w:t>EARNINGS PER SHARE</w:t>
      </w:r>
    </w:p>
    <w:p>
      <w:pPr>
        <w:spacing w:after="0" w:line="31" w:lineRule="exact"/>
        <w:rPr>
          <w:sz w:val="20"/>
          <w:szCs w:val="20"/>
          <w:color w:val="auto"/>
        </w:rPr>
      </w:pPr>
    </w:p>
    <w:p>
      <w:pPr>
        <w:ind w:left="640" w:right="1779"/>
        <w:spacing w:after="0" w:line="276" w:lineRule="auto"/>
        <w:rPr>
          <w:sz w:val="20"/>
          <w:szCs w:val="20"/>
          <w:color w:val="auto"/>
        </w:rPr>
      </w:pPr>
      <w:r>
        <w:rPr>
          <w:rFonts w:ascii="Courier New" w:cs="Courier New" w:eastAsia="Courier New" w:hAnsi="Courier New"/>
          <w:sz w:val="16"/>
          <w:szCs w:val="16"/>
          <w:color w:val="auto"/>
        </w:rPr>
        <w:t>Earnings per share are computed in accordance with Financial Accounting Standards Board ("FASB") Statement No. 128, Earnings per Share. Basic earnings per share are computed using the weighted average number of common shares outstanding during each period. Diluted earnings per share include the dilutive effect of common shares potentially issuable upon the exercise of stock options. For purposes of computing diluted earnings per share, weighted average common share equivalents do not include stock options with an exercise price that exceeds the average fair market value of the Company's common stock for the period. For the three months ended March 31, 1999, options to purchase approximately 111,000 shares of common stock at an average price of $33.93 were excluded from the computation, and for the three months ended March 31, 1998, options to purchase approximately 24,000 shares of common stock at an average price of $43.50 were excluded from the computation. The following table reconciles the denominators used in computing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1999</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5000" w:type="dxa"/>
            <w:vAlign w:val="bottom"/>
          </w:tcPr>
          <w:p>
            <w:pPr>
              <w:spacing w:after="0"/>
              <w:rPr>
                <w:sz w:val="17"/>
                <w:szCs w:val="17"/>
                <w:color w:val="auto"/>
              </w:rPr>
            </w:pP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96"/>
        </w:trPr>
        <w:tc>
          <w:tcPr>
            <w:tcW w:w="5000" w:type="dxa"/>
            <w:vAlign w:val="bottom"/>
          </w:tcPr>
          <w:p>
            <w:pPr>
              <w:spacing w:after="0"/>
              <w:rPr>
                <w:sz w:val="24"/>
                <w:szCs w:val="24"/>
                <w:color w:val="auto"/>
              </w:rPr>
            </w:pPr>
          </w:p>
        </w:tc>
        <w:tc>
          <w:tcPr>
            <w:tcW w:w="26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(in thousands)</w:t>
            </w:r>
          </w:p>
        </w:tc>
      </w:tr>
      <w:tr>
        <w:trPr>
          <w:trHeight w:val="311"/>
        </w:trPr>
        <w:tc>
          <w:tcPr>
            <w:tcW w:w="500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9,807</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9,687</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stock options</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w:t>
            </w:r>
          </w:p>
        </w:tc>
      </w:tr>
      <w:tr>
        <w:trPr>
          <w:trHeight w:val="203"/>
        </w:trPr>
        <w:tc>
          <w:tcPr>
            <w:tcW w:w="5000" w:type="dxa"/>
            <w:vAlign w:val="bottom"/>
          </w:tcPr>
          <w:p>
            <w:pPr>
              <w:spacing w:after="0"/>
              <w:rPr>
                <w:sz w:val="17"/>
                <w:szCs w:val="17"/>
                <w:color w:val="auto"/>
              </w:rPr>
            </w:pP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rPr>
                <w:sz w:val="17"/>
                <w:szCs w:val="17"/>
                <w:color w:val="auto"/>
              </w:rPr>
            </w:pP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10,059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10,067</w:t>
            </w:r>
          </w:p>
        </w:tc>
      </w:tr>
      <w:tr>
        <w:trPr>
          <w:trHeight w:val="296"/>
        </w:trPr>
        <w:tc>
          <w:tcPr>
            <w:tcW w:w="5000" w:type="dxa"/>
            <w:vAlign w:val="bottom"/>
          </w:tcPr>
          <w:p>
            <w:pPr>
              <w:spacing w:after="0"/>
              <w:rPr>
                <w:sz w:val="24"/>
                <w:szCs w:val="24"/>
                <w:color w:val="auto"/>
              </w:rPr>
            </w:pP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1779"/>
        <w:spacing w:after="0"/>
        <w:rPr>
          <w:sz w:val="20"/>
          <w:szCs w:val="20"/>
          <w:color w:val="auto"/>
        </w:rPr>
      </w:pPr>
      <w:r>
        <w:rPr>
          <w:rFonts w:ascii="Courier New" w:cs="Courier New" w:eastAsia="Courier New" w:hAnsi="Courier New"/>
          <w:sz w:val="18"/>
          <w:szCs w:val="18"/>
          <w:color w:val="auto"/>
        </w:rPr>
        <w:t>MARCH 31, 1999</w:t>
      </w:r>
    </w:p>
    <w:p>
      <w:pPr>
        <w:spacing w:after="0" w:line="200" w:lineRule="exact"/>
        <w:rPr>
          <w:sz w:val="20"/>
          <w:szCs w:val="20"/>
          <w:color w:val="auto"/>
        </w:rPr>
      </w:pPr>
    </w:p>
    <w:p>
      <w:pPr>
        <w:spacing w:after="0" w:line="37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3 -</w:t>
      </w:r>
      <w:r>
        <w:rPr>
          <w:sz w:val="20"/>
          <w:szCs w:val="20"/>
          <w:color w:val="auto"/>
        </w:rPr>
        <w:tab/>
      </w:r>
      <w:r>
        <w:rPr>
          <w:rFonts w:ascii="Courier New" w:cs="Courier New" w:eastAsia="Courier New" w:hAnsi="Courier New"/>
          <w:sz w:val="16"/>
          <w:szCs w:val="16"/>
          <w:color w:val="auto"/>
        </w:rPr>
        <w:t>SEGMENT AND RELATED INFORMATION</w:t>
      </w:r>
    </w:p>
    <w:p>
      <w:pPr>
        <w:spacing w:after="0" w:line="31" w:lineRule="exact"/>
        <w:rPr>
          <w:sz w:val="20"/>
          <w:szCs w:val="20"/>
          <w:color w:val="auto"/>
        </w:rPr>
      </w:pPr>
    </w:p>
    <w:p>
      <w:pPr>
        <w:ind w:left="640" w:right="1779"/>
        <w:spacing w:after="0" w:line="273" w:lineRule="auto"/>
        <w:rPr>
          <w:sz w:val="20"/>
          <w:szCs w:val="20"/>
          <w:color w:val="auto"/>
        </w:rPr>
      </w:pPr>
      <w:r>
        <w:rPr>
          <w:rFonts w:ascii="Courier New" w:cs="Courier New" w:eastAsia="Courier New" w:hAnsi="Courier New"/>
          <w:sz w:val="18"/>
          <w:szCs w:val="18"/>
          <w:color w:val="auto"/>
        </w:rPr>
        <w:t>The following information is presented pursuant to FASB Statement No. 131, Disclosures about Segments of an Enterprise and Related Information. Intersegment sales were not significant in either period.</w:t>
      </w:r>
    </w:p>
    <w:p>
      <w:pPr>
        <w:spacing w:after="0" w:line="200" w:lineRule="exact"/>
        <w:rPr>
          <w:sz w:val="20"/>
          <w:szCs w:val="20"/>
          <w:color w:val="auto"/>
        </w:rPr>
      </w:pPr>
    </w:p>
    <w:p>
      <w:pPr>
        <w:spacing w:after="0" w:line="28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Three months ended March 31,</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6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1998</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 thousands)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22,374</w:t>
            </w:r>
          </w:p>
        </w:tc>
        <w:tc>
          <w:tcPr>
            <w:tcW w:w="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2"/>
              </w:rPr>
              <w:t>47,613</w:t>
            </w: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5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4,229</w:t>
            </w:r>
          </w:p>
        </w:tc>
        <w:tc>
          <w:tcPr>
            <w:tcW w:w="6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5,396</w:t>
            </w:r>
          </w:p>
        </w:tc>
        <w:tc>
          <w:tcPr>
            <w:tcW w:w="0" w:type="dxa"/>
            <w:vAlign w:val="bottom"/>
          </w:tcPr>
          <w:p>
            <w:pPr>
              <w:spacing w:after="0"/>
              <w:rPr>
                <w:sz w:val="1"/>
                <w:szCs w:val="1"/>
                <w:color w:val="auto"/>
              </w:rPr>
            </w:pPr>
          </w:p>
        </w:tc>
      </w:tr>
      <w:tr>
        <w:trPr>
          <w:trHeight w:val="203"/>
        </w:trPr>
        <w:tc>
          <w:tcPr>
            <w:tcW w:w="500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Net sales for reportable segments</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26,603</w:t>
            </w:r>
          </w:p>
        </w:tc>
        <w:tc>
          <w:tcPr>
            <w:tcW w:w="6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53,009</w:t>
            </w: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 other</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2,923</w:t>
            </w:r>
          </w:p>
        </w:tc>
        <w:tc>
          <w:tcPr>
            <w:tcW w:w="6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3,682</w:t>
            </w:r>
          </w:p>
        </w:tc>
        <w:tc>
          <w:tcPr>
            <w:tcW w:w="0" w:type="dxa"/>
            <w:vAlign w:val="bottom"/>
          </w:tcPr>
          <w:p>
            <w:pPr>
              <w:spacing w:after="0"/>
              <w:rPr>
                <w:sz w:val="1"/>
                <w:szCs w:val="1"/>
                <w:color w:val="auto"/>
              </w:rPr>
            </w:pPr>
          </w:p>
        </w:tc>
      </w:tr>
      <w:tr>
        <w:trPr>
          <w:trHeight w:val="203"/>
        </w:trPr>
        <w:tc>
          <w:tcPr>
            <w:tcW w:w="5000" w:type="dxa"/>
            <w:vAlign w:val="bottom"/>
            <w:vMerge w:val="restart"/>
          </w:tcPr>
          <w:p>
            <w:pPr>
              <w:spacing w:after="0"/>
              <w:rPr>
                <w:sz w:val="20"/>
                <w:szCs w:val="20"/>
                <w:color w:val="auto"/>
              </w:rPr>
            </w:pPr>
            <w:r>
              <w:rPr>
                <w:rFonts w:ascii="Courier New" w:cs="Courier New" w:eastAsia="Courier New" w:hAnsi="Courier New"/>
                <w:sz w:val="18"/>
                <w:szCs w:val="18"/>
                <w:color w:val="auto"/>
              </w:rPr>
              <w:t>Total consolidated net sales</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00" w:type="dxa"/>
            <w:vAlign w:val="bottom"/>
            <w:vMerge w:val="continue"/>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29,526</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56,691</w:t>
            </w:r>
          </w:p>
        </w:tc>
        <w:tc>
          <w:tcPr>
            <w:tcW w:w="0" w:type="dxa"/>
            <w:vAlign w:val="bottom"/>
          </w:tcPr>
          <w:p>
            <w:pPr>
              <w:spacing w:after="0"/>
              <w:rPr>
                <w:sz w:val="1"/>
                <w:szCs w:val="1"/>
                <w:color w:val="auto"/>
              </w:rPr>
            </w:pPr>
          </w:p>
        </w:tc>
      </w:tr>
      <w:tr>
        <w:trPr>
          <w:trHeight w:val="296"/>
        </w:trPr>
        <w:tc>
          <w:tcPr>
            <w:tcW w:w="500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profit (loss):</w:t>
            </w:r>
          </w:p>
        </w:tc>
        <w:tc>
          <w:tcPr>
            <w:tcW w:w="17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000" w:type="dxa"/>
            <w:vAlign w:val="bottom"/>
            <w:vMerge w:val="continue"/>
          </w:tcPr>
          <w:p>
            <w:pPr>
              <w:spacing w:after="0"/>
              <w:rPr>
                <w:sz w:val="9"/>
                <w:szCs w:val="9"/>
                <w:color w:val="auto"/>
              </w:rPr>
            </w:pPr>
          </w:p>
        </w:tc>
        <w:tc>
          <w:tcPr>
            <w:tcW w:w="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1,458</w:t>
            </w:r>
          </w:p>
        </w:tc>
        <w:tc>
          <w:tcPr>
            <w:tcW w:w="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2"/>
              </w:rPr>
              <w:t>11,205</w:t>
            </w: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5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174</w:t>
            </w:r>
          </w:p>
        </w:tc>
        <w:tc>
          <w:tcPr>
            <w:tcW w:w="6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608</w:t>
            </w:r>
          </w:p>
        </w:tc>
        <w:tc>
          <w:tcPr>
            <w:tcW w:w="0" w:type="dxa"/>
            <w:vAlign w:val="bottom"/>
          </w:tcPr>
          <w:p>
            <w:pPr>
              <w:spacing w:after="0"/>
              <w:rPr>
                <w:sz w:val="1"/>
                <w:szCs w:val="1"/>
                <w:color w:val="auto"/>
              </w:rPr>
            </w:pPr>
          </w:p>
        </w:tc>
      </w:tr>
      <w:tr>
        <w:trPr>
          <w:trHeight w:val="203"/>
        </w:trPr>
        <w:tc>
          <w:tcPr>
            <w:tcW w:w="500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Operating profit for reportable segments</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1,632</w:t>
            </w:r>
          </w:p>
        </w:tc>
        <w:tc>
          <w:tcPr>
            <w:tcW w:w="6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11,813</w:t>
            </w:r>
          </w:p>
        </w:tc>
        <w:tc>
          <w:tcPr>
            <w:tcW w:w="0" w:type="dxa"/>
            <w:vAlign w:val="bottom"/>
          </w:tcPr>
          <w:p>
            <w:pPr>
              <w:spacing w:after="0"/>
              <w:rPr>
                <w:sz w:val="1"/>
                <w:szCs w:val="1"/>
                <w:color w:val="auto"/>
              </w:rPr>
            </w:pP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w:t>
            </w:r>
          </w:p>
        </w:tc>
        <w:tc>
          <w:tcPr>
            <w:tcW w:w="6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232</w:t>
            </w:r>
          </w:p>
        </w:tc>
        <w:tc>
          <w:tcPr>
            <w:tcW w:w="0" w:type="dxa"/>
            <w:vAlign w:val="bottom"/>
          </w:tcPr>
          <w:p>
            <w:pPr>
              <w:spacing w:after="0"/>
              <w:rPr>
                <w:sz w:val="1"/>
                <w:szCs w:val="1"/>
                <w:color w:val="auto"/>
              </w:rPr>
            </w:pPr>
          </w:p>
        </w:tc>
      </w:tr>
      <w:tr>
        <w:trPr>
          <w:trHeight w:val="203"/>
        </w:trPr>
        <w:tc>
          <w:tcPr>
            <w:tcW w:w="5000" w:type="dxa"/>
            <w:vAlign w:val="bottom"/>
            <w:vMerge w:val="restart"/>
          </w:tcPr>
          <w:p>
            <w:pPr>
              <w:spacing w:after="0"/>
              <w:rPr>
                <w:sz w:val="20"/>
                <w:szCs w:val="20"/>
                <w:color w:val="auto"/>
              </w:rPr>
            </w:pPr>
            <w:r>
              <w:rPr>
                <w:rFonts w:ascii="Courier New" w:cs="Courier New" w:eastAsia="Courier New" w:hAnsi="Courier New"/>
                <w:sz w:val="18"/>
                <w:szCs w:val="18"/>
                <w:color w:val="auto"/>
              </w:rPr>
              <w:t>Total consolidated operating profit</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1,370</w:t>
            </w:r>
          </w:p>
        </w:tc>
        <w:tc>
          <w:tcPr>
            <w:tcW w:w="6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12,045</w:t>
            </w:r>
          </w:p>
        </w:tc>
        <w:tc>
          <w:tcPr>
            <w:tcW w:w="0" w:type="dxa"/>
            <w:vAlign w:val="bottom"/>
          </w:tcPr>
          <w:p>
            <w:pPr>
              <w:spacing w:after="0"/>
              <w:rPr>
                <w:sz w:val="1"/>
                <w:szCs w:val="1"/>
                <w:color w:val="auto"/>
              </w:rPr>
            </w:pP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unallocated amounts:</w:t>
            </w:r>
          </w:p>
        </w:tc>
        <w:tc>
          <w:tcPr>
            <w:tcW w:w="580" w:type="dxa"/>
            <w:vAlign w:val="bottom"/>
          </w:tcPr>
          <w:p>
            <w:pPr>
              <w:spacing w:after="0"/>
              <w:rPr>
                <w:sz w:val="17"/>
                <w:szCs w:val="17"/>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(320)</w:t>
            </w:r>
          </w:p>
        </w:tc>
        <w:tc>
          <w:tcPr>
            <w:tcW w:w="64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(259)</w:t>
            </w: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 expenses</w:t>
            </w:r>
          </w:p>
        </w:tc>
        <w:tc>
          <w:tcPr>
            <w:tcW w:w="5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1,113</w:t>
            </w:r>
          </w:p>
        </w:tc>
        <w:tc>
          <w:tcPr>
            <w:tcW w:w="6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769</w:t>
            </w: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Goodwill amortization</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w:t>
            </w:r>
          </w:p>
        </w:tc>
        <w:tc>
          <w:tcPr>
            <w:tcW w:w="6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500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00" w:type="dxa"/>
            <w:vAlign w:val="bottom"/>
            <w:vMerge w:val="continue"/>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2,091</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12,516</w:t>
            </w:r>
          </w:p>
        </w:tc>
        <w:tc>
          <w:tcPr>
            <w:tcW w:w="0" w:type="dxa"/>
            <w:vAlign w:val="bottom"/>
          </w:tcPr>
          <w:p>
            <w:pPr>
              <w:spacing w:after="0"/>
              <w:rPr>
                <w:sz w:val="1"/>
                <w:szCs w:val="1"/>
                <w:color w:val="auto"/>
              </w:rPr>
            </w:pPr>
          </w:p>
        </w:tc>
      </w:tr>
      <w:tr>
        <w:trPr>
          <w:trHeight w:val="296"/>
        </w:trPr>
        <w:tc>
          <w:tcPr>
            <w:tcW w:w="5000" w:type="dxa"/>
            <w:vAlign w:val="bottom"/>
          </w:tcPr>
          <w:p>
            <w:pPr>
              <w:spacing w:after="0"/>
              <w:rPr>
                <w:sz w:val="24"/>
                <w:szCs w:val="24"/>
                <w:color w:val="auto"/>
              </w:rPr>
            </w:pPr>
          </w:p>
        </w:tc>
        <w:tc>
          <w:tcPr>
            <w:tcW w:w="17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840" w:type="dxa"/>
            <w:vAlign w:val="bottom"/>
          </w:tcPr>
          <w:p>
            <w:pPr>
              <w:spacing w:after="0"/>
              <w:rPr>
                <w:sz w:val="17"/>
                <w:szCs w:val="17"/>
                <w:color w:val="auto"/>
              </w:rPr>
            </w:pP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March 31,</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1999</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840" w:type="dxa"/>
            <w:vAlign w:val="bottom"/>
          </w:tcPr>
          <w:p>
            <w:pPr>
              <w:spacing w:after="0"/>
              <w:rPr>
                <w:sz w:val="24"/>
                <w:szCs w:val="24"/>
                <w:color w:val="auto"/>
              </w:rPr>
            </w:pPr>
          </w:p>
        </w:tc>
        <w:tc>
          <w:tcPr>
            <w:tcW w:w="338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(in thousands)</w:t>
            </w:r>
          </w:p>
        </w:tc>
        <w:tc>
          <w:tcPr>
            <w:tcW w:w="0" w:type="dxa"/>
            <w:vAlign w:val="bottom"/>
          </w:tcPr>
          <w:p>
            <w:pPr>
              <w:spacing w:after="0"/>
              <w:rPr>
                <w:sz w:val="1"/>
                <w:szCs w:val="1"/>
                <w:color w:val="auto"/>
              </w:rPr>
            </w:pPr>
          </w:p>
        </w:tc>
      </w:tr>
      <w:tr>
        <w:trPr>
          <w:trHeight w:val="311"/>
        </w:trPr>
        <w:tc>
          <w:tcPr>
            <w:tcW w:w="4840" w:type="dxa"/>
            <w:vAlign w:val="bottom"/>
          </w:tcPr>
          <w:p>
            <w:pPr>
              <w:spacing w:after="0"/>
              <w:rPr>
                <w:sz w:val="20"/>
                <w:szCs w:val="20"/>
                <w:color w:val="auto"/>
              </w:rPr>
            </w:pPr>
            <w:r>
              <w:rPr>
                <w:rFonts w:ascii="Courier New" w:cs="Courier New" w:eastAsia="Courier New" w:hAnsi="Courier New"/>
                <w:sz w:val="18"/>
                <w:szCs w:val="18"/>
                <w:color w:val="auto"/>
              </w:rPr>
              <w:t>Total assets by segment:</w:t>
            </w:r>
          </w:p>
        </w:tc>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  50,032</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  50,754</w:t>
            </w:r>
          </w:p>
        </w:tc>
        <w:tc>
          <w:tcPr>
            <w:tcW w:w="0" w:type="dxa"/>
            <w:vAlign w:val="bottom"/>
          </w:tcPr>
          <w:p>
            <w:pPr>
              <w:spacing w:after="0"/>
              <w:rPr>
                <w:sz w:val="1"/>
                <w:szCs w:val="1"/>
                <w:color w:val="auto"/>
              </w:rPr>
            </w:pPr>
          </w:p>
        </w:tc>
      </w:tr>
      <w:tr>
        <w:trPr>
          <w:trHeight w:val="203"/>
        </w:trPr>
        <w:tc>
          <w:tcPr>
            <w:tcW w:w="4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180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8,530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8,728</w:t>
            </w:r>
          </w:p>
        </w:tc>
        <w:tc>
          <w:tcPr>
            <w:tcW w:w="0" w:type="dxa"/>
            <w:vAlign w:val="bottom"/>
          </w:tcPr>
          <w:p>
            <w:pPr>
              <w:spacing w:after="0"/>
              <w:rPr>
                <w:sz w:val="1"/>
                <w:szCs w:val="1"/>
                <w:color w:val="auto"/>
              </w:rPr>
            </w:pPr>
          </w:p>
        </w:tc>
      </w:tr>
      <w:tr>
        <w:trPr>
          <w:trHeight w:val="203"/>
        </w:trPr>
        <w:tc>
          <w:tcPr>
            <w:tcW w:w="484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Total assets for reportable segments</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vMerge w:val="continue"/>
          </w:tcPr>
          <w:p>
            <w:pPr>
              <w:spacing w:after="0"/>
              <w:rPr>
                <w:sz w:val="17"/>
                <w:szCs w:val="17"/>
                <w:color w:val="auto"/>
              </w:rPr>
            </w:pP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58,562</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59,482</w:t>
            </w:r>
          </w:p>
        </w:tc>
        <w:tc>
          <w:tcPr>
            <w:tcW w:w="0" w:type="dxa"/>
            <w:vAlign w:val="bottom"/>
          </w:tcPr>
          <w:p>
            <w:pPr>
              <w:spacing w:after="0"/>
              <w:rPr>
                <w:sz w:val="1"/>
                <w:szCs w:val="1"/>
                <w:color w:val="auto"/>
              </w:rPr>
            </w:pPr>
          </w:p>
        </w:tc>
      </w:tr>
      <w:tr>
        <w:trPr>
          <w:trHeight w:val="203"/>
        </w:trPr>
        <w:tc>
          <w:tcPr>
            <w:tcW w:w="4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 other operating segments</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7,013</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7,537</w:t>
            </w:r>
          </w:p>
        </w:tc>
        <w:tc>
          <w:tcPr>
            <w:tcW w:w="0" w:type="dxa"/>
            <w:vAlign w:val="bottom"/>
          </w:tcPr>
          <w:p>
            <w:pPr>
              <w:spacing w:after="0"/>
              <w:rPr>
                <w:sz w:val="1"/>
                <w:szCs w:val="1"/>
                <w:color w:val="auto"/>
              </w:rPr>
            </w:pPr>
          </w:p>
        </w:tc>
      </w:tr>
      <w:tr>
        <w:trPr>
          <w:trHeight w:val="203"/>
        </w:trPr>
        <w:tc>
          <w:tcPr>
            <w:tcW w:w="4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98,209</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95,212</w:t>
            </w:r>
          </w:p>
        </w:tc>
        <w:tc>
          <w:tcPr>
            <w:tcW w:w="0" w:type="dxa"/>
            <w:vAlign w:val="bottom"/>
          </w:tcPr>
          <w:p>
            <w:pPr>
              <w:spacing w:after="0"/>
              <w:rPr>
                <w:sz w:val="1"/>
                <w:szCs w:val="1"/>
                <w:color w:val="auto"/>
              </w:rPr>
            </w:pPr>
          </w:p>
        </w:tc>
      </w:tr>
      <w:tr>
        <w:trPr>
          <w:trHeight w:val="203"/>
        </w:trPr>
        <w:tc>
          <w:tcPr>
            <w:tcW w:w="4840" w:type="dxa"/>
            <w:vAlign w:val="bottom"/>
            <w:vMerge w:val="restart"/>
          </w:tcPr>
          <w:p>
            <w:pPr>
              <w:spacing w:after="0"/>
              <w:rPr>
                <w:sz w:val="20"/>
                <w:szCs w:val="20"/>
                <w:color w:val="auto"/>
              </w:rPr>
            </w:pPr>
            <w:r>
              <w:rPr>
                <w:rFonts w:ascii="Courier New" w:cs="Courier New" w:eastAsia="Courier New" w:hAnsi="Courier New"/>
                <w:sz w:val="18"/>
                <w:szCs w:val="18"/>
                <w:color w:val="auto"/>
              </w:rPr>
              <w:t>Total consolidated assets</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vMerge w:val="continue"/>
          </w:tcPr>
          <w:p>
            <w:pPr>
              <w:spacing w:after="0"/>
              <w:rPr>
                <w:sz w:val="17"/>
                <w:szCs w:val="17"/>
                <w:color w:val="auto"/>
              </w:rPr>
            </w:pP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$ 163,784</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$ 162,231</w:t>
            </w:r>
          </w:p>
        </w:tc>
        <w:tc>
          <w:tcPr>
            <w:tcW w:w="0" w:type="dxa"/>
            <w:vAlign w:val="bottom"/>
          </w:tcPr>
          <w:p>
            <w:pPr>
              <w:spacing w:after="0"/>
              <w:rPr>
                <w:sz w:val="1"/>
                <w:szCs w:val="1"/>
                <w:color w:val="auto"/>
              </w:rPr>
            </w:pPr>
          </w:p>
        </w:tc>
      </w:tr>
      <w:tr>
        <w:trPr>
          <w:trHeight w:val="296"/>
        </w:trPr>
        <w:tc>
          <w:tcPr>
            <w:tcW w:w="4840" w:type="dxa"/>
            <w:vAlign w:val="bottom"/>
          </w:tcPr>
          <w:p>
            <w:pPr>
              <w:spacing w:after="0"/>
              <w:rPr>
                <w:sz w:val="24"/>
                <w:szCs w:val="24"/>
                <w:color w:val="auto"/>
              </w:rPr>
            </w:pP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85"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3480"/>
        <w:spacing w:after="0"/>
        <w:rPr>
          <w:sz w:val="20"/>
          <w:szCs w:val="20"/>
          <w:color w:val="auto"/>
        </w:rPr>
      </w:pPr>
      <w:r>
        <w:rPr>
          <w:rFonts w:ascii="Courier New" w:cs="Courier New" w:eastAsia="Courier New" w:hAnsi="Courier New"/>
          <w:sz w:val="18"/>
          <w:szCs w:val="18"/>
          <w:color w:val="auto"/>
        </w:rPr>
        <w:t>MARCH 31, 1999</w:t>
      </w:r>
    </w:p>
    <w:p>
      <w:pPr>
        <w:spacing w:after="0" w:line="200" w:lineRule="exact"/>
        <w:rPr>
          <w:sz w:val="20"/>
          <w:szCs w:val="20"/>
          <w:color w:val="auto"/>
        </w:rPr>
      </w:pPr>
    </w:p>
    <w:p>
      <w:pPr>
        <w:spacing w:after="0" w:line="374"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This Form 10-Q contains certain forward-looking statements within the meaning of Section 21E of the Securities Exchange Act of 1934, as amended, and is subject to the Safe Harbor provisions created by that statute. The words "anticipate", "expect", "believe", and similar expressions are intended to identify such statements. Such statements are subject to certain risks and uncertainties, including but not limited to those discussed herein and, in particular, under the caption "Business and Market Risks" that could cause actual results to differ materially from those projected.</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1999 COMPARED TO FIRST QUARTER 1998</w:t>
      </w:r>
    </w:p>
    <w:p>
      <w:pPr>
        <w:ind w:right="1779"/>
        <w:spacing w:after="0" w:line="244" w:lineRule="auto"/>
        <w:rPr>
          <w:sz w:val="20"/>
          <w:szCs w:val="20"/>
          <w:color w:val="auto"/>
        </w:rPr>
      </w:pPr>
      <w:r>
        <w:rPr>
          <w:rFonts w:ascii="Courier New" w:cs="Courier New" w:eastAsia="Courier New" w:hAnsi="Courier New"/>
          <w:sz w:val="18"/>
          <w:szCs w:val="18"/>
          <w:color w:val="auto"/>
        </w:rPr>
        <w:t>Net sales decreased 48% to $29.5 million in 1999 compared to net sales of $56.7 million in 1998. Net sales during the first quarter of 1999 were negatively impacted by the semiconductor equipment industry downturn that began in 1998. In addition, sales of the Company's gravity-feed semiconductor test handler products have declined significantly, as this equipment is no longer suitable for handling many types of DRAMs. Sales of semiconductor test handling equipment in 1999 decreased 53% from the 1998 period and accounted for 76% of consolidated net sales in 1999 versus 84% in 1998. Sales of television cameras and other equipment decreased 22% while the combined sales of metal detection and microwave equipment decreased 21%. Export sales accounted for 54% of net sales in the first quarter of 1999 compared to 44% for the year ended December 31, 1998.</w:t>
      </w:r>
    </w:p>
    <w:p>
      <w:pPr>
        <w:spacing w:after="0" w:line="114"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Gross margin as a percentage of net sales declined to 35.1% in 1999 versus 41.1% in 1998 as a result of lower margins in the semiconductor equipment business. Within the semiconductor equipment segment, margins decreased in 1999 primarily as a result of reduced business volume. Research and development expense as a percentage of net sales was 14.6% in 1999, compared to 9.5% in 1998, decreasing in absolute dollars from $5.4 million in 1998 to $4.3 million in 1999. Selling, general and administrative expense as a percentage of net sales increased to 17.2% in 1999 from 10.9% in 1998 primarily as a result of the decrease in business volume. Interest income was $1.1 million in 1999 and $.8 million in 1998 as the increase in average cash and investments offset the impact of lower interest rates. The provision for income taxes expressed as a percentage of pre-tax income was 33.5% in the first quarter of 1999. As a result of the factors set forth above, net income decreased from $8.2 million in 1998 to $1.4 million in 1999.</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31" w:lineRule="exact"/>
        <w:rPr>
          <w:sz w:val="20"/>
          <w:szCs w:val="20"/>
          <w:color w:val="auto"/>
        </w:rPr>
      </w:pPr>
    </w:p>
    <w:p>
      <w:pPr>
        <w:ind w:right="2099"/>
        <w:spacing w:after="0" w:line="276" w:lineRule="auto"/>
        <w:rPr>
          <w:sz w:val="20"/>
          <w:szCs w:val="20"/>
          <w:color w:val="auto"/>
        </w:rPr>
      </w:pPr>
      <w:r>
        <w:rPr>
          <w:rFonts w:ascii="Courier New" w:cs="Courier New" w:eastAsia="Courier New" w:hAnsi="Courier New"/>
          <w:sz w:val="16"/>
          <w:szCs w:val="16"/>
          <w:color w:val="auto"/>
        </w:rPr>
        <w:t>The Company's net cash flows generated from operating activities in the first three months of 1999 totaled $1.1 million. The major components of cash flows from operating activities were net income of $1.4 million and an increase in accounts payable of $5 million offset by an increase in inventories of $2.2 million and a decrease in other accrued liabilities of $4.3 million. Net cash used for investing activities included $14.2 million for the purchase of short-term investments, less maturities, and purchases of property, plant and equipment and other assets of $.3 million. Net cash used for financing activities was $.6 million. Cash used for financing activities included $.9 million for the payment of dividends, offset by $.3 million received from the issuance of stock upon the exercise of stock options. The Company had $10 million available under its bank line of credit and working capital of $121.4 million at March 31, 1999. It is anticipated that present working capital and available borrowings under the line of credit will be sufficient to meet the Company's 1999 operating requirements.</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85"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3480"/>
        <w:spacing w:after="0"/>
        <w:rPr>
          <w:sz w:val="20"/>
          <w:szCs w:val="20"/>
          <w:color w:val="auto"/>
        </w:rPr>
      </w:pPr>
      <w:r>
        <w:rPr>
          <w:rFonts w:ascii="Courier New" w:cs="Courier New" w:eastAsia="Courier New" w:hAnsi="Courier New"/>
          <w:sz w:val="18"/>
          <w:szCs w:val="18"/>
          <w:color w:val="auto"/>
        </w:rPr>
        <w:t>MARCH 31, 1999</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CYCLES</w:t>
      </w:r>
    </w:p>
    <w:p>
      <w:pPr>
        <w:ind w:right="1779"/>
        <w:spacing w:after="0" w:line="279" w:lineRule="auto"/>
        <w:rPr>
          <w:sz w:val="20"/>
          <w:szCs w:val="20"/>
          <w:color w:val="auto"/>
        </w:rPr>
      </w:pPr>
      <w:r>
        <w:rPr>
          <w:rFonts w:ascii="Courier New" w:cs="Courier New" w:eastAsia="Courier New" w:hAnsi="Courier New"/>
          <w:sz w:val="16"/>
          <w:szCs w:val="16"/>
          <w:color w:val="auto"/>
        </w:rPr>
        <w:t>The Company's operating results are substantially dependent on its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severe downturns such as those experienced in 1996 and 1998. Reductions in capital equipment investment by semiconductor manufacturers will adversely affect the Company's financial position and results of operations.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RAPID TECHNOLOGICAL CHANGE AND NEW PRODUCTS</w:t>
      </w:r>
    </w:p>
    <w:p>
      <w:pPr>
        <w:spacing w:after="0" w:line="3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or margins of existing products. In addition, the introduction of new products increases the risk that existing products will become obsolete resulting in greater excess and obsolete inventory exposure. This increased exposure may result in increased inventory reserve requirements similar to or in excess of those recorded in 1998 that could have a material adverse impact on the Company's financial condition and results of operations.</w:t>
      </w:r>
    </w:p>
    <w:p>
      <w:pPr>
        <w:spacing w:after="0" w:line="114"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The design, development, manufacture and commercial introduction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The Company believes that the rate of change in such processes and IC packages is accelerating. As a result of these changes and other factors, assessing the market potential and commercial viability of new test handling products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No assurance can be made that the Company will accurately assess the semiconductor industry's future test handler requirements and design and develop products that meet such requirements and achieve market acceptance. Failure to accurately assess customer requirements and market trends for new semiconductor test handler products may have a materially adverse impact on the Company's operations, financial condition and results of operations.</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85"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3480"/>
        <w:spacing w:after="0"/>
        <w:rPr>
          <w:sz w:val="20"/>
          <w:szCs w:val="20"/>
          <w:color w:val="auto"/>
        </w:rPr>
      </w:pPr>
      <w:r>
        <w:rPr>
          <w:rFonts w:ascii="Courier New" w:cs="Courier New" w:eastAsia="Courier New" w:hAnsi="Courier New"/>
          <w:sz w:val="18"/>
          <w:szCs w:val="18"/>
          <w:color w:val="auto"/>
        </w:rPr>
        <w:t>MARCH 31, 1999</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3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The transition from product development to the manufacture of new semiconductor equipment is a difficult process and delays in product introductions are common. During 1998 and 1999 the Company experienced delays in the introduction of its new Enterprise and Castle test handlers and difficulties in manufacturing and volume production of these products. In addition, after sale support and warranty costs are typically greater with new test handlers than with established products. There can be no assurance that future technologies, processes and product developments will not render the Company's current or future product offerings obsolete or that the Company will be able to develop and introduce new products or enhancements to its existing products in a timely manner to satisfy customer needs or achieve market acceptance. Furthermore, there is no assurance that the Company will realize acceptable profit margins on such products.</w:t>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DECLINE IN GRAVITY-FEED IC TEST HANDLER BUSINESS</w:t>
      </w:r>
    </w:p>
    <w:p>
      <w:pPr>
        <w:spacing w:after="0" w:line="31" w:lineRule="exact"/>
        <w:rPr>
          <w:sz w:val="20"/>
          <w:szCs w:val="20"/>
          <w:color w:val="auto"/>
        </w:rPr>
      </w:pPr>
    </w:p>
    <w:p>
      <w:pPr>
        <w:ind w:right="1879"/>
        <w:spacing w:after="0" w:line="243" w:lineRule="auto"/>
        <w:rPr>
          <w:sz w:val="20"/>
          <w:szCs w:val="20"/>
          <w:color w:val="auto"/>
        </w:rPr>
      </w:pPr>
      <w:r>
        <w:rPr>
          <w:rFonts w:ascii="Courier New" w:cs="Courier New" w:eastAsia="Courier New" w:hAnsi="Courier New"/>
          <w:sz w:val="18"/>
          <w:szCs w:val="18"/>
          <w:color w:val="auto"/>
        </w:rPr>
        <w:t>Sales of gravity-feed IC test handlers used in DRAM testing have represented a significant percentage of the Company's total semiconductor equipment related revenue during the last five years. Due to changes in IC package technology, gravity-feed handlers are no longer suitable for handling many types of DRAMs. As a result, the Company has seen a significant decline in sales of its gravity-feed test handler products. The Company introduced its Enterprise handler in 1998 that employs a handling technique known as test-in-tray that is particularly suited for parallel test applications like DRAMs. While the benefits of test-in-tray may be significant and the Company sold a significant number of these handlers in 1998, market acceptance of this product has been very limited and the future use of this technology is uncertain. If the Company is unable to successfully develop and market new products or enhancements to existing products for memory applications the Company's results of operations will be adversely impacted.</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HIGHLY COMPETITIVE INDUSTRY</w:t>
      </w:r>
    </w:p>
    <w:p>
      <w:pPr>
        <w:spacing w:after="0" w:line="31"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and offer more extensive product offerings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or margins on existing products.</w:t>
      </w:r>
    </w:p>
    <w:p>
      <w:pPr>
        <w:spacing w:after="0" w:line="1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CONCENTRATION</w:t>
      </w:r>
    </w:p>
    <w:p>
      <w:pPr>
        <w:spacing w:after="0" w:line="31"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As is common in the semiconductor equipment industry, the Company relies on a limited number of customers for a substantial percentage of its net sales. In 1998, three customers of the semiconductor equipment segment accounted for 51% of the Company's net sales. The loss of or a significant reduction in orders by these or other significant customers would adversely impact the Company's financial condition and results of operations. Furthermore, the concentration of the Company's revenues in a limited number of large customers may cause significant fluctuations in the Company's future annual and quarterly operating results.</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SALES</w:t>
      </w:r>
    </w:p>
    <w:p>
      <w:pPr>
        <w:spacing w:after="0" w:line="31"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In 1998, 44% of the Company's total net sales were exported to foreign countries, including 51% of the sales in the semiconductor equipment segment. The majority of the Company's export sales are made to destinations in Asia. Instability in global economic markets, particularly in Asia, may adversely impact the demand for capital equipment, including equipment of the type manufactured and marketed by the Company. In addition, changes in the amount or price of semiconductors produced in Asia could impact the profitability or capital equipment spending programs of the Company's foreign and domestic customers.</w:t>
      </w:r>
    </w:p>
    <w:p>
      <w:pPr>
        <w:sectPr>
          <w:pgSz w:w="11900" w:h="16838" w:orient="portrait"/>
          <w:cols w:equalWidth="0" w:num="1">
            <w:col w:w="10219"/>
          </w:cols>
          <w:pgMar w:left="240" w:top="285" w:right="1440" w:bottom="89" w:gutter="0" w:footer="0" w:header="0"/>
        </w:sectPr>
      </w:pPr>
    </w:p>
    <w:bookmarkStart w:id="10" w:name="page11"/>
    <w:bookmarkEnd w:id="10"/>
    <w:p>
      <w:pPr>
        <w:ind w:left="29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718"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3480"/>
        <w:spacing w:after="0"/>
        <w:rPr>
          <w:sz w:val="20"/>
          <w:szCs w:val="20"/>
          <w:color w:val="auto"/>
        </w:rPr>
      </w:pPr>
      <w:r>
        <w:rPr>
          <w:rFonts w:ascii="Courier New" w:cs="Courier New" w:eastAsia="Courier New" w:hAnsi="Courier New"/>
          <w:sz w:val="18"/>
          <w:szCs w:val="18"/>
          <w:color w:val="auto"/>
        </w:rPr>
        <w:t>MARCH 31, 1999</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 FORCE REDUCTIONS</w:t>
      </w:r>
    </w:p>
    <w:p>
      <w:pPr>
        <w:ind w:right="1879"/>
        <w:spacing w:after="0" w:line="256" w:lineRule="auto"/>
        <w:rPr>
          <w:sz w:val="20"/>
          <w:szCs w:val="20"/>
          <w:color w:val="auto"/>
        </w:rPr>
      </w:pPr>
      <w:r>
        <w:rPr>
          <w:rFonts w:ascii="Courier New" w:cs="Courier New" w:eastAsia="Courier New" w:hAnsi="Courier New"/>
          <w:sz w:val="18"/>
          <w:szCs w:val="18"/>
          <w:color w:val="auto"/>
        </w:rPr>
        <w:t>During 1996 and 1998 the Company reduced the size of its work force and implemented other cost reduction measures. Cost reduction measures may have a negative impact on the Company's operations and operating results. Furthermore, no assurance can be made that such cost reduction measures will be implemented successfully.</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 SEMICONDUCTOR EQUIPMENT BUSINESSES</w:t>
      </w:r>
    </w:p>
    <w:p>
      <w:pPr>
        <w:spacing w:after="0" w:line="3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The Company develops, manufactures and sells products used in closed circuit television, metal detection and microwave radio applications. These products are sold in highly competitive markets and many competitors are segments of large, diversified companies with substantially greater financial, engineering, marketing, manufacturing and customer support capabilities than the Company. No assurance can be given that the Company will continue to compete successfully in any of these businesses.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3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At March 31, 1999 the Company's investment portfolio includes fixed-income securities of $80.1 million. These securities are subject to interest rate risk and will decline in value if interest rates increase. Due to the short duration of the Company's investment portfolio, an immediate 10 percent increase in interest rates would have no material impact on the Company's financial condition or results of operations.</w:t>
      </w:r>
    </w:p>
    <w:p>
      <w:pPr>
        <w:spacing w:after="0" w:line="101" w:lineRule="exact"/>
        <w:rPr>
          <w:sz w:val="20"/>
          <w:szCs w:val="20"/>
          <w:color w:val="auto"/>
        </w:rPr>
      </w:pPr>
    </w:p>
    <w:p>
      <w:pPr>
        <w:ind w:right="1879"/>
        <w:spacing w:after="0" w:line="298" w:lineRule="auto"/>
        <w:rPr>
          <w:sz w:val="20"/>
          <w:szCs w:val="20"/>
          <w:color w:val="auto"/>
        </w:rPr>
      </w:pPr>
      <w:r>
        <w:rPr>
          <w:rFonts w:ascii="Courier New" w:cs="Courier New" w:eastAsia="Courier New" w:hAnsi="Courier New"/>
          <w:sz w:val="16"/>
          <w:szCs w:val="16"/>
          <w:color w:val="auto"/>
        </w:rPr>
        <w:t>The Company generally conducts business, including sales to foreign customers, in U. S. dollars and as a result has limited foreign currency exchange rate risk. Monetary assets and liabilities of the Company's Singapore and Taiwan operations are not significant. The effect of an immediate 10 percent change in foreign exchange rates would not have a material impact on the Company's financial condition or results of operations.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RISKS</w:t>
      </w:r>
    </w:p>
    <w:p>
      <w:pPr>
        <w:spacing w:after="0" w:line="31" w:lineRule="exact"/>
        <w:rPr>
          <w:sz w:val="20"/>
          <w:szCs w:val="20"/>
          <w:color w:val="auto"/>
        </w:rPr>
      </w:pPr>
    </w:p>
    <w:p>
      <w:pPr>
        <w:ind w:right="1999"/>
        <w:spacing w:after="0" w:line="246" w:lineRule="auto"/>
        <w:rPr>
          <w:sz w:val="20"/>
          <w:szCs w:val="20"/>
          <w:color w:val="auto"/>
        </w:rPr>
      </w:pPr>
      <w:r>
        <w:rPr>
          <w:rFonts w:ascii="Courier New" w:cs="Courier New" w:eastAsia="Courier New" w:hAnsi="Courier New"/>
          <w:sz w:val="18"/>
          <w:szCs w:val="18"/>
          <w:color w:val="auto"/>
        </w:rPr>
        <w:t>The Company has a Year 2000 ("Y2K") Task Force focusing on four key readiness areas: 1) Internal Infrastructure Readiness, addressing internal hardware and software, including both information technology and non-information technology systems; 2) Product Readiness, addressing product functionality; 3) Supplier Readiness, addressing the preparedness of key suppliers to the Company and 4) Customer Readiness, addressing customer support. For each readiness area, the Company is performing a risk assessment, conducting testing and remediation, developing contingency plans to mitigate unknown risks and communicating with employees, suppliers, customers and other third parties to raise awareness of the Y2K problem.</w:t>
      </w:r>
    </w:p>
    <w:p>
      <w:pPr>
        <w:spacing w:after="0" w:line="106"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Internal Infrastructure Readiness: The Company, assisted by third parties, has completed an assessment of internal applications and computer hardware. Some software applications have been made Y2K compliant and resources have been assigned to address other applications based on their importance and the time required to make them Y2K compliant. All software remediation is expected to be completed no later than June 1999. The Y2K compliance evaluation of hardware, including hubs, routers, telecommunication equipment, workstations and other items is expected to be completed by June 1999.</w:t>
      </w:r>
    </w:p>
    <w:p>
      <w:pPr>
        <w:spacing w:after="0" w:line="104"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In addition to applications and information technology hardware, the Company is in the process of assessing, testing and remediating its non-information technology systems including embedded systems, facilities and other operations. The Company expects to have this work completed by August 1999.</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85"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3480"/>
        <w:spacing w:after="0"/>
        <w:rPr>
          <w:sz w:val="20"/>
          <w:szCs w:val="20"/>
          <w:color w:val="auto"/>
        </w:rPr>
      </w:pPr>
      <w:r>
        <w:rPr>
          <w:rFonts w:ascii="Courier New" w:cs="Courier New" w:eastAsia="Courier New" w:hAnsi="Courier New"/>
          <w:sz w:val="18"/>
          <w:szCs w:val="18"/>
          <w:color w:val="auto"/>
        </w:rPr>
        <w:t>MARCH 31, 1999</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31" w:lineRule="exact"/>
        <w:rPr>
          <w:sz w:val="20"/>
          <w:szCs w:val="20"/>
          <w:color w:val="auto"/>
        </w:rPr>
      </w:pPr>
    </w:p>
    <w:p>
      <w:pPr>
        <w:ind w:right="1879"/>
        <w:spacing w:after="0" w:line="248" w:lineRule="auto"/>
        <w:rPr>
          <w:sz w:val="20"/>
          <w:szCs w:val="20"/>
          <w:color w:val="auto"/>
        </w:rPr>
      </w:pPr>
      <w:r>
        <w:rPr>
          <w:rFonts w:ascii="Courier New" w:cs="Courier New" w:eastAsia="Courier New" w:hAnsi="Courier New"/>
          <w:sz w:val="18"/>
          <w:szCs w:val="18"/>
          <w:color w:val="auto"/>
        </w:rPr>
        <w:t>Product Readiness: This program focuses on identifying and resolving Y2K issues existing in the Company's products. The program encompasses a number of activities including testing, evaluation, engineering and manufacturing implementation. Customers are being notified of known risk areas and proposed remediation plans. The Company has made Y2K retrofits available to certain customers and expects to have retrofits available for all customers by June 1999. A contingency team will be available after June 1999 to assist those customers experiencing difficulties with the Company's products.</w:t>
      </w:r>
    </w:p>
    <w:p>
      <w:pPr>
        <w:spacing w:after="0" w:line="106"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Supplier Readiness: This program focuses on minimizing the risks associated with key suppliers. The Company has identified and contacted key suppliers to solicit information on their Y2K readiness. To date, the Company has received responses from the majority of its key suppliers most of whom indicate that they believe products provided to the Company are either Y2K compliant or will be made Y2K complaint on a timely basis. Based on the Company's assessment of each supplier's progress to adequately address the Y2K issue, the Company is developing a supplier action list and contingency plans. Supplier readiness issues that potentially affect the Company's products are expected to be addressed by June 1999.</w:t>
      </w:r>
    </w:p>
    <w:p>
      <w:pPr>
        <w:spacing w:after="0" w:line="104"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Customer Readiness: This program focuses on customer support, including the coordination of retrofit activity and developing contingency plans where appropriate. The Company is currently working with its customers to develop and implement potential retrofit or upgrade programs and offering assistance in making its products Y2K compliant.</w:t>
      </w:r>
    </w:p>
    <w:p>
      <w:pPr>
        <w:spacing w:after="0" w:line="90"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The Company estimates that total Y2K costs will be approximately $500,000, the great majority of which will be incurred by January 2000. Y2K costs incurred through March 31, 1999 have been charged to operations and have not been material. The Company is continuing its assessments and developing alternatives that will necessitate refinement of this estimate over time. There can be no assurance, however, that there will not be a delay in, or increased costs associated with, the programs described in this section.</w:t>
      </w:r>
    </w:p>
    <w:p>
      <w:pPr>
        <w:spacing w:after="0" w:line="98"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Since the efforts described above are ongoing, all potential Y2K complications have not yet been identified. Therefore, the potential impact of these complications on the Company's financial condition and results of operations cannot be determined at this time. If computer systems used by the Company or its suppliers, the performance of products provided to the Company by suppliers, or the software applications used in products manufactured and sold by the Company, fail or experience significant difficulties related to Y2K, the Company's results of operations and financial condition could be materially adversely affected.</w:t>
      </w:r>
    </w:p>
    <w:p>
      <w:pPr>
        <w:spacing w:after="0" w:line="99" w:lineRule="exact"/>
        <w:rPr>
          <w:sz w:val="20"/>
          <w:szCs w:val="20"/>
          <w:color w:val="auto"/>
        </w:rPr>
      </w:pPr>
    </w:p>
    <w:p>
      <w:pPr>
        <w:ind w:right="1779"/>
        <w:spacing w:after="0" w:line="287" w:lineRule="auto"/>
        <w:rPr>
          <w:sz w:val="20"/>
          <w:szCs w:val="20"/>
          <w:color w:val="auto"/>
        </w:rPr>
      </w:pPr>
      <w:r>
        <w:rPr>
          <w:rFonts w:ascii="Courier New" w:cs="Courier New" w:eastAsia="Courier New" w:hAnsi="Courier New"/>
          <w:sz w:val="16"/>
          <w:szCs w:val="16"/>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including but not limited to the 1998 Annual Report on Form 10-K, that could cause actual results to differ materially from those projected or forecasted. The Company undertakes no obligation to update the information, including the forward-looking statements, in this Form 10-Q.</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85"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1280" w:hanging="429"/>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27.1 - Financial Data Schedule</w:t>
      </w:r>
    </w:p>
    <w:p>
      <w:pPr>
        <w:spacing w:after="0" w:line="201" w:lineRule="exact"/>
        <w:rPr>
          <w:rFonts w:ascii="Courier New" w:cs="Courier New" w:eastAsia="Courier New" w:hAnsi="Courier New"/>
          <w:sz w:val="18"/>
          <w:szCs w:val="18"/>
          <w:color w:val="auto"/>
        </w:rPr>
      </w:pPr>
    </w:p>
    <w:p>
      <w:pPr>
        <w:ind w:left="1280" w:right="2099" w:hanging="429"/>
        <w:spacing w:after="0" w:line="34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The Company did not file any reports on Form 8-K during the quarter ended March 31, 1999.</w:t>
      </w: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COHU, INC.</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April 22, 1999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Schwan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rPr>
          <w:sz w:val="20"/>
          <w:szCs w:val="20"/>
          <w:color w:val="auto"/>
        </w:rPr>
      </w:pPr>
      <w:r>
        <w:rPr>
          <w:rFonts w:ascii="Courier New" w:cs="Courier New" w:eastAsia="Courier New" w:hAnsi="Courier New"/>
          <w:sz w:val="18"/>
          <w:szCs w:val="18"/>
          <w:color w:val="auto"/>
        </w:rPr>
        <w:t>President &amp; Chief Executive Officer</w:t>
      </w:r>
    </w:p>
    <w:p>
      <w:pPr>
        <w:spacing w:after="0" w:line="200" w:lineRule="exact"/>
        <w:rPr>
          <w:sz w:val="20"/>
          <w:szCs w:val="20"/>
          <w:color w:val="auto"/>
        </w:rPr>
      </w:pPr>
    </w:p>
    <w:p>
      <w:pPr>
        <w:sectPr>
          <w:pgSz w:w="11900" w:h="16838" w:orient="portrait"/>
          <w:cols w:equalWidth="0" w:num="3">
            <w:col w:w="540" w:space="100"/>
            <w:col w:w="2860" w:space="720"/>
            <w:col w:w="5999"/>
          </w:cols>
          <w:pgMar w:left="240" w:top="285" w:right="1440"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April 22, 1999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 Chief</w:t>
      </w:r>
    </w:p>
    <w:p>
      <w:pPr>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3">
            <w:col w:w="540" w:space="100"/>
            <w:col w:w="2860" w:space="720"/>
            <w:col w:w="5999"/>
          </w:cols>
          <w:pgMar w:left="24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85" w:right="1440" w:bottom="1440" w:gutter="0" w:footer="0" w:header="0"/>
          <w:type w:val="continuous"/>
        </w:sectPr>
      </w:pPr>
    </w:p>
    <w:bookmarkStart w:id="14" w:name="page15"/>
    <w:bookmarkEnd w:id="14"/>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right="2379"/>
        <w:spacing w:after="0" w:line="292" w:lineRule="auto"/>
        <w:rPr>
          <w:sz w:val="20"/>
          <w:szCs w:val="20"/>
          <w:color w:val="auto"/>
        </w:rPr>
      </w:pPr>
      <w:r>
        <w:rPr>
          <w:rFonts w:ascii="Courier New" w:cs="Courier New" w:eastAsia="Courier New" w:hAnsi="Courier New"/>
          <w:sz w:val="18"/>
          <w:szCs w:val="18"/>
          <w:color w:val="auto"/>
        </w:rPr>
        <w:t>THIS SCHEDULE CONTAINS SUMMARY FINANCIAL INFORMATION EXTRACTED FROM 1999 FINANCIAL STATEMENTS AND IS QUALIFIED IN ITS ENTIRETY BY REFERENCE TO SUCH FINANCIAL STATEMENTS.</w:t>
      </w:r>
    </w:p>
    <w:p>
      <w:pPr>
        <w:spacing w:after="0" w:line="66"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spacing w:after="0" w:line="29"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DEC-31-1998</w:t>
      </w:r>
    </w:p>
    <w:p>
      <w:pPr>
        <w:ind w:left="3020"/>
        <w:spacing w:after="0" w:line="238" w:lineRule="auto"/>
        <w:rPr>
          <w:sz w:val="20"/>
          <w:szCs w:val="20"/>
          <w:color w:val="auto"/>
        </w:rPr>
      </w:pPr>
      <w:r>
        <w:rPr>
          <w:rFonts w:ascii="Courier New" w:cs="Courier New" w:eastAsia="Courier New" w:hAnsi="Courier New"/>
          <w:sz w:val="18"/>
          <w:szCs w:val="18"/>
          <w:color w:val="auto"/>
        </w:rPr>
        <w:t>JAN-01-1999</w:t>
      </w:r>
    </w:p>
    <w:p>
      <w:pPr>
        <w:ind w:left="3240"/>
        <w:spacing w:after="0"/>
        <w:rPr>
          <w:sz w:val="20"/>
          <w:szCs w:val="20"/>
          <w:color w:val="auto"/>
        </w:rPr>
      </w:pPr>
      <w:r>
        <w:rPr>
          <w:rFonts w:ascii="Courier New" w:cs="Courier New" w:eastAsia="Courier New" w:hAnsi="Courier New"/>
          <w:sz w:val="18"/>
          <w:szCs w:val="18"/>
          <w:color w:val="auto"/>
        </w:rPr>
        <w:t>MAR-31-1999</w:t>
      </w:r>
    </w:p>
    <w:p>
      <w:pPr>
        <w:ind w:left="4400"/>
        <w:spacing w:after="0" w:line="238" w:lineRule="auto"/>
        <w:rPr>
          <w:sz w:val="20"/>
          <w:szCs w:val="20"/>
          <w:color w:val="auto"/>
        </w:rPr>
      </w:pPr>
      <w:r>
        <w:rPr>
          <w:rFonts w:ascii="Courier New" w:cs="Courier New" w:eastAsia="Courier New" w:hAnsi="Courier New"/>
          <w:sz w:val="18"/>
          <w:szCs w:val="18"/>
          <w:color w:val="auto"/>
        </w:rPr>
        <w:t>60,574</w:t>
      </w:r>
    </w:p>
    <w:p>
      <w:pPr>
        <w:ind w:left="3760"/>
        <w:spacing w:after="0"/>
        <w:rPr>
          <w:sz w:val="20"/>
          <w:szCs w:val="20"/>
          <w:color w:val="auto"/>
        </w:rPr>
      </w:pPr>
      <w:r>
        <w:rPr>
          <w:rFonts w:ascii="Courier New" w:cs="Courier New" w:eastAsia="Courier New" w:hAnsi="Courier New"/>
          <w:sz w:val="18"/>
          <w:szCs w:val="18"/>
          <w:color w:val="auto"/>
        </w:rPr>
        <w:t>26,420</w:t>
      </w:r>
    </w:p>
    <w:p>
      <w:pPr>
        <w:ind w:left="3660"/>
        <w:spacing w:after="0" w:line="238" w:lineRule="auto"/>
        <w:rPr>
          <w:sz w:val="20"/>
          <w:szCs w:val="20"/>
          <w:color w:val="auto"/>
        </w:rPr>
      </w:pPr>
      <w:r>
        <w:rPr>
          <w:rFonts w:ascii="Courier New" w:cs="Courier New" w:eastAsia="Courier New" w:hAnsi="Courier New"/>
          <w:sz w:val="18"/>
          <w:szCs w:val="18"/>
          <w:color w:val="auto"/>
        </w:rPr>
        <w:t>18,356</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8" w:lineRule="auto"/>
        <w:rPr>
          <w:sz w:val="20"/>
          <w:szCs w:val="20"/>
          <w:color w:val="auto"/>
        </w:rPr>
      </w:pPr>
      <w:r>
        <w:rPr>
          <w:rFonts w:ascii="Courier New" w:cs="Courier New" w:eastAsia="Courier New" w:hAnsi="Courier New"/>
          <w:sz w:val="18"/>
          <w:szCs w:val="18"/>
          <w:color w:val="auto"/>
        </w:rPr>
        <w:t>28,046</w:t>
      </w:r>
    </w:p>
    <w:p>
      <w:pPr>
        <w:ind w:left="3240"/>
        <w:spacing w:after="0"/>
        <w:rPr>
          <w:sz w:val="20"/>
          <w:szCs w:val="20"/>
          <w:color w:val="auto"/>
        </w:rPr>
      </w:pPr>
      <w:r>
        <w:rPr>
          <w:rFonts w:ascii="Courier New" w:cs="Courier New" w:eastAsia="Courier New" w:hAnsi="Courier New"/>
          <w:sz w:val="18"/>
          <w:szCs w:val="18"/>
          <w:color w:val="auto"/>
        </w:rPr>
        <w:t>145,362</w:t>
      </w:r>
    </w:p>
    <w:p>
      <w:pPr>
        <w:ind w:left="4400"/>
        <w:spacing w:after="0" w:line="238" w:lineRule="auto"/>
        <w:rPr>
          <w:sz w:val="20"/>
          <w:szCs w:val="20"/>
          <w:color w:val="auto"/>
        </w:rPr>
      </w:pPr>
      <w:r>
        <w:rPr>
          <w:rFonts w:ascii="Courier New" w:cs="Courier New" w:eastAsia="Courier New" w:hAnsi="Courier New"/>
          <w:sz w:val="18"/>
          <w:szCs w:val="18"/>
          <w:color w:val="auto"/>
        </w:rPr>
        <w:t>32,668</w:t>
      </w:r>
    </w:p>
    <w:p>
      <w:pPr>
        <w:ind w:left="3540"/>
        <w:spacing w:after="0"/>
        <w:rPr>
          <w:sz w:val="20"/>
          <w:szCs w:val="20"/>
          <w:color w:val="auto"/>
        </w:rPr>
      </w:pPr>
      <w:r>
        <w:rPr>
          <w:rFonts w:ascii="Courier New" w:cs="Courier New" w:eastAsia="Courier New" w:hAnsi="Courier New"/>
          <w:sz w:val="18"/>
          <w:szCs w:val="18"/>
          <w:color w:val="auto"/>
        </w:rPr>
        <w:t>15,393</w:t>
      </w:r>
    </w:p>
    <w:p>
      <w:pPr>
        <w:ind w:left="3440"/>
        <w:spacing w:after="0" w:line="238" w:lineRule="auto"/>
        <w:rPr>
          <w:sz w:val="20"/>
          <w:szCs w:val="20"/>
          <w:color w:val="auto"/>
        </w:rPr>
      </w:pPr>
      <w:r>
        <w:rPr>
          <w:rFonts w:ascii="Courier New" w:cs="Courier New" w:eastAsia="Courier New" w:hAnsi="Courier New"/>
          <w:sz w:val="18"/>
          <w:szCs w:val="18"/>
          <w:color w:val="auto"/>
        </w:rPr>
        <w:t>163,784</w:t>
      </w:r>
    </w:p>
    <w:p>
      <w:pPr>
        <w:ind w:left="2820"/>
        <w:spacing w:after="0"/>
        <w:rPr>
          <w:sz w:val="20"/>
          <w:szCs w:val="20"/>
          <w:color w:val="auto"/>
        </w:rPr>
      </w:pPr>
      <w:r>
        <w:rPr>
          <w:rFonts w:ascii="Courier New" w:cs="Courier New" w:eastAsia="Courier New" w:hAnsi="Courier New"/>
          <w:sz w:val="18"/>
          <w:szCs w:val="18"/>
          <w:color w:val="auto"/>
        </w:rPr>
        <w:t>23,980</w:t>
      </w:r>
    </w:p>
    <w:p>
      <w:pPr>
        <w:jc w:val="center"/>
        <w:ind w:right="439"/>
        <w:spacing w:after="0" w:line="238"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8" w:lineRule="auto"/>
        <w:rPr>
          <w:sz w:val="20"/>
          <w:szCs w:val="20"/>
          <w:color w:val="auto"/>
        </w:rPr>
      </w:pPr>
      <w:r>
        <w:rPr>
          <w:rFonts w:ascii="Courier New" w:cs="Courier New" w:eastAsia="Courier New" w:hAnsi="Courier New"/>
          <w:sz w:val="18"/>
          <w:szCs w:val="18"/>
          <w:color w:val="auto"/>
        </w:rPr>
        <w:t>0</w:t>
      </w:r>
    </w:p>
    <w:p>
      <w:pPr>
        <w:ind w:left="4280"/>
        <w:spacing w:after="0"/>
        <w:rPr>
          <w:sz w:val="20"/>
          <w:szCs w:val="20"/>
          <w:color w:val="auto"/>
        </w:rPr>
      </w:pPr>
      <w:r>
        <w:rPr>
          <w:rFonts w:ascii="Courier New" w:cs="Courier New" w:eastAsia="Courier New" w:hAnsi="Courier New"/>
          <w:sz w:val="18"/>
          <w:szCs w:val="18"/>
          <w:color w:val="auto"/>
        </w:rPr>
        <w:t>9,828</w:t>
      </w:r>
    </w:p>
    <w:p>
      <w:pPr>
        <w:ind w:left="3860"/>
        <w:spacing w:after="0" w:line="238" w:lineRule="auto"/>
        <w:rPr>
          <w:sz w:val="20"/>
          <w:szCs w:val="20"/>
          <w:color w:val="auto"/>
        </w:rPr>
      </w:pPr>
      <w:r>
        <w:rPr>
          <w:rFonts w:ascii="Courier New" w:cs="Courier New" w:eastAsia="Courier New" w:hAnsi="Courier New"/>
          <w:sz w:val="18"/>
          <w:szCs w:val="18"/>
          <w:color w:val="auto"/>
        </w:rPr>
        <w:t>128,457</w:t>
      </w:r>
    </w:p>
    <w:p>
      <w:pPr>
        <w:ind w:left="1960"/>
        <w:spacing w:after="0"/>
        <w:rPr>
          <w:sz w:val="20"/>
          <w:szCs w:val="20"/>
          <w:color w:val="auto"/>
        </w:rPr>
      </w:pPr>
      <w:r>
        <w:rPr>
          <w:rFonts w:ascii="Courier New" w:cs="Courier New" w:eastAsia="Courier New" w:hAnsi="Courier New"/>
          <w:sz w:val="18"/>
          <w:szCs w:val="18"/>
          <w:color w:val="auto"/>
        </w:rPr>
        <w:t>163,784</w:t>
      </w:r>
    </w:p>
    <w:p>
      <w:pPr>
        <w:ind w:left="4280"/>
        <w:spacing w:after="0" w:line="238" w:lineRule="auto"/>
        <w:rPr>
          <w:sz w:val="20"/>
          <w:szCs w:val="20"/>
          <w:color w:val="auto"/>
        </w:rPr>
      </w:pPr>
      <w:r>
        <w:rPr>
          <w:rFonts w:ascii="Courier New" w:cs="Courier New" w:eastAsia="Courier New" w:hAnsi="Courier New"/>
          <w:sz w:val="18"/>
          <w:szCs w:val="18"/>
          <w:color w:val="auto"/>
        </w:rPr>
        <w:t>29,526</w:t>
      </w:r>
    </w:p>
    <w:p>
      <w:pPr>
        <w:ind w:left="3340"/>
        <w:spacing w:after="0"/>
        <w:rPr>
          <w:sz w:val="20"/>
          <w:szCs w:val="20"/>
          <w:color w:val="auto"/>
        </w:rPr>
      </w:pPr>
      <w:r>
        <w:rPr>
          <w:rFonts w:ascii="Courier New" w:cs="Courier New" w:eastAsia="Courier New" w:hAnsi="Courier New"/>
          <w:sz w:val="18"/>
          <w:szCs w:val="18"/>
          <w:color w:val="auto"/>
        </w:rPr>
        <w:t>29,526</w:t>
      </w:r>
    </w:p>
    <w:p>
      <w:pPr>
        <w:ind w:left="4500"/>
        <w:spacing w:after="0" w:line="238" w:lineRule="auto"/>
        <w:rPr>
          <w:sz w:val="20"/>
          <w:szCs w:val="20"/>
          <w:color w:val="auto"/>
        </w:rPr>
      </w:pPr>
      <w:r>
        <w:rPr>
          <w:rFonts w:ascii="Courier New" w:cs="Courier New" w:eastAsia="Courier New" w:hAnsi="Courier New"/>
          <w:sz w:val="18"/>
          <w:szCs w:val="18"/>
          <w:color w:val="auto"/>
        </w:rPr>
        <w:t>19,164</w:t>
      </w:r>
    </w:p>
    <w:p>
      <w:pPr>
        <w:ind w:left="3660"/>
        <w:spacing w:after="0"/>
        <w:rPr>
          <w:sz w:val="20"/>
          <w:szCs w:val="20"/>
          <w:color w:val="auto"/>
        </w:rPr>
      </w:pPr>
      <w:r>
        <w:rPr>
          <w:rFonts w:ascii="Courier New" w:cs="Courier New" w:eastAsia="Courier New" w:hAnsi="Courier New"/>
          <w:sz w:val="18"/>
          <w:szCs w:val="18"/>
          <w:color w:val="auto"/>
        </w:rPr>
        <w:t>19,164</w:t>
      </w:r>
    </w:p>
    <w:p>
      <w:pPr>
        <w:ind w:left="3860"/>
        <w:spacing w:after="0" w:line="238"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0</w:t>
      </w:r>
    </w:p>
    <w:p>
      <w:pPr>
        <w:ind w:left="3660"/>
        <w:spacing w:after="0" w:line="238"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2,091</w:t>
      </w:r>
    </w:p>
    <w:p>
      <w:pPr>
        <w:ind w:left="4080"/>
        <w:spacing w:after="0" w:line="238" w:lineRule="auto"/>
        <w:rPr>
          <w:sz w:val="20"/>
          <w:szCs w:val="20"/>
          <w:color w:val="auto"/>
        </w:rPr>
      </w:pPr>
      <w:r>
        <w:rPr>
          <w:rFonts w:ascii="Courier New" w:cs="Courier New" w:eastAsia="Courier New" w:hAnsi="Courier New"/>
          <w:sz w:val="18"/>
          <w:szCs w:val="18"/>
          <w:color w:val="auto"/>
        </w:rPr>
        <w:t>700</w:t>
      </w:r>
    </w:p>
    <w:p>
      <w:pPr>
        <w:ind w:left="3120"/>
        <w:spacing w:after="0"/>
        <w:rPr>
          <w:sz w:val="20"/>
          <w:szCs w:val="20"/>
          <w:color w:val="auto"/>
        </w:rPr>
      </w:pPr>
      <w:r>
        <w:rPr>
          <w:rFonts w:ascii="Courier New" w:cs="Courier New" w:eastAsia="Courier New" w:hAnsi="Courier New"/>
          <w:sz w:val="18"/>
          <w:szCs w:val="18"/>
          <w:color w:val="auto"/>
        </w:rPr>
        <w:t>1,391</w:t>
      </w:r>
    </w:p>
    <w:p>
      <w:pPr>
        <w:ind w:left="4080"/>
        <w:spacing w:after="0" w:line="238"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8" w:lineRule="auto"/>
        <w:rPr>
          <w:sz w:val="20"/>
          <w:szCs w:val="20"/>
          <w:color w:val="auto"/>
        </w:rPr>
      </w:pPr>
      <w:r>
        <w:rPr>
          <w:rFonts w:ascii="Courier New" w:cs="Courier New" w:eastAsia="Courier New" w:hAnsi="Courier New"/>
          <w:sz w:val="18"/>
          <w:szCs w:val="18"/>
          <w:color w:val="auto"/>
        </w:rPr>
        <w:t>0</w:t>
      </w:r>
    </w:p>
    <w:p>
      <w:pPr>
        <w:jc w:val="center"/>
        <w:ind w:right="1919"/>
        <w:spacing w:after="0"/>
        <w:rPr>
          <w:sz w:val="20"/>
          <w:szCs w:val="20"/>
          <w:color w:val="auto"/>
        </w:rPr>
      </w:pPr>
      <w:r>
        <w:rPr>
          <w:rFonts w:ascii="Courier New" w:cs="Courier New" w:eastAsia="Courier New" w:hAnsi="Courier New"/>
          <w:sz w:val="18"/>
          <w:szCs w:val="18"/>
          <w:color w:val="auto"/>
        </w:rPr>
        <w:t>1,391</w:t>
      </w:r>
    </w:p>
    <w:p>
      <w:pPr>
        <w:jc w:val="center"/>
        <w:ind w:right="1919"/>
        <w:spacing w:after="0" w:line="238" w:lineRule="auto"/>
        <w:rPr>
          <w:sz w:val="20"/>
          <w:szCs w:val="20"/>
          <w:color w:val="auto"/>
        </w:rPr>
      </w:pPr>
      <w:r>
        <w:rPr>
          <w:rFonts w:ascii="Courier New" w:cs="Courier New" w:eastAsia="Courier New" w:hAnsi="Courier New"/>
          <w:sz w:val="18"/>
          <w:szCs w:val="18"/>
          <w:color w:val="auto"/>
        </w:rPr>
        <w:t>.14</w:t>
      </w:r>
    </w:p>
    <w:p>
      <w:pPr>
        <w:jc w:val="center"/>
        <w:ind w:right="1919"/>
        <w:spacing w:after="0"/>
        <w:rPr>
          <w:sz w:val="20"/>
          <w:szCs w:val="20"/>
          <w:color w:val="auto"/>
        </w:rPr>
      </w:pPr>
      <w:r>
        <w:rPr>
          <w:rFonts w:ascii="Courier New" w:cs="Courier New" w:eastAsia="Courier New" w:hAnsi="Courier New"/>
          <w:sz w:val="18"/>
          <w:szCs w:val="18"/>
          <w:color w:val="auto"/>
        </w:rPr>
        <w:t>.14</w:t>
      </w:r>
    </w:p>
    <w:sectPr>
      <w:pgSz w:w="11900" w:h="16838" w:orient="portrait"/>
      <w:cols w:equalWidth="0" w:num="1">
        <w:col w:w="10179"/>
      </w:cols>
      <w:pgMar w:left="28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2020-02-22T11:47:51Z</dcterms:created>
  <dcterms:modified xsi:type="dcterms:W3CDTF">2020-02-22T11:47:51Z</dcterms:modified>
</cp:coreProperties>
</file>