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42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September 3, 1998</w:t>
      </w:r>
    </w:p>
    <w:p>
      <w:pPr>
        <w:spacing w:after="0" w:line="207"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Registration No. 333-______</w:t>
      </w:r>
    </w:p>
    <w:p>
      <w:pPr>
        <w:spacing w:after="0" w:line="218"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UNITED STATES</w:t>
      </w:r>
    </w:p>
    <w:p>
      <w:pPr>
        <w:jc w:val="center"/>
        <w:ind w:righ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0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COHU, INC.</w:t>
      </w:r>
    </w:p>
    <w:p>
      <w:pPr>
        <w:jc w:val="center"/>
        <w:ind w:right="200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440"/>
          </w:cols>
          <w:pgMar w:left="240" w:top="244" w:right="1219" w:bottom="144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ind w:left="2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800"/>
          </w:cols>
          <w:pgMar w:left="240" w:top="244" w:right="1219" w:bottom="1440" w:gutter="0" w:footer="0" w:header="0"/>
          <w:type w:val="continuous"/>
        </w:sectPr>
      </w:pPr>
    </w:p>
    <w:p>
      <w:pPr>
        <w:spacing w:after="0" w:line="24"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5755 KEARNY VILLA ROAD</w:t>
      </w:r>
    </w:p>
    <w:p>
      <w:pPr>
        <w:sectPr>
          <w:pgSz w:w="11900" w:h="16838" w:orient="portrait"/>
          <w:cols w:equalWidth="0" w:num="1">
            <w:col w:w="10440"/>
          </w:cols>
          <w:pgMar w:left="240" w:top="244" w:right="1219" w:bottom="1440" w:gutter="0" w:footer="0" w:header="0"/>
          <w:type w:val="continuous"/>
        </w:sectPr>
      </w:pPr>
    </w:p>
    <w:p>
      <w:pPr>
        <w:spacing w:after="0" w:line="16"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SAN DIEGO, CALIFORNIA 92123</w:t>
      </w:r>
    </w:p>
    <w:p>
      <w:pPr>
        <w:jc w:val="center"/>
        <w:ind w:right="1900"/>
        <w:spacing w:after="0" w:line="238"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COHU, INC. 1998 STOCK OPTION PLAN</w:t>
      </w:r>
    </w:p>
    <w:p>
      <w:pPr>
        <w:ind w:left="2960"/>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JOHN H. ALLEN</w:t>
      </w:r>
    </w:p>
    <w:p>
      <w:pPr>
        <w:ind w:left="1580"/>
        <w:spacing w:after="0" w:line="238" w:lineRule="auto"/>
        <w:rPr>
          <w:sz w:val="20"/>
          <w:szCs w:val="20"/>
          <w:color w:val="auto"/>
        </w:rPr>
      </w:pPr>
      <w:r>
        <w:rPr>
          <w:rFonts w:ascii="Courier New" w:cs="Courier New" w:eastAsia="Courier New" w:hAnsi="Courier New"/>
          <w:sz w:val="18"/>
          <w:szCs w:val="18"/>
          <w:color w:val="auto"/>
        </w:rPr>
        <w:t>Vice President, Finance and Chief Financial Officer</w:t>
      </w:r>
    </w:p>
    <w:p>
      <w:pPr>
        <w:ind w:left="3700"/>
        <w:spacing w:after="0"/>
        <w:rPr>
          <w:sz w:val="20"/>
          <w:szCs w:val="20"/>
          <w:color w:val="auto"/>
        </w:rPr>
      </w:pPr>
      <w:r>
        <w:rPr>
          <w:rFonts w:ascii="Courier New" w:cs="Courier New" w:eastAsia="Courier New" w:hAnsi="Courier New"/>
          <w:sz w:val="18"/>
          <w:szCs w:val="18"/>
          <w:color w:val="auto"/>
        </w:rPr>
        <w:t>Cohu, Inc.</w:t>
      </w:r>
    </w:p>
    <w:p>
      <w:pPr>
        <w:ind w:left="3060"/>
        <w:spacing w:after="0" w:line="237" w:lineRule="auto"/>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22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Telephone number, including area code, of agent for service: (619) 277-6700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tbl>
      <w:tblPr>
        <w:tblLayout w:type="fixed"/>
        <w:tblInd w:w="420" w:type="dxa"/>
        <w:tblCellMar>
          <w:top w:w="0" w:type="dxa"/>
          <w:left w:w="0" w:type="dxa"/>
          <w:bottom w:w="0" w:type="dxa"/>
          <w:right w:w="0" w:type="dxa"/>
        </w:tblCellMar>
      </w:tblPr>
      <w:tr>
        <w:trPr>
          <w:trHeight w:val="203"/>
        </w:trPr>
        <w:tc>
          <w:tcPr>
            <w:tcW w:w="190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Title of</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Amount</w:t>
            </w:r>
          </w:p>
        </w:tc>
        <w:tc>
          <w:tcPr>
            <w:tcW w:w="2000" w:type="dxa"/>
            <w:vAlign w:val="bottom"/>
          </w:tcPr>
          <w:p>
            <w:pPr>
              <w:ind w:left="520"/>
              <w:spacing w:after="0"/>
              <w:rPr>
                <w:sz w:val="20"/>
                <w:szCs w:val="20"/>
                <w:color w:val="auto"/>
              </w:rPr>
            </w:pPr>
            <w:r>
              <w:rPr>
                <w:rFonts w:ascii="Courier New" w:cs="Courier New" w:eastAsia="Courier New" w:hAnsi="Courier New"/>
                <w:sz w:val="18"/>
                <w:szCs w:val="18"/>
                <w:color w:val="auto"/>
              </w:rPr>
              <w:t>Maximum</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Proposed Maximum</w:t>
            </w:r>
          </w:p>
        </w:tc>
        <w:tc>
          <w:tcPr>
            <w:tcW w:w="2000" w:type="dxa"/>
            <w:vAlign w:val="bottom"/>
          </w:tcPr>
          <w:p>
            <w:pPr>
              <w:spacing w:after="0"/>
              <w:rPr>
                <w:sz w:val="17"/>
                <w:szCs w:val="17"/>
                <w:color w:val="auto"/>
              </w:rPr>
            </w:pPr>
          </w:p>
        </w:tc>
      </w:tr>
      <w:tr>
        <w:trPr>
          <w:trHeight w:val="203"/>
        </w:trPr>
        <w:tc>
          <w:tcPr>
            <w:tcW w:w="19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Securities to be</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20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Offering Price</w:t>
            </w: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Aggregate</w:t>
            </w: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0"/>
        </w:trPr>
        <w:tc>
          <w:tcPr>
            <w:tcW w:w="19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Registered</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Registered</w:t>
            </w:r>
          </w:p>
        </w:tc>
        <w:tc>
          <w:tcPr>
            <w:tcW w:w="20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Per Share(1)</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Offering Price(1)</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w w:val="96"/>
              </w:rPr>
              <w:t>Registration Fee</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440"/>
          </w:cols>
          <w:pgMar w:left="240" w:top="244" w:right="1219" w:bottom="1440" w:gutter="0" w:footer="0" w:header="0"/>
          <w:type w:val="continuous"/>
        </w:sectPr>
      </w:pPr>
    </w:p>
    <w:p>
      <w:pPr>
        <w:spacing w:after="0" w:line="2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450,000</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$15.19</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$6,835,500</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$2,016.47</w:t>
      </w:r>
    </w:p>
    <w:p>
      <w:pPr>
        <w:spacing w:after="0" w:line="21" w:lineRule="exact"/>
        <w:rPr>
          <w:sz w:val="24"/>
          <w:szCs w:val="24"/>
          <w:color w:val="auto"/>
        </w:rPr>
      </w:pPr>
    </w:p>
    <w:p>
      <w:pPr>
        <w:sectPr>
          <w:pgSz w:w="11900" w:h="16838" w:orient="portrait"/>
          <w:cols w:equalWidth="0" w:num="5">
            <w:col w:w="1920" w:space="720"/>
            <w:col w:w="860" w:space="720"/>
            <w:col w:w="1600" w:space="720"/>
            <w:col w:w="1700" w:space="720"/>
            <w:col w:w="1480"/>
          </w:cols>
          <w:pgMar w:left="240" w:top="244" w:right="1219"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par value $1.00</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440"/>
          </w:cols>
          <w:pgMar w:left="240" w:top="244" w:right="1219" w:bottom="1440" w:gutter="0" w:footer="0" w:header="0"/>
          <w:type w:val="continuous"/>
        </w:sectPr>
      </w:pPr>
    </w:p>
    <w:p>
      <w:pPr>
        <w:spacing w:after="0" w:line="207" w:lineRule="exact"/>
        <w:rPr>
          <w:sz w:val="24"/>
          <w:szCs w:val="24"/>
          <w:color w:val="auto"/>
        </w:rPr>
      </w:pPr>
    </w:p>
    <w:p>
      <w:pPr>
        <w:ind w:right="2000"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 457(h) of the Securities Act of 1933, as amended, solely for purposes of calculating the registration fee. The maximum offering price per share is based on the average of the high and low selling prices per share of Cohu, Inc. Common Stock on September 1, 1998, as reported on the Nasdaq National Market.</w:t>
      </w:r>
    </w:p>
    <w:p>
      <w:pPr>
        <w:sectPr>
          <w:pgSz w:w="11900" w:h="16838" w:orient="portrait"/>
          <w:cols w:equalWidth="0" w:num="1">
            <w:col w:w="10440"/>
          </w:cols>
          <w:pgMar w:left="240" w:top="244" w:right="121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Cohu, Inc. (the "Company") hereby incorporates by reference in this registration statement the following documents:</w:t>
      </w:r>
    </w:p>
    <w:p>
      <w:pPr>
        <w:spacing w:after="0" w:line="208" w:lineRule="exact"/>
        <w:rPr>
          <w:sz w:val="20"/>
          <w:szCs w:val="20"/>
          <w:color w:val="auto"/>
        </w:rPr>
      </w:pPr>
    </w:p>
    <w:p>
      <w:pPr>
        <w:ind w:right="1999" w:firstLine="851"/>
        <w:spacing w:after="0" w:line="237"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filed pursuant to Section 13(a) or 15(d) of the Securities Exchange Act of 1934, as amended (the "Exchange Act"), containing audited financial statements for the Company's fiscal year ended December 31, 1997.</w:t>
      </w:r>
    </w:p>
    <w:p>
      <w:pPr>
        <w:spacing w:after="0" w:line="207" w:lineRule="exact"/>
        <w:rPr>
          <w:rFonts w:ascii="Courier New" w:cs="Courier New" w:eastAsia="Courier New" w:hAnsi="Courier New"/>
          <w:sz w:val="18"/>
          <w:szCs w:val="18"/>
          <w:color w:val="auto"/>
        </w:rPr>
      </w:pPr>
    </w:p>
    <w:p>
      <w:pPr>
        <w:ind w:right="1999" w:firstLine="851"/>
        <w:spacing w:after="0" w:line="236"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document referred to in (a) above.</w:t>
      </w:r>
    </w:p>
    <w:p>
      <w:pPr>
        <w:spacing w:after="0" w:line="208" w:lineRule="exact"/>
        <w:rPr>
          <w:rFonts w:ascii="Courier New" w:cs="Courier New" w:eastAsia="Courier New" w:hAnsi="Courier New"/>
          <w:sz w:val="18"/>
          <w:szCs w:val="18"/>
          <w:color w:val="auto"/>
        </w:rPr>
      </w:pPr>
    </w:p>
    <w:p>
      <w:pPr>
        <w:jc w:val="both"/>
        <w:ind w:right="2419" w:firstLine="851"/>
        <w:spacing w:after="0" w:line="237" w:lineRule="auto"/>
        <w:tabs>
          <w:tab w:leader="none" w:pos="126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388"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The Company has adopted provisions in its Certificate of Incorporation which eliminate the personal liability of its directors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Corporation Law of the State of Delaware provides for indemnification in terms sufficiently broad to indemnify such individuals, under certain circumstances, for liabilities (including reimbursement of expenses incurred) arising under the Securities Act of 1933.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1580" w:hanging="72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1879" w:firstLine="2010"/>
        <w:spacing w:after="0" w:line="235" w:lineRule="auto"/>
        <w:tabs>
          <w:tab w:leader="none" w:pos="2634"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2099" w:firstLine="2010"/>
        <w:spacing w:after="0" w:line="237" w:lineRule="auto"/>
        <w:tabs>
          <w:tab w:leader="none" w:pos="2634"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3" w:lineRule="exact"/>
        <w:rPr>
          <w:rFonts w:ascii="Courier New" w:cs="Courier New" w:eastAsia="Courier New" w:hAnsi="Courier New"/>
          <w:sz w:val="18"/>
          <w:szCs w:val="18"/>
          <w:color w:val="auto"/>
        </w:rPr>
      </w:pPr>
    </w:p>
    <w:p>
      <w:pPr>
        <w:ind w:left="2640" w:hanging="630"/>
        <w:spacing w:after="0"/>
        <w:tabs>
          <w:tab w:leader="none" w:pos="264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(a)(l)(ii)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right="1779" w:firstLine="1588"/>
        <w:spacing w:after="0" w:line="237" w:lineRule="auto"/>
        <w:tabs>
          <w:tab w:leader="none" w:pos="200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2319" w:firstLine="1588"/>
        <w:spacing w:after="0" w:line="236" w:lineRule="auto"/>
        <w:tabs>
          <w:tab w:leader="none" w:pos="200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incorporating subsequent Exchange Act documents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ind w:right="2839" w:firstLine="851"/>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acceleration of effective date or filing of registration statement on Form S-8</w:t>
      </w:r>
    </w:p>
    <w:p>
      <w:pPr>
        <w:spacing w:after="0" w:line="208"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September 2, 1998.</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Charles A. Schwan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Charles A. Schwan</w:t>
      </w:r>
    </w:p>
    <w:p>
      <w:pPr>
        <w:ind w:left="43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officers and directors of Cohu, Inc. whose signatures appear below, hereby constitute and appoint Charles A. Schwan and John H. Allen, and each of them, their true and lawful attorneys and agents, with full power of substitution, each with power to act alone, to sign and execute on behalf of the undersigned any 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212"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indicated on September 2, 1998.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60" w:space="720"/>
            <w:col w:w="493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(Principal Executive Officer)</w:t>
      </w:r>
    </w:p>
    <w:p>
      <w:pPr>
        <w:spacing w:after="0" w:line="402" w:lineRule="exact"/>
        <w:rPr>
          <w:sz w:val="20"/>
          <w:szCs w:val="20"/>
          <w:color w:val="auto"/>
        </w:rPr>
      </w:pPr>
    </w:p>
    <w:p>
      <w:pPr>
        <w:sectPr>
          <w:pgSz w:w="11900" w:h="16838" w:orient="portrait"/>
          <w:cols w:equalWidth="0" w:num="2">
            <w:col w:w="2540" w:space="620"/>
            <w:col w:w="7059"/>
          </w:cols>
          <w:pgMar w:left="24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Finance and Chief Financial Officer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(Principal Financial and Accounting Officer)</w:t>
      </w:r>
    </w:p>
    <w:p>
      <w:pPr>
        <w:spacing w:after="0" w:line="402" w:lineRule="exact"/>
        <w:rPr>
          <w:sz w:val="20"/>
          <w:szCs w:val="20"/>
          <w:color w:val="auto"/>
        </w:rPr>
      </w:pPr>
    </w:p>
    <w:p>
      <w:pPr>
        <w:sectPr>
          <w:pgSz w:w="11900" w:h="16838" w:orient="portrait"/>
          <w:cols w:equalWidth="0" w:num="2">
            <w:col w:w="2540" w:space="620"/>
            <w:col w:w="7059"/>
          </w:cols>
          <w:pgMar w:left="24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S. Ivans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S. Ivans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622" w:lineRule="exact"/>
        <w:rPr>
          <w:sz w:val="20"/>
          <w:szCs w:val="20"/>
          <w:color w:val="auto"/>
        </w:rPr>
      </w:pPr>
    </w:p>
    <w:p>
      <w:pPr>
        <w:sectPr>
          <w:pgSz w:w="11900" w:h="16838" w:orient="portrait"/>
          <w:cols w:equalWidth="0" w:num="2">
            <w:col w:w="2540" w:space="620"/>
            <w:col w:w="7059"/>
          </w:cols>
          <w:pgMar w:left="240" w:top="312" w:right="1440" w:bottom="1440" w:gutter="0" w:footer="0" w:header="0"/>
          <w:type w:val="continuous"/>
        </w:sectPr>
      </w:pPr>
    </w:p>
    <w:p>
      <w:pPr>
        <w:spacing w:after="0" w:line="1"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James W. Barnes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W. Barnes</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/a/ Harry L. Casari</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Harry L. Casari</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Frank W. Davis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W. Davis</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Gene E. Leary</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 E. Leary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740" w:right="19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Amended and Restated Certificate of Incorporation of Cohu, Inc. incorporated by reference to Exhibit 3.1(a) to the Cohu, Inc. Form 10-Q for the quarterly period ended June 30, 1998.</w:t>
      </w:r>
    </w:p>
    <w:p>
      <w:pPr>
        <w:spacing w:after="0" w:line="209"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Bylaws of Cohu, Inc. incorporated by reference to Exhibit 3.2 to the Company's Report on Form 8-K filed with the Securities and Exchange Commission on December 12, 1996.</w:t>
      </w:r>
    </w:p>
    <w:p>
      <w:pPr>
        <w:spacing w:after="0" w:line="209" w:lineRule="exact"/>
        <w:rPr>
          <w:sz w:val="20"/>
          <w:szCs w:val="20"/>
          <w:color w:val="auto"/>
        </w:rPr>
      </w:pPr>
    </w:p>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Rights Agreement dated November 15, 1996, between Cohu, Inc. and Chase Mellon Shareholder Services, L.L.C., incorporated by reference to Exhibit 4.1 to Cohu, Inc. Report on Form 8-K filed with the Securities and Exchange Commission on December 12, 1996.</w:t>
      </w:r>
    </w:p>
    <w:p>
      <w:pPr>
        <w:spacing w:after="0" w:line="202" w:lineRule="exact"/>
        <w:rPr>
          <w:sz w:val="20"/>
          <w:szCs w:val="20"/>
          <w:color w:val="auto"/>
        </w:rPr>
      </w:pPr>
    </w:p>
    <w:p>
      <w:pPr>
        <w:ind w:left="740" w:hanging="732"/>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 legality</w:t>
      </w:r>
    </w:p>
    <w:p>
      <w:pPr>
        <w:spacing w:after="0" w:line="207" w:lineRule="exact"/>
        <w:rPr>
          <w:sz w:val="20"/>
          <w:szCs w:val="20"/>
          <w:color w:val="auto"/>
        </w:rPr>
      </w:pPr>
    </w:p>
    <w:p>
      <w:pPr>
        <w:ind w:left="740" w:right="18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Cohu, Inc. 1998 Stock Option Plan incorporated by reference from Exhibit 10.14 to the Cohu, Inc. 1997 Form 10-K filed with the Securities and Exchange Commission.</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740" w:right="2419" w:hanging="732"/>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pages to this registration statement)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ind w:left="2000"/>
        <w:spacing w:after="0" w:line="238" w:lineRule="auto"/>
        <w:rPr>
          <w:sz w:val="20"/>
          <w:szCs w:val="20"/>
          <w:color w:val="auto"/>
        </w:rPr>
      </w:pPr>
      <w:r>
        <w:rPr>
          <w:rFonts w:ascii="Courier New" w:cs="Courier New" w:eastAsia="Courier New" w:hAnsi="Courier New"/>
          <w:sz w:val="18"/>
          <w:szCs w:val="18"/>
          <w:color w:val="auto"/>
        </w:rPr>
        <w:t>[GRAY CARY WARE &amp; FREIDENRICH LETTERHEAD]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5</w:t>
      </w:r>
    </w:p>
    <w:p>
      <w:pPr>
        <w:spacing w:after="0" w:line="2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OUR FILE NO.</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8203-92001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September 1,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As legal counsel for Cohu, Inc., a Delaware corporation (the "Company"), we are rendering this opinion in connection with the registration under the Securities Act of 1933, as amended, of a total of up to 450,000 shares of the Common Stock, $1.00 par value, of the Company which may be issued pursuant to the Cohu, Inc. 1998 Stock Option Plan (the "Plan"). 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450,000 shares of Common Stock which may be issued under the Plan are duly authorized shares and, when issued against receipt of the consideration therefor in accordance with the provisions of the Plan, will be validly issued, fully paid and nonassessable. We hereby consent to the filing of this opinion as an exhibit to the Registration Statement referred to above and the use of our name wherever it appears in said Registration Statement.</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Gray Cary Ware Freidenrich</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GRAY CARY WARE &amp; FREIDENRICH, LLP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Cohu, Inc. 1998 Stock Option Plan of our report dated January 29, 1998, with respect to the consolidated financial statements and schedules of Cohu, Inc. included and incorporated by reference in its Annual Report (Form 10-K) for the year ended December 31, 1997, filed with the Securities and Exchange Commission.</w:t>
      </w: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Ernst &amp; Young LLP</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September 1, 1998</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BD062C2"/>
    <w:multiLevelType w:val="hybridMultilevel"/>
    <w:lvl w:ilvl="0">
      <w:lvlJc w:val="left"/>
      <w:lvlText w:val="%1"/>
      <w:numFmt w:val="lowerLetter"/>
      <w:start w:val="1"/>
    </w:lvl>
    <w:lvl w:ilvl="1">
      <w:lvlJc w:val="left"/>
      <w:lvlText w:val="(%2)"/>
      <w:numFmt w:val="decimal"/>
      <w:start w:val="2"/>
    </w:lvl>
  </w:abstractNum>
  <w:abstractNum w:abstractNumId="5">
    <w:nsid w:val="12200854"/>
    <w:multiLevelType w:val="hybridMultilevel"/>
    <w:lvl w:ilvl="0">
      <w:lvlJc w:val="left"/>
      <w:lvlText w:val="(%1)"/>
      <w:numFmt w:val="lowerLetter"/>
      <w:start w:val="2"/>
    </w:lvl>
    <w:lvl w:ilvl="1">
      <w:lvlJc w:val="left"/>
      <w:lvlText w:val="%2"/>
      <w:numFmt w:val="decimal"/>
      <w:start w:val="1"/>
    </w:lvl>
  </w:abstractNum>
  <w:abstractNum w:abstractNumId="6">
    <w:nsid w:val="4DB127F8"/>
    <w:multiLevelType w:val="hybridMultilevel"/>
    <w:lvl w:ilvl="0">
      <w:lvlJc w:val="left"/>
      <w:lvlText w:val="(%1)"/>
      <w:numFmt w:val="lowerLetter"/>
      <w:start w:val="8"/>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5"/>
      <w:numFmt w:val="bullet"/>
      <w:start w:val="1"/>
    </w:lvl>
  </w:abstractNum>
  <w:abstractNum w:abstractNumId="12">
    <w:nsid w:val="3352255A"/>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2019-12-12T22:42:08Z</dcterms:created>
  <dcterms:modified xsi:type="dcterms:W3CDTF">2019-12-12T22:42:08Z</dcterms:modified>
</cp:coreProperties>
</file>