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MARCH 31, 1998</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1580"/>
        <w:spacing w:after="0"/>
        <w:tabs>
          <w:tab w:leader="none" w:pos="620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6"/>
          <w:szCs w:val="16"/>
          <w:color w:val="auto"/>
        </w:rPr>
        <w:t>95-1934119</w:t>
      </w:r>
    </w:p>
    <w:p>
      <w:pPr>
        <w:spacing w:after="0"/>
        <w:tabs>
          <w:tab w:leader="none" w:pos="462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 Identification No.)</w:t>
      </w:r>
    </w:p>
    <w:p>
      <w:pPr>
        <w:ind w:left="1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0" w:lineRule="exact"/>
        <w:rPr>
          <w:sz w:val="24"/>
          <w:szCs w:val="24"/>
          <w:color w:val="auto"/>
        </w:rPr>
      </w:pPr>
    </w:p>
    <w:p>
      <w:pPr>
        <w:spacing w:after="0" w:line="203"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5755 KEARNY VILLA ROAD, SAN DIEGO, CALIFORNIA</w:t>
      </w:r>
      <w:r>
        <w:rPr>
          <w:sz w:val="20"/>
          <w:szCs w:val="20"/>
          <w:color w:val="auto"/>
        </w:rPr>
        <w:tab/>
      </w:r>
      <w:r>
        <w:rPr>
          <w:rFonts w:ascii="Courier New" w:cs="Courier New" w:eastAsia="Courier New" w:hAnsi="Courier New"/>
          <w:sz w:val="18"/>
          <w:szCs w:val="18"/>
          <w:color w:val="auto"/>
        </w:rPr>
        <w:t>92123</w:t>
      </w:r>
    </w:p>
    <w:p>
      <w:pPr>
        <w:spacing w:after="0"/>
        <w:tabs>
          <w:tab w:leader="none" w:pos="6420" w:val="left"/>
        </w:tabs>
        <w:rPr>
          <w:sz w:val="20"/>
          <w:szCs w:val="20"/>
          <w:color w:val="auto"/>
        </w:rPr>
      </w:pPr>
      <w:r>
        <w:rPr>
          <w:rFonts w:ascii="Courier New" w:cs="Courier New" w:eastAsia="Courier New" w:hAnsi="Courier New"/>
          <w:sz w:val="18"/>
          <w:szCs w:val="18"/>
          <w:color w:val="auto"/>
        </w:rPr>
        <w:t>(Address of principal executive office)</w:t>
      </w:r>
      <w:r>
        <w:rPr>
          <w:sz w:val="20"/>
          <w:szCs w:val="20"/>
          <w:color w:val="auto"/>
        </w:rPr>
        <w:tab/>
      </w:r>
      <w:r>
        <w:rPr>
          <w:rFonts w:ascii="Courier New" w:cs="Courier New" w:eastAsia="Courier New" w:hAnsi="Courier New"/>
          <w:sz w:val="16"/>
          <w:szCs w:val="16"/>
          <w:color w:val="auto"/>
        </w:rPr>
        <w:t>(Zip Code)</w:t>
      </w:r>
    </w:p>
    <w:p>
      <w:pPr>
        <w:spacing w:after="0" w:line="202" w:lineRule="exact"/>
        <w:rPr>
          <w:sz w:val="24"/>
          <w:szCs w:val="24"/>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619-277-6700</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4740"/>
        <w:spacing w:after="0"/>
        <w:tabs>
          <w:tab w:leader="none" w:pos="5260" w:val="left"/>
          <w:tab w:leader="none" w:pos="600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 [ ]</w:t>
      </w:r>
    </w:p>
    <w:p>
      <w:pPr>
        <w:spacing w:after="0" w:line="200" w:lineRule="exact"/>
        <w:rPr>
          <w:sz w:val="24"/>
          <w:szCs w:val="24"/>
          <w:color w:val="auto"/>
        </w:rPr>
      </w:pPr>
    </w:p>
    <w:p>
      <w:pPr>
        <w:spacing w:after="0" w:line="209"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As of March 31, 1998, the Registrant had 9,704,808 shares of its $1.00 par value common stock outstanding.</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700"/>
        <w:spacing w:after="0" w:line="238" w:lineRule="auto"/>
        <w:rPr>
          <w:sz w:val="20"/>
          <w:szCs w:val="20"/>
          <w:color w:val="auto"/>
        </w:rPr>
      </w:pPr>
      <w:r>
        <w:rPr>
          <w:rFonts w:ascii="Courier New" w:cs="Courier New" w:eastAsia="Courier New" w:hAnsi="Courier New"/>
          <w:sz w:val="18"/>
          <w:szCs w:val="18"/>
          <w:color w:val="auto"/>
        </w:rPr>
        <w:t>COHU, INC.</w:t>
      </w:r>
    </w:p>
    <w:p>
      <w:pPr>
        <w:ind w:left="4020"/>
        <w:spacing w:after="0"/>
        <w:rPr>
          <w:sz w:val="20"/>
          <w:szCs w:val="20"/>
          <w:color w:val="auto"/>
        </w:rPr>
      </w:pPr>
      <w:r>
        <w:rPr>
          <w:rFonts w:ascii="Courier New" w:cs="Courier New" w:eastAsia="Courier New" w:hAnsi="Courier New"/>
          <w:sz w:val="18"/>
          <w:szCs w:val="18"/>
          <w:color w:val="auto"/>
        </w:rPr>
        <w:t>INDEX</w:t>
      </w:r>
    </w:p>
    <w:p>
      <w:pPr>
        <w:ind w:left="3800"/>
        <w:spacing w:after="0" w:line="237" w:lineRule="auto"/>
        <w:rPr>
          <w:sz w:val="20"/>
          <w:szCs w:val="20"/>
          <w:color w:val="auto"/>
        </w:rPr>
      </w:pPr>
      <w:r>
        <w:rPr>
          <w:rFonts w:ascii="Courier New" w:cs="Courier New" w:eastAsia="Courier New" w:hAnsi="Courier New"/>
          <w:sz w:val="18"/>
          <w:szCs w:val="18"/>
          <w:color w:val="auto"/>
        </w:rPr>
        <w:t>FORM 10-Q</w:t>
      </w:r>
    </w:p>
    <w:p>
      <w:pPr>
        <w:ind w:left="3480"/>
        <w:spacing w:after="0" w:line="238" w:lineRule="auto"/>
        <w:rPr>
          <w:sz w:val="20"/>
          <w:szCs w:val="20"/>
          <w:color w:val="auto"/>
        </w:rPr>
      </w:pPr>
      <w:r>
        <w:rPr>
          <w:rFonts w:ascii="Courier New" w:cs="Courier New" w:eastAsia="Courier New" w:hAnsi="Courier New"/>
          <w:sz w:val="18"/>
          <w:szCs w:val="18"/>
          <w:color w:val="auto"/>
        </w:rPr>
        <w:t>MARCH 31, 1998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Condensed</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Consolidated Balance Sheets</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March 31,</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1998 (Unaudited) and December 31, 1997......................</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86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Condensed</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Consolidated Statements of Income (Unaudited)</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Three Months Ended March 31, 1998 and 1997............................</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86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Condensed</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 (Unaudited)</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Three Months Ended March 31, 1998 and 1997............................</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86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Notes to Unaudited Condensed Consolidated Financial Statements........</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6</w:t>
            </w:r>
          </w:p>
        </w:tc>
      </w:tr>
      <w:tr>
        <w:trPr>
          <w:trHeight w:val="608"/>
        </w:trPr>
        <w:tc>
          <w:tcPr>
            <w:tcW w:w="8340" w:type="dxa"/>
            <w:vAlign w:val="bottom"/>
            <w:gridSpan w:val="3"/>
          </w:tcPr>
          <w:p>
            <w:pPr>
              <w:spacing w:after="0"/>
              <w:rPr>
                <w:sz w:val="20"/>
                <w:szCs w:val="20"/>
                <w:color w:val="auto"/>
              </w:rPr>
            </w:pPr>
            <w:r>
              <w:rPr>
                <w:rFonts w:ascii="Courier New" w:cs="Courier New" w:eastAsia="Courier New" w:hAnsi="Courier New"/>
                <w:sz w:val="18"/>
                <w:szCs w:val="18"/>
                <w:color w:val="auto"/>
              </w:rPr>
              <w:t>Item 2.  Management's Discussion and Analysis of</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Condition and Results of Operations.........................</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r>
      <w:tr>
        <w:trPr>
          <w:trHeight w:val="810"/>
        </w:trPr>
        <w:tc>
          <w:tcPr>
            <w:tcW w:w="8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2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Changes in Securities.................................................</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10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Exhibits and Reports on Form 8-K......................................</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10</w:t>
            </w:r>
          </w:p>
        </w:tc>
      </w:tr>
      <w:tr>
        <w:trPr>
          <w:trHeight w:val="405"/>
        </w:trPr>
        <w:tc>
          <w:tcPr>
            <w:tcW w:w="8340" w:type="dxa"/>
            <w:vAlign w:val="bottom"/>
            <w:gridSpan w:val="3"/>
          </w:tcPr>
          <w:p>
            <w:pPr>
              <w:spacing w:after="0"/>
              <w:rPr>
                <w:sz w:val="20"/>
                <w:szCs w:val="20"/>
                <w:color w:val="auto"/>
              </w:rPr>
            </w:pPr>
            <w:r>
              <w:rPr>
                <w:rFonts w:ascii="Courier New" w:cs="Courier New" w:eastAsia="Courier New" w:hAnsi="Courier New"/>
                <w:sz w:val="18"/>
                <w:szCs w:val="18"/>
                <w:color w:val="auto"/>
                <w:w w:val="97"/>
              </w:rPr>
              <w:t>Signatures ....................................................................</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10</w:t>
            </w:r>
          </w:p>
        </w:tc>
      </w:tr>
      <w:tr>
        <w:trPr>
          <w:trHeight w:val="810"/>
        </w:trPr>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340" w:type="dxa"/>
            <w:vAlign w:val="bottom"/>
          </w:tcPr>
          <w:p>
            <w:pPr>
              <w:ind w:left="2120"/>
              <w:spacing w:after="0"/>
              <w:rPr>
                <w:sz w:val="20"/>
                <w:szCs w:val="20"/>
                <w:color w:val="auto"/>
              </w:rPr>
            </w:pPr>
            <w:r>
              <w:rPr>
                <w:rFonts w:ascii="Courier New" w:cs="Courier New" w:eastAsia="Courier New" w:hAnsi="Courier New"/>
                <w:sz w:val="18"/>
                <w:szCs w:val="18"/>
                <w:color w:val="auto"/>
              </w:rPr>
              <w:t>2</w:t>
            </w:r>
          </w:p>
        </w:tc>
        <w:tc>
          <w:tcPr>
            <w:tcW w:w="20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679"/>
        <w:spacing w:after="0"/>
        <w:rPr>
          <w:sz w:val="20"/>
          <w:szCs w:val="20"/>
          <w:color w:val="auto"/>
        </w:rPr>
      </w:pPr>
      <w:r>
        <w:rPr>
          <w:rFonts w:ascii="Courier New" w:cs="Courier New" w:eastAsia="Courier New" w:hAnsi="Courier New"/>
          <w:sz w:val="18"/>
          <w:szCs w:val="18"/>
          <w:color w:val="auto"/>
        </w:rPr>
        <w:t>CONDENSED CONSOLIDATED BALANCE SHEETS</w:t>
      </w:r>
    </w:p>
    <w:tbl>
      <w:tblPr>
        <w:tblLayout w:type="fixed"/>
        <w:tblInd w:w="0" w:type="dxa"/>
        <w:tblCellMar>
          <w:top w:w="0" w:type="dxa"/>
          <w:left w:w="0" w:type="dxa"/>
          <w:bottom w:w="0" w:type="dxa"/>
          <w:right w:w="0" w:type="dxa"/>
        </w:tblCellMar>
      </w:tblPr>
      <w:tr>
        <w:trPr>
          <w:trHeight w:val="202"/>
        </w:trPr>
        <w:tc>
          <w:tcPr>
            <w:tcW w:w="5800" w:type="dxa"/>
            <w:vAlign w:val="bottom"/>
          </w:tcPr>
          <w:p>
            <w:pPr>
              <w:ind w:left="3480"/>
              <w:spacing w:after="0" w:line="202" w:lineRule="exact"/>
              <w:rPr>
                <w:sz w:val="20"/>
                <w:szCs w:val="20"/>
                <w:color w:val="auto"/>
              </w:rPr>
            </w:pPr>
            <w:r>
              <w:rPr>
                <w:rFonts w:ascii="Courier New" w:cs="Courier New" w:eastAsia="Courier New" w:hAnsi="Courier New"/>
                <w:sz w:val="18"/>
                <w:szCs w:val="18"/>
                <w:color w:val="auto"/>
              </w:rPr>
              <w:t>(in thousands)</w:t>
            </w: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58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MARCH 31, 1998</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1997</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1900" w:type="dxa"/>
            <w:vAlign w:val="bottom"/>
          </w:tcPr>
          <w:p>
            <w:pPr>
              <w:spacing w:after="0"/>
              <w:rPr>
                <w:sz w:val="17"/>
                <w:szCs w:val="17"/>
                <w:color w:val="auto"/>
              </w:rPr>
            </w:pP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$ 49,008</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$ 39,736</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4,999</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13,814</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less allowance for doubtful</w:t>
            </w: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accounts of $1,754 in 1998 and $1,787 in 1997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35,466</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31,934</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Raw materials and purchased parts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22,702</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21,224</w:t>
            </w: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Work in process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14,238</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15,657</w:t>
            </w: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Finished goods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12,407</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8,018</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49,347</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44,899</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9,669</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9,669</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1,362</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1,478</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149,851</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141,530</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2,501</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12,012</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11,906</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18,263</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17,524</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32,776</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31,931</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13,505</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12,982</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19,271</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18,949</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 of accumulated amortization</w:t>
            </w: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$854 in 1998 and $815 in 1997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2,273</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2,312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$171,491</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$162,892</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$ 14,263</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$ 16,166</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6,698</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3,421</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14,125</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15,742</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35,086</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35,329</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1,027</w:t>
            </w:r>
          </w:p>
        </w:tc>
        <w:tc>
          <w:tcPr>
            <w:tcW w:w="1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1,004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348</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348</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9,705</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9,549</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9,901</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8,677</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115,424</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107,985</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135,030</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126,211</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$171,491</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$162,892</w:t>
            </w:r>
          </w:p>
        </w:tc>
      </w:tr>
      <w:tr>
        <w:trPr>
          <w:trHeight w:val="203"/>
        </w:trPr>
        <w:tc>
          <w:tcPr>
            <w:tcW w:w="580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THREE MONTHS ENDED MARCH 31,</w:t>
            </w:r>
          </w:p>
        </w:tc>
      </w:tr>
      <w:tr>
        <w:trPr>
          <w:trHeight w:val="203"/>
        </w:trPr>
        <w:tc>
          <w:tcPr>
            <w:tcW w:w="4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1998</w:t>
            </w:r>
          </w:p>
        </w:tc>
        <w:tc>
          <w:tcPr>
            <w:tcW w:w="5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1997</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7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$56,691</w:t>
            </w:r>
          </w:p>
        </w:tc>
        <w:tc>
          <w:tcPr>
            <w:tcW w:w="14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$34,762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sales</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33,367</w:t>
            </w:r>
          </w:p>
        </w:tc>
        <w:tc>
          <w:tcPr>
            <w:tcW w:w="5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19,908</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5,401</w:t>
            </w:r>
          </w:p>
        </w:tc>
        <w:tc>
          <w:tcPr>
            <w:tcW w:w="5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3,261</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6,176</w:t>
            </w:r>
          </w:p>
        </w:tc>
        <w:tc>
          <w:tcPr>
            <w:tcW w:w="5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4,817</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44,944</w:t>
            </w:r>
          </w:p>
        </w:tc>
        <w:tc>
          <w:tcPr>
            <w:tcW w:w="5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27,986</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11,747</w:t>
            </w:r>
          </w:p>
        </w:tc>
        <w:tc>
          <w:tcPr>
            <w:tcW w:w="5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6,776</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769</w:t>
            </w:r>
          </w:p>
        </w:tc>
        <w:tc>
          <w:tcPr>
            <w:tcW w:w="5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738</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12,516</w:t>
            </w:r>
          </w:p>
        </w:tc>
        <w:tc>
          <w:tcPr>
            <w:tcW w:w="5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7,514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4,300</w:t>
            </w:r>
          </w:p>
        </w:tc>
        <w:tc>
          <w:tcPr>
            <w:tcW w:w="5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2,800</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$ 8,216</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$ 4,714</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Weighted average shares used in</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computing earnings per share:</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9,687</w:t>
            </w:r>
          </w:p>
        </w:tc>
        <w:tc>
          <w:tcPr>
            <w:tcW w:w="5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9,348</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6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10,067</w:t>
            </w:r>
          </w:p>
        </w:tc>
        <w:tc>
          <w:tcPr>
            <w:tcW w:w="5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9,802</w:t>
            </w:r>
          </w:p>
        </w:tc>
      </w:tr>
      <w:tr>
        <w:trPr>
          <w:trHeight w:val="203"/>
        </w:trPr>
        <w:tc>
          <w:tcPr>
            <w:tcW w:w="428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69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6960" w:type="dxa"/>
            <w:vAlign w:val="bottom"/>
          </w:tcPr>
          <w:p>
            <w:pPr>
              <w:jc w:val="right"/>
              <w:ind w:right="2132"/>
              <w:spacing w:after="0"/>
              <w:rPr>
                <w:sz w:val="20"/>
                <w:szCs w:val="20"/>
                <w:color w:val="auto"/>
              </w:rPr>
            </w:pPr>
            <w:r>
              <w:rPr>
                <w:rFonts w:ascii="Courier New" w:cs="Courier New" w:eastAsia="Courier New" w:hAnsi="Courier New"/>
                <w:sz w:val="18"/>
                <w:szCs w:val="18"/>
                <w:color w:val="auto"/>
              </w:rPr>
              <w:t>COHU, INC.</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96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96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(Unaudited)</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96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6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1998</w:t>
            </w:r>
          </w:p>
        </w:tc>
        <w:tc>
          <w:tcPr>
            <w:tcW w:w="1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960" w:type="dxa"/>
            <w:vAlign w:val="bottom"/>
          </w:tcPr>
          <w:p>
            <w:pPr>
              <w:spacing w:after="0"/>
              <w:rPr>
                <w:sz w:val="17"/>
                <w:szCs w:val="17"/>
                <w:color w:val="auto"/>
              </w:rPr>
            </w:pPr>
          </w:p>
        </w:tc>
        <w:tc>
          <w:tcPr>
            <w:tcW w:w="21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8,216</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4,714</w:t>
            </w:r>
          </w:p>
        </w:tc>
      </w:tr>
      <w:tr>
        <w:trPr>
          <w:trHeight w:val="203"/>
        </w:trPr>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561</w:t>
            </w:r>
          </w:p>
        </w:tc>
        <w:tc>
          <w:tcPr>
            <w:tcW w:w="1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w:t>
            </w:r>
          </w:p>
        </w:tc>
      </w:tr>
      <w:tr>
        <w:trPr>
          <w:trHeight w:val="203"/>
        </w:trPr>
        <w:tc>
          <w:tcPr>
            <w:tcW w:w="6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Purchase consideration to be paid with stock</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286</w:t>
            </w:r>
          </w:p>
        </w:tc>
        <w:tc>
          <w:tcPr>
            <w:tcW w:w="1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6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23</w:t>
            </w:r>
          </w:p>
        </w:tc>
        <w:tc>
          <w:tcPr>
            <w:tcW w:w="1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6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480" w:type="dxa"/>
            <w:vAlign w:val="bottom"/>
          </w:tcPr>
          <w:p>
            <w:pPr>
              <w:spacing w:after="0"/>
              <w:rPr>
                <w:sz w:val="17"/>
                <w:szCs w:val="17"/>
                <w:color w:val="auto"/>
              </w:rPr>
            </w:pPr>
          </w:p>
        </w:tc>
        <w:tc>
          <w:tcPr>
            <w:tcW w:w="1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(3,532)</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(6,617)</w:t>
            </w:r>
          </w:p>
        </w:tc>
      </w:tr>
      <w:tr>
        <w:trPr>
          <w:trHeight w:val="203"/>
        </w:trPr>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Inventories</w:t>
            </w:r>
          </w:p>
        </w:tc>
        <w:tc>
          <w:tcPr>
            <w:tcW w:w="480" w:type="dxa"/>
            <w:vAlign w:val="bottom"/>
          </w:tcPr>
          <w:p>
            <w:pPr>
              <w:spacing w:after="0"/>
              <w:rPr>
                <w:sz w:val="17"/>
                <w:szCs w:val="17"/>
                <w:color w:val="auto"/>
              </w:rPr>
            </w:pPr>
          </w:p>
        </w:tc>
        <w:tc>
          <w:tcPr>
            <w:tcW w:w="1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(4,448)</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(3,267)</w:t>
            </w:r>
          </w:p>
        </w:tc>
      </w:tr>
      <w:tr>
        <w:trPr>
          <w:trHeight w:val="203"/>
        </w:trPr>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116</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80" w:type="dxa"/>
            <w:vAlign w:val="bottom"/>
          </w:tcPr>
          <w:p>
            <w:pPr>
              <w:spacing w:after="0"/>
              <w:rPr>
                <w:sz w:val="17"/>
                <w:szCs w:val="17"/>
                <w:color w:val="auto"/>
              </w:rPr>
            </w:pPr>
          </w:p>
        </w:tc>
        <w:tc>
          <w:tcPr>
            <w:tcW w:w="1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(1,903)</w:t>
            </w:r>
          </w:p>
        </w:tc>
        <w:tc>
          <w:tcPr>
            <w:tcW w:w="1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3,779</w:t>
            </w:r>
          </w:p>
        </w:tc>
      </w:tr>
      <w:tr>
        <w:trPr>
          <w:trHeight w:val="203"/>
        </w:trPr>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3,277</w:t>
            </w:r>
          </w:p>
        </w:tc>
        <w:tc>
          <w:tcPr>
            <w:tcW w:w="1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2,835</w:t>
            </w:r>
          </w:p>
        </w:tc>
      </w:tr>
      <w:tr>
        <w:trPr>
          <w:trHeight w:val="203"/>
        </w:trPr>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480" w:type="dxa"/>
            <w:vAlign w:val="bottom"/>
          </w:tcPr>
          <w:p>
            <w:pPr>
              <w:spacing w:after="0"/>
              <w:rPr>
                <w:sz w:val="17"/>
                <w:szCs w:val="17"/>
                <w:color w:val="auto"/>
              </w:rPr>
            </w:pPr>
          </w:p>
        </w:tc>
        <w:tc>
          <w:tcPr>
            <w:tcW w:w="1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(1,903)</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(1,654)</w:t>
            </w:r>
          </w:p>
        </w:tc>
      </w:tr>
      <w:tr>
        <w:trPr>
          <w:trHeight w:val="203"/>
        </w:trPr>
        <w:tc>
          <w:tcPr>
            <w:tcW w:w="6960" w:type="dxa"/>
            <w:vAlign w:val="bottom"/>
          </w:tcPr>
          <w:p>
            <w:pPr>
              <w:spacing w:after="0"/>
              <w:rPr>
                <w:sz w:val="17"/>
                <w:szCs w:val="17"/>
                <w:color w:val="auto"/>
              </w:rPr>
            </w:pPr>
          </w:p>
        </w:tc>
        <w:tc>
          <w:tcPr>
            <w:tcW w:w="21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from operating activities</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693</w:t>
            </w:r>
          </w:p>
        </w:tc>
        <w:tc>
          <w:tcPr>
            <w:tcW w:w="1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480" w:type="dxa"/>
            <w:vAlign w:val="bottom"/>
          </w:tcPr>
          <w:p>
            <w:pPr>
              <w:spacing w:after="0"/>
              <w:rPr>
                <w:sz w:val="17"/>
                <w:szCs w:val="17"/>
                <w:color w:val="auto"/>
              </w:rPr>
            </w:pPr>
          </w:p>
        </w:tc>
        <w:tc>
          <w:tcPr>
            <w:tcW w:w="1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(4,000)</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(14,347)</w:t>
            </w:r>
          </w:p>
        </w:tc>
      </w:tr>
      <w:tr>
        <w:trPr>
          <w:trHeight w:val="203"/>
        </w:trPr>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12,815</w:t>
            </w:r>
          </w:p>
        </w:tc>
        <w:tc>
          <w:tcPr>
            <w:tcW w:w="1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480" w:type="dxa"/>
            <w:vAlign w:val="bottom"/>
          </w:tcPr>
          <w:p>
            <w:pPr>
              <w:spacing w:after="0"/>
              <w:rPr>
                <w:sz w:val="17"/>
                <w:szCs w:val="17"/>
                <w:color w:val="auto"/>
              </w:rPr>
            </w:pPr>
          </w:p>
        </w:tc>
        <w:tc>
          <w:tcPr>
            <w:tcW w:w="1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(839)</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w:t>
            </w:r>
          </w:p>
        </w:tc>
      </w:tr>
      <w:tr>
        <w:trPr>
          <w:trHeight w:val="203"/>
        </w:trPr>
        <w:tc>
          <w:tcPr>
            <w:tcW w:w="6960" w:type="dxa"/>
            <w:vAlign w:val="bottom"/>
          </w:tcPr>
          <w:p>
            <w:pPr>
              <w:spacing w:after="0"/>
              <w:rPr>
                <w:sz w:val="17"/>
                <w:szCs w:val="17"/>
                <w:color w:val="auto"/>
              </w:rPr>
            </w:pPr>
          </w:p>
        </w:tc>
        <w:tc>
          <w:tcPr>
            <w:tcW w:w="21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by (used for) investing activities</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7,976</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(14,977)</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1,380</w:t>
            </w:r>
          </w:p>
        </w:tc>
        <w:tc>
          <w:tcPr>
            <w:tcW w:w="1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dividends</w:t>
            </w:r>
          </w:p>
        </w:tc>
        <w:tc>
          <w:tcPr>
            <w:tcW w:w="480" w:type="dxa"/>
            <w:vAlign w:val="bottom"/>
          </w:tcPr>
          <w:p>
            <w:pPr>
              <w:spacing w:after="0"/>
              <w:rPr>
                <w:sz w:val="17"/>
                <w:szCs w:val="17"/>
                <w:color w:val="auto"/>
              </w:rPr>
            </w:pPr>
          </w:p>
        </w:tc>
        <w:tc>
          <w:tcPr>
            <w:tcW w:w="1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(777)</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w:t>
            </w:r>
          </w:p>
        </w:tc>
      </w:tr>
      <w:tr>
        <w:trPr>
          <w:trHeight w:val="203"/>
        </w:trPr>
        <w:tc>
          <w:tcPr>
            <w:tcW w:w="6960" w:type="dxa"/>
            <w:vAlign w:val="bottom"/>
          </w:tcPr>
          <w:p>
            <w:pPr>
              <w:spacing w:after="0"/>
              <w:rPr>
                <w:sz w:val="17"/>
                <w:szCs w:val="17"/>
                <w:color w:val="auto"/>
              </w:rPr>
            </w:pPr>
          </w:p>
        </w:tc>
        <w:tc>
          <w:tcPr>
            <w:tcW w:w="21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by (used for) financing activities</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603</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w:t>
            </w:r>
          </w:p>
        </w:tc>
      </w:tr>
      <w:tr>
        <w:trPr>
          <w:trHeight w:val="203"/>
        </w:trPr>
        <w:tc>
          <w:tcPr>
            <w:tcW w:w="6960" w:type="dxa"/>
            <w:vAlign w:val="bottom"/>
          </w:tcPr>
          <w:p>
            <w:pPr>
              <w:spacing w:after="0"/>
              <w:rPr>
                <w:sz w:val="17"/>
                <w:szCs w:val="17"/>
                <w:color w:val="auto"/>
              </w:rPr>
            </w:pPr>
          </w:p>
        </w:tc>
        <w:tc>
          <w:tcPr>
            <w:tcW w:w="21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9,272</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(15,001)</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480" w:type="dxa"/>
            <w:vAlign w:val="bottom"/>
          </w:tcPr>
          <w:p>
            <w:pPr>
              <w:spacing w:after="0"/>
              <w:rPr>
                <w:sz w:val="17"/>
                <w:szCs w:val="17"/>
                <w:color w:val="auto"/>
              </w:rPr>
            </w:pP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39,736</w:t>
            </w:r>
          </w:p>
        </w:tc>
        <w:tc>
          <w:tcPr>
            <w:tcW w:w="1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24,660</w:t>
            </w:r>
          </w:p>
        </w:tc>
      </w:tr>
      <w:tr>
        <w:trPr>
          <w:trHeight w:val="203"/>
        </w:trPr>
        <w:tc>
          <w:tcPr>
            <w:tcW w:w="6960" w:type="dxa"/>
            <w:vAlign w:val="bottom"/>
          </w:tcPr>
          <w:p>
            <w:pPr>
              <w:spacing w:after="0"/>
              <w:rPr>
                <w:sz w:val="17"/>
                <w:szCs w:val="17"/>
                <w:color w:val="auto"/>
              </w:rPr>
            </w:pPr>
          </w:p>
        </w:tc>
        <w:tc>
          <w:tcPr>
            <w:tcW w:w="21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21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$ 49,008</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9,659</w:t>
            </w:r>
          </w:p>
        </w:tc>
      </w:tr>
      <w:tr>
        <w:trPr>
          <w:trHeight w:val="203"/>
        </w:trPr>
        <w:tc>
          <w:tcPr>
            <w:tcW w:w="6960" w:type="dxa"/>
            <w:vAlign w:val="bottom"/>
          </w:tcPr>
          <w:p>
            <w:pPr>
              <w:spacing w:after="0"/>
              <w:rPr>
                <w:sz w:val="17"/>
                <w:szCs w:val="17"/>
                <w:color w:val="auto"/>
              </w:rPr>
            </w:pPr>
          </w:p>
        </w:tc>
        <w:tc>
          <w:tcPr>
            <w:tcW w:w="21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696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1,228</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1779"/>
        <w:spacing w:after="0"/>
        <w:rPr>
          <w:sz w:val="20"/>
          <w:szCs w:val="20"/>
          <w:color w:val="auto"/>
        </w:rPr>
      </w:pPr>
      <w:r>
        <w:rPr>
          <w:rFonts w:ascii="Courier New" w:cs="Courier New" w:eastAsia="Courier New" w:hAnsi="Courier New"/>
          <w:sz w:val="18"/>
          <w:szCs w:val="18"/>
          <w:color w:val="auto"/>
        </w:rPr>
        <w:t>MARCH 31, 1998</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1 -</w:t>
      </w:r>
      <w:r>
        <w:rPr>
          <w:sz w:val="20"/>
          <w:szCs w:val="20"/>
          <w:color w:val="auto"/>
        </w:rPr>
        <w:tab/>
      </w:r>
      <w:r>
        <w:rPr>
          <w:rFonts w:ascii="Courier New" w:cs="Courier New" w:eastAsia="Courier New" w:hAnsi="Courier New"/>
          <w:sz w:val="16"/>
          <w:szCs w:val="16"/>
          <w:color w:val="auto"/>
        </w:rPr>
        <w:t>BASIS OF PRESENTATION</w:t>
      </w:r>
    </w:p>
    <w:p>
      <w:pPr>
        <w:spacing w:after="0" w:line="20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The accompanying interim financial statements are unaudited but include all adjustments (consisting of normal recurring adjustments) which Cohu, Inc. (the "Company") considers necessary for a fair statement of the results for the period. The operating results for the three months ended March 31, 1998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1997.</w:t>
      </w:r>
    </w:p>
    <w:p>
      <w:pPr>
        <w:spacing w:after="0" w:line="200" w:lineRule="exact"/>
        <w:rPr>
          <w:sz w:val="20"/>
          <w:szCs w:val="20"/>
          <w:color w:val="auto"/>
        </w:rPr>
      </w:pPr>
    </w:p>
    <w:p>
      <w:pPr>
        <w:spacing w:after="0" w:line="21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2 -</w:t>
      </w:r>
      <w:r>
        <w:rPr>
          <w:sz w:val="20"/>
          <w:szCs w:val="20"/>
          <w:color w:val="auto"/>
        </w:rPr>
        <w:tab/>
      </w:r>
      <w:r>
        <w:rPr>
          <w:rFonts w:ascii="Courier New" w:cs="Courier New" w:eastAsia="Courier New" w:hAnsi="Courier New"/>
          <w:sz w:val="16"/>
          <w:szCs w:val="16"/>
          <w:color w:val="auto"/>
        </w:rPr>
        <w:t>EARNINGS PER SHARE</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Earnings per share are computed in accordance with FASB Statement No. 128, Earnings per Share. Basic earnings per share are computed using the weighted average number of common shares outstanding during each period. Diluted earnings per share include the dilutive effect of common shares potentially issuable upon the exercise of stock options. Earnings per share data for the three months ended March 31, 1997 have been restated to conform to the provisions of FASB Statement No. 128. The following table reconciles the denominators used in computing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47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9,687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9,348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stock options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w:t>
            </w:r>
          </w:p>
        </w:tc>
      </w:tr>
      <w:tr>
        <w:trPr>
          <w:trHeight w:val="203"/>
        </w:trPr>
        <w:tc>
          <w:tcPr>
            <w:tcW w:w="47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10,067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9,802</w:t>
            </w:r>
          </w:p>
        </w:tc>
      </w:tr>
      <w:tr>
        <w:trPr>
          <w:trHeight w:val="203"/>
        </w:trPr>
        <w:tc>
          <w:tcPr>
            <w:tcW w:w="47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3 -</w:t>
      </w:r>
      <w:r>
        <w:rPr>
          <w:sz w:val="20"/>
          <w:szCs w:val="20"/>
          <w:color w:val="auto"/>
        </w:rPr>
        <w:tab/>
      </w:r>
      <w:r>
        <w:rPr>
          <w:rFonts w:ascii="Courier New" w:cs="Courier New" w:eastAsia="Courier New" w:hAnsi="Courier New"/>
          <w:sz w:val="16"/>
          <w:szCs w:val="16"/>
          <w:color w:val="auto"/>
        </w:rPr>
        <w:t>STOCK OPTIONS</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On January 29, 1998 the Board of Directors of the Company adopted the Cohu, Inc. 1998 Stock Option Plan. The Plan provides for the issuance of a maximum of 450,000 shares of the Company's Common Stock and is subject to stockholder approval.</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4 -</w:t>
      </w:r>
      <w:r>
        <w:rPr>
          <w:sz w:val="20"/>
          <w:szCs w:val="20"/>
          <w:color w:val="auto"/>
        </w:rPr>
        <w:tab/>
      </w:r>
      <w:r>
        <w:rPr>
          <w:rFonts w:ascii="Courier New" w:cs="Courier New" w:eastAsia="Courier New" w:hAnsi="Courier New"/>
          <w:sz w:val="16"/>
          <w:szCs w:val="16"/>
          <w:color w:val="auto"/>
        </w:rPr>
        <w:t>NEW ACCOUNTING PRONOUNCEMENTS</w:t>
      </w:r>
    </w:p>
    <w:p>
      <w:pPr>
        <w:spacing w:after="0" w:line="207" w:lineRule="exact"/>
        <w:rPr>
          <w:sz w:val="20"/>
          <w:szCs w:val="20"/>
          <w:color w:val="auto"/>
        </w:rPr>
      </w:pPr>
    </w:p>
    <w:p>
      <w:pPr>
        <w:ind w:left="740" w:right="1779"/>
        <w:spacing w:after="0" w:line="238" w:lineRule="auto"/>
        <w:rPr>
          <w:sz w:val="20"/>
          <w:szCs w:val="20"/>
          <w:color w:val="auto"/>
        </w:rPr>
      </w:pPr>
      <w:r>
        <w:rPr>
          <w:rFonts w:ascii="Courier New" w:cs="Courier New" w:eastAsia="Courier New" w:hAnsi="Courier New"/>
          <w:sz w:val="18"/>
          <w:szCs w:val="18"/>
          <w:color w:val="auto"/>
        </w:rPr>
        <w:t>Financial Accounting Standards Board ("FASB") Statement No. 130, Reporting Comprehensive Income, requires the disclosure of "Comprehensive Income" in financial statements. Comprehensive Income includes items such as unrealized gains on available-for-sale securities that are not included in net income. FASB No. 130 is effective in 1998 and had no material impact on the Company's results of operations or related disclosures for the three months ended March 31, 1998. FASB No. 131, Disclosures about Segments of an Enterprise and Related Information, requires the disclosure of financial information on operating segments on the basis used by management in evaluating segment performance and deciding how to allocate resources. FASB No. 131 will first be reflected in the Company's 1998 Annual Report.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ind w:left="3700"/>
        <w:spacing w:after="0" w:line="238" w:lineRule="auto"/>
        <w:rPr>
          <w:sz w:val="20"/>
          <w:szCs w:val="20"/>
          <w:color w:val="auto"/>
        </w:rPr>
      </w:pPr>
      <w:r>
        <w:rPr>
          <w:rFonts w:ascii="Courier New" w:cs="Courier New" w:eastAsia="Courier New" w:hAnsi="Courier New"/>
          <w:sz w:val="18"/>
          <w:szCs w:val="18"/>
          <w:color w:val="auto"/>
        </w:rPr>
        <w:t>COHU, INC.</w:t>
      </w:r>
    </w:p>
    <w:p>
      <w:pPr>
        <w:ind w:left="11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line="237" w:lineRule="auto"/>
        <w:rPr>
          <w:sz w:val="20"/>
          <w:szCs w:val="20"/>
          <w:color w:val="auto"/>
        </w:rPr>
      </w:pPr>
      <w:r>
        <w:rPr>
          <w:rFonts w:ascii="Courier New" w:cs="Courier New" w:eastAsia="Courier New" w:hAnsi="Courier New"/>
          <w:sz w:val="18"/>
          <w:szCs w:val="18"/>
          <w:color w:val="auto"/>
        </w:rPr>
        <w:t>AND RESULTS OF OPERATIONS</w:t>
      </w:r>
    </w:p>
    <w:p>
      <w:pPr>
        <w:ind w:left="3480"/>
        <w:spacing w:after="0" w:line="238" w:lineRule="auto"/>
        <w:rPr>
          <w:sz w:val="20"/>
          <w:szCs w:val="20"/>
          <w:color w:val="auto"/>
        </w:rPr>
      </w:pPr>
      <w:r>
        <w:rPr>
          <w:rFonts w:ascii="Courier New" w:cs="Courier New" w:eastAsia="Courier New" w:hAnsi="Courier New"/>
          <w:sz w:val="18"/>
          <w:szCs w:val="18"/>
          <w:color w:val="auto"/>
        </w:rPr>
        <w:t>MARCH 31, 1998</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Form 10-Q contains certain forward-looking statements within the meaning of Section 21E of the Securities Exchange Act of 1934, as amended, and is subject to the Safe Harbor provisions created by that statute. The words "anticipate", "expect", "believe", and similar expressions are intended to identify such statements. Such statements are subject to certain risks and uncertainties, including but not limited to those discussed herein and, in particular, under the caption "Business Risks and Uncertainties" that could cause actual results to differ materially from those projected.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increased 63% to $56.7 million in 1998 compared to net sales of $34.8 million in 1997. Net sales during the first quarter of 1997 were negatively impacted by the semiconductor industry downturn that began in 1996. Sales of semiconductor test handling equipment in 1998 increased 82% over the 1997 period and accounted for 84% of consolidated net sales in 1998 versus 75% in 1997. Sales of television cameras and other equipment decreased 3% while the combined sales of metal detection and microwave equipment increased 23%. Export sales accounted for 46% of net sales in the first quarter of 1998 compared to 52% for the year ended December 31, 1997.</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Gross margin as a percentage of net sales declined to 41.1% in 1998 versus 42.7% in 1997 as a result of lower margins in the semiconductor equipment business. Within the semiconductor equipment segment, margins decreased in 1998 primarily as a result of changes in product mix, sales price reductions and certain cost increases. The Company expects to commence revenue shipments of new semiconductor test handler products in the second quarter of 1998. The Company expects gross margins realized on the initial sales of these products will be lower than the Company's established semiconductor handler products due to anticipated inefficiencies incurred during the early stages of manufacturing new equipment and higher warranty costs. The reduced margins on these new products will reduce aggregate gross margins. Research and development expense as a percentage of net sales was 9.5% in 1998, compared to 9.4% in 1997, increasing in absolute dollars from $3.3 million to $5.4 million reflecting the Company's increased investment in new product development, particularly in the semiconductor equipment business. Selling, general and administrative expense as a percentage of net sales declined to 10.9% in 1998 from 13.9% in 1997 primarily as a result of the increase in business volume. Interest income was $.8 million in 1998 and $.7 million in 1997. The provision for income taxes expressed as a percentage of pre-tax income was 34.4% in the first quarter of 1998. As a result of the factors set forth above, net income increased from $4.7 million in 1997 to $8.2 million in 1998.</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Company's net cash flows generated from operating activities in the first three months of 1998 totaled $.7 million. The major components of cash flows from operating activities were net income of $8.2 million and an increase in income taxes payable of $3.3 million offset by increases in accounts receivable of $3.5 million and inventories of $4.4 million and decreases in accounts payable and other accrued liabilities totaling $3.8 million. Net cash provided by investing activities was $8 million resulting from maturities of short-term investments, less purchases, offset by purchases of property, plant and equipment and other assets of $.8 million. Net cash provided by financing activities was $.6 million. Cash provided by financing activities included $1.4 million received from the issuance of stock upon the exercise of stock options offset by $.8 million for the payment of dividends. The Company had $5 million available under</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480"/>
        <w:spacing w:after="0" w:line="237" w:lineRule="auto"/>
        <w:rPr>
          <w:sz w:val="20"/>
          <w:szCs w:val="20"/>
          <w:color w:val="auto"/>
        </w:rPr>
      </w:pPr>
      <w:r>
        <w:rPr>
          <w:rFonts w:ascii="Courier New" w:cs="Courier New" w:eastAsia="Courier New" w:hAnsi="Courier New"/>
          <w:sz w:val="18"/>
          <w:szCs w:val="18"/>
          <w:color w:val="auto"/>
        </w:rPr>
        <w:t>MARCH 31,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 (CONT.)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its bank line of credit and working capital of $114.8 million at March 31, 1998. It is anticipated that present working capital and available borrowings under the line of credit will be sufficient to meet the Company's 1998 operating requirements and the remaining anticipated capital expenditures for 1998 of approximately $4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 Historically, the semiconductor industry has been highly cyclical with recurring periods of oversupply,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downturns such as that experienced in 1996. Reductions in capital equipment investment by semiconductor manufacturers will adversely affect the Company's results of operations.</w:t>
      </w:r>
    </w:p>
    <w:p>
      <w:pPr>
        <w:spacing w:after="0" w:line="18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or margins of existing products. The design, development, manufacture and commercial introduction of new semiconductor test handling equipment is a complex process that involves a number of risks and uncertainties. These risks include potential problems in meeting customer performance requirements, integration of the test handler with other suppliers' equipment and the customers' manufacturing processes and the ability of the equipment to satisfy the semiconductor industry's constantly evolving needs and achieve commercial acceptance at prices that produce satisfactory profit margins. Currently the Company is devoting significant resources to the development, introduction and volume production of two new semiconductor test handler products that are expected to be introduced in the second quarter of 1998. In the past, the Company has experienced delays in the introduction of new semiconductor test handlers and difficulties in the early stages of manufacturing and volume production of such products. The Company expects to incur similar delays and difficulties with the two test handlers currently being introduced. In addition, after sale support and warranty costs are typically greater with new test handlers than with established products. There can be no assurance that future technologies, processes and product developments will not render the Company's current or future product offerings obsolete or that the Company will be able to develop and introduce new products or enhancements to its existing products in a timely manner to satisfy customer needs or achieve market acceptance. Furthermore, there is no assurance that the Company will be able to convert the two test handlers currently being introduced into production on a timely basis and realize acceptable profit margins on such products.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semiconductor equipment industry is intensely competitive and the Company faces substantial competition from numerous companies throughout the world. Some of these competitors have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1160"/>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ind w:left="2960"/>
        <w:spacing w:after="0"/>
        <w:rPr>
          <w:sz w:val="20"/>
          <w:szCs w:val="20"/>
          <w:color w:val="auto"/>
        </w:rPr>
      </w:pPr>
      <w:r>
        <w:rPr>
          <w:rFonts w:ascii="Courier New" w:cs="Courier New" w:eastAsia="Courier New" w:hAnsi="Courier New"/>
          <w:sz w:val="18"/>
          <w:szCs w:val="18"/>
          <w:color w:val="auto"/>
        </w:rPr>
        <w:t>AND RESULTS OF OPERATIONS</w:t>
      </w:r>
    </w:p>
    <w:p>
      <w:pPr>
        <w:ind w:left="3480"/>
        <w:spacing w:after="0" w:line="237" w:lineRule="auto"/>
        <w:rPr>
          <w:sz w:val="20"/>
          <w:szCs w:val="20"/>
          <w:color w:val="auto"/>
        </w:rPr>
      </w:pPr>
      <w:r>
        <w:rPr>
          <w:rFonts w:ascii="Courier New" w:cs="Courier New" w:eastAsia="Courier New" w:hAnsi="Courier New"/>
          <w:sz w:val="18"/>
          <w:szCs w:val="18"/>
          <w:color w:val="auto"/>
        </w:rPr>
        <w:t>MARCH 31,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 (CONT.)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substantially greater financial, engineering, manufacturing and customer support capabilities and more extensive product offerings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or margins on existing products.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 is common in the semiconductor equipment industry, the Company relies on a limited number of customers for a substantial percentage of its net sales. In 1997, three customers of the semiconductor equipment business accounted for 42% of the Company's net sales. The loss of or a significant reduction in orders by these or other significant customers would adversely impact the Company's results of operations. Furthermore, the concentration of the Company's revenues in a limited number of large customers may cause significant fluctuations in the Company's future annual and quarterly operating results.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1997, 52% of the Company's total net sales were exported to foreign countries, including 60% of the sales in the semiconductor equipment segment. The majority of the Company's export sales are made to destinations in Asia. Currency fluctuations and instability in global financial markets, particularly in Asia, may adversely impact the demand for capital equipment, including equipment of the type manufactured and marketed by the Company. In addition, changes in the amount or price of semiconductors produced in Asia could impact the profitability or capital equipment spending programs of the Company's customers.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has commenced a "Year 2000 Computer Problem" analysis to address the necessary changes that will need to be made to the Company's information systems. The Year 2000 Computer Problem creates risk to the Company for unforeseen problems in its own computer systems and from third parties throughout the world with whom the Company conducts business. Failures in the Company's and/or third parties computer systems could have a material impact on the Company's ability to conduct its business, particularly as it relates to the electronic transfer of funds. Management has not yet estimated the Year 2000 Computer Problem compliance expense and related potential impact on the Company's earnings.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Due to these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1997 Annual Report on Form 10-K, that could cause actual results to differ materially from those projected or forecasted. The Company undertakes no obligation to update the information, including the forward-looking statements, in this Form 10-Q.</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Changes in Securities</w:t>
      </w:r>
    </w:p>
    <w:p>
      <w:pPr>
        <w:spacing w:after="0" w:line="207" w:lineRule="exact"/>
        <w:rPr>
          <w:sz w:val="20"/>
          <w:szCs w:val="20"/>
          <w:color w:val="auto"/>
        </w:rPr>
      </w:pPr>
    </w:p>
    <w:p>
      <w:pPr>
        <w:ind w:left="2220" w:right="1779" w:hanging="843"/>
        <w:spacing w:after="0" w:line="271" w:lineRule="auto"/>
        <w:tabs>
          <w:tab w:leader="none" w:pos="2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quarter ended March 31, 1998, the Company issued 17,698 shares of common stock to Nicholas J. Cedrone. These shares were issued pursuant to the exemption provided by Section 4(2) of the Securities Act of 1933, in partial consideration for the acquisition of Daymarc Corporation in June 1994, with the amount of shares being determined by the operating results of Daymarc during 1997.</w:t>
      </w:r>
    </w:p>
    <w:p>
      <w:pPr>
        <w:spacing w:after="0" w:line="18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2220" w:hanging="632"/>
        <w:spacing w:after="0"/>
        <w:tabs>
          <w:tab w:leader="none" w:pos="2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27.1 - Financial Data Schedule</w:t>
      </w:r>
    </w:p>
    <w:p>
      <w:pPr>
        <w:spacing w:after="0" w:line="207" w:lineRule="exact"/>
        <w:rPr>
          <w:rFonts w:ascii="Courier New" w:cs="Courier New" w:eastAsia="Courier New" w:hAnsi="Courier New"/>
          <w:sz w:val="18"/>
          <w:szCs w:val="18"/>
          <w:color w:val="auto"/>
        </w:rPr>
      </w:pPr>
    </w:p>
    <w:p>
      <w:pPr>
        <w:ind w:left="2220" w:right="1999" w:hanging="632"/>
        <w:spacing w:after="0" w:line="290" w:lineRule="auto"/>
        <w:tabs>
          <w:tab w:leader="none" w:pos="2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The Company did not file any reports on Form 8-K during the quarter ended March 31, 1998.</w:t>
      </w:r>
    </w:p>
    <w:p>
      <w:pPr>
        <w:spacing w:after="0" w:line="36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COHU, INC.</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April 23,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pacing w:after="0" w:line="200" w:lineRule="exact"/>
        <w:rPr>
          <w:sz w:val="20"/>
          <w:szCs w:val="20"/>
          <w:color w:val="auto"/>
        </w:rPr>
      </w:pPr>
    </w:p>
    <w:p>
      <w:pPr>
        <w:sectPr>
          <w:pgSz w:w="11900" w:h="16838" w:orient="portrait"/>
          <w:cols w:equalWidth="0" w:num="3">
            <w:col w:w="540" w:space="100"/>
            <w:col w:w="2760" w:space="720"/>
            <w:col w:w="6099"/>
          </w:cols>
          <w:pgMar w:left="240" w:top="312"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April 23,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Finance &amp; Chief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540" w:space="100"/>
            <w:col w:w="2760" w:space="720"/>
            <w:col w:w="609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28 (c)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Form 11-K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0"/>
          <w:szCs w:val="20"/>
          <w:color w:val="auto"/>
        </w:rPr>
      </w:pPr>
    </w:p>
    <w:p>
      <w:pPr>
        <w:ind w:left="960" w:right="1879" w:hanging="636"/>
        <w:spacing w:after="0" w:line="235"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calendar year ended December 31, 1997</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0"/>
          <w:szCs w:val="20"/>
          <w:color w:val="auto"/>
        </w:rPr>
      </w:pPr>
    </w:p>
    <w:p>
      <w:pPr>
        <w:ind w:left="960" w:right="1779" w:hanging="636"/>
        <w:spacing w:after="0" w:line="235"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15 (d) OF THE SECURITIES EXCHANGE ACT OF 1934</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For the transition period from __________ to 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TRANSCORE RETIREMENT SAVINGS PLAN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7611 Derry Street</w:t>
      </w:r>
    </w:p>
    <w:p>
      <w:pPr>
        <w:ind w:left="3160"/>
        <w:spacing w:after="0" w:line="238" w:lineRule="auto"/>
        <w:rPr>
          <w:sz w:val="20"/>
          <w:szCs w:val="20"/>
          <w:color w:val="auto"/>
        </w:rPr>
      </w:pPr>
      <w:r>
        <w:rPr>
          <w:rFonts w:ascii="Courier New" w:cs="Courier New" w:eastAsia="Courier New" w:hAnsi="Courier New"/>
          <w:sz w:val="18"/>
          <w:szCs w:val="18"/>
          <w:color w:val="auto"/>
        </w:rPr>
        <w:t>Harrisburg, PA 17111</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Plan's telephone number, including area code (717) 561-2400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Science Applications International Corporation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10260 Campus Point Drive, San Diego, California</w:t>
      </w:r>
    </w:p>
    <w:p>
      <w:pPr>
        <w:jc w:val="center"/>
        <w:ind w:right="1779"/>
        <w:spacing w:after="0"/>
        <w:rPr>
          <w:sz w:val="20"/>
          <w:szCs w:val="20"/>
          <w:color w:val="auto"/>
        </w:rPr>
      </w:pPr>
      <w:r>
        <w:rPr>
          <w:rFonts w:ascii="Courier New" w:cs="Courier New" w:eastAsia="Courier New" w:hAnsi="Courier New"/>
          <w:sz w:val="18"/>
          <w:szCs w:val="18"/>
          <w:color w:val="auto"/>
        </w:rPr>
        <w:t>92121 (Name of issuer of the securities held</w:t>
      </w:r>
    </w:p>
    <w:p>
      <w:pPr>
        <w:jc w:val="center"/>
        <w:ind w:right="1659"/>
        <w:spacing w:after="0" w:line="237" w:lineRule="auto"/>
        <w:rPr>
          <w:sz w:val="20"/>
          <w:szCs w:val="20"/>
          <w:color w:val="auto"/>
        </w:rPr>
      </w:pPr>
      <w:r>
        <w:rPr>
          <w:rFonts w:ascii="Courier New" w:cs="Courier New" w:eastAsia="Courier New" w:hAnsi="Courier New"/>
          <w:sz w:val="18"/>
          <w:szCs w:val="18"/>
          <w:color w:val="auto"/>
        </w:rPr>
        <w:t>pursuant to the plan and the address of its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principal executive office)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(619) 546-6000</w:t>
      </w:r>
    </w:p>
    <w:p>
      <w:pPr>
        <w:sectPr>
          <w:pgSz w:w="11900" w:h="16838" w:orient="portrait"/>
          <w:cols w:equalWidth="0" w:num="1">
            <w:col w:w="10219"/>
          </w:cols>
          <w:pgMar w:left="240" w:top="136"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2</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10"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trustee (or other persons who administer the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TRANSCORE RETIREMENT SAVINGS PLAN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23,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JOHN M. WORTHINGTON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John M. Worthington</w:t>
      </w:r>
    </w:p>
    <w:p>
      <w:pPr>
        <w:ind w:left="320"/>
        <w:spacing w:after="0" w:line="238" w:lineRule="auto"/>
        <w:rPr>
          <w:sz w:val="20"/>
          <w:szCs w:val="20"/>
          <w:color w:val="auto"/>
        </w:rPr>
      </w:pPr>
      <w:r>
        <w:rPr>
          <w:rFonts w:ascii="Courier New" w:cs="Courier New" w:eastAsia="Courier New" w:hAnsi="Courier New"/>
          <w:sz w:val="18"/>
          <w:szCs w:val="18"/>
          <w:color w:val="auto"/>
        </w:rPr>
        <w:t>Senior Vice President and</w:t>
      </w:r>
    </w:p>
    <w:p>
      <w:pPr>
        <w:ind w:left="320"/>
        <w:spacing w:after="0"/>
        <w:rPr>
          <w:sz w:val="20"/>
          <w:szCs w:val="20"/>
          <w:color w:val="auto"/>
        </w:rPr>
      </w:pPr>
      <w:r>
        <w:rPr>
          <w:rFonts w:ascii="Courier New" w:cs="Courier New" w:eastAsia="Courier New" w:hAnsi="Courier New"/>
          <w:sz w:val="18"/>
          <w:szCs w:val="18"/>
          <w:color w:val="auto"/>
        </w:rPr>
        <w:t>Chief Operating Officer</w:t>
      </w:r>
    </w:p>
    <w:p>
      <w:pPr>
        <w:sectPr>
          <w:pgSz w:w="11900" w:h="16838" w:orient="portrait"/>
          <w:cols w:equalWidth="0" w:num="3">
            <w:col w:w="540" w:space="420"/>
            <w:col w:w="2440" w:space="720"/>
            <w:col w:w="6099"/>
          </w:cols>
          <w:pgMar w:left="240" w:top="312" w:right="1440" w:bottom="1440" w:gutter="0" w:footer="0" w:header="0"/>
          <w:type w:val="continuous"/>
        </w:sectPr>
      </w:pPr>
    </w:p>
    <w:bookmarkStart w:id="12" w:name="page13"/>
    <w:bookmarkEnd w:id="12"/>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1997 AND 1998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DEC-31-1997</w:t>
      </w:r>
    </w:p>
    <w:p>
      <w:pPr>
        <w:ind w:left="3020"/>
        <w:spacing w:after="0"/>
        <w:rPr>
          <w:sz w:val="20"/>
          <w:szCs w:val="20"/>
          <w:color w:val="auto"/>
        </w:rPr>
      </w:pPr>
      <w:r>
        <w:rPr>
          <w:rFonts w:ascii="Courier New" w:cs="Courier New" w:eastAsia="Courier New" w:hAnsi="Courier New"/>
          <w:sz w:val="18"/>
          <w:szCs w:val="18"/>
          <w:color w:val="auto"/>
        </w:rPr>
        <w:t>JAN-01-1998</w:t>
      </w:r>
    </w:p>
    <w:p>
      <w:pPr>
        <w:ind w:left="3240"/>
        <w:spacing w:after="0" w:line="237" w:lineRule="auto"/>
        <w:rPr>
          <w:sz w:val="20"/>
          <w:szCs w:val="20"/>
          <w:color w:val="auto"/>
        </w:rPr>
      </w:pPr>
      <w:r>
        <w:rPr>
          <w:rFonts w:ascii="Courier New" w:cs="Courier New" w:eastAsia="Courier New" w:hAnsi="Courier New"/>
          <w:sz w:val="18"/>
          <w:szCs w:val="18"/>
          <w:color w:val="auto"/>
        </w:rPr>
        <w:t>MAR-31-1998</w:t>
      </w:r>
    </w:p>
    <w:p>
      <w:pPr>
        <w:ind w:left="4400"/>
        <w:spacing w:after="0" w:line="238" w:lineRule="auto"/>
        <w:rPr>
          <w:sz w:val="20"/>
          <w:szCs w:val="20"/>
          <w:color w:val="auto"/>
        </w:rPr>
      </w:pPr>
      <w:r>
        <w:rPr>
          <w:rFonts w:ascii="Courier New" w:cs="Courier New" w:eastAsia="Courier New" w:hAnsi="Courier New"/>
          <w:sz w:val="18"/>
          <w:szCs w:val="18"/>
          <w:color w:val="auto"/>
        </w:rPr>
        <w:t>49,008</w:t>
      </w:r>
    </w:p>
    <w:p>
      <w:pPr>
        <w:ind w:left="3860"/>
        <w:spacing w:after="0"/>
        <w:rPr>
          <w:sz w:val="20"/>
          <w:szCs w:val="20"/>
          <w:color w:val="auto"/>
        </w:rPr>
      </w:pPr>
      <w:r>
        <w:rPr>
          <w:rFonts w:ascii="Courier New" w:cs="Courier New" w:eastAsia="Courier New" w:hAnsi="Courier New"/>
          <w:sz w:val="18"/>
          <w:szCs w:val="18"/>
          <w:color w:val="auto"/>
        </w:rPr>
        <w:t>4,999</w:t>
      </w:r>
    </w:p>
    <w:p>
      <w:pPr>
        <w:ind w:left="3660"/>
        <w:spacing w:after="0" w:line="237" w:lineRule="auto"/>
        <w:rPr>
          <w:sz w:val="20"/>
          <w:szCs w:val="20"/>
          <w:color w:val="auto"/>
        </w:rPr>
      </w:pPr>
      <w:r>
        <w:rPr>
          <w:rFonts w:ascii="Courier New" w:cs="Courier New" w:eastAsia="Courier New" w:hAnsi="Courier New"/>
          <w:sz w:val="18"/>
          <w:szCs w:val="18"/>
          <w:color w:val="auto"/>
        </w:rPr>
        <w:t>35,466</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49,347</w:t>
      </w:r>
    </w:p>
    <w:p>
      <w:pPr>
        <w:ind w:left="3240"/>
        <w:spacing w:after="0"/>
        <w:rPr>
          <w:sz w:val="20"/>
          <w:szCs w:val="20"/>
          <w:color w:val="auto"/>
        </w:rPr>
      </w:pPr>
      <w:r>
        <w:rPr>
          <w:rFonts w:ascii="Courier New" w:cs="Courier New" w:eastAsia="Courier New" w:hAnsi="Courier New"/>
          <w:sz w:val="18"/>
          <w:szCs w:val="18"/>
          <w:color w:val="auto"/>
        </w:rPr>
        <w:t>149,851</w:t>
      </w:r>
    </w:p>
    <w:p>
      <w:pPr>
        <w:ind w:left="4400"/>
        <w:spacing w:after="0" w:line="237" w:lineRule="auto"/>
        <w:rPr>
          <w:sz w:val="20"/>
          <w:szCs w:val="20"/>
          <w:color w:val="auto"/>
        </w:rPr>
      </w:pPr>
      <w:r>
        <w:rPr>
          <w:rFonts w:ascii="Courier New" w:cs="Courier New" w:eastAsia="Courier New" w:hAnsi="Courier New"/>
          <w:sz w:val="18"/>
          <w:szCs w:val="18"/>
          <w:color w:val="auto"/>
        </w:rPr>
        <w:t>32,776</w:t>
      </w:r>
    </w:p>
    <w:p>
      <w:pPr>
        <w:ind w:left="3540"/>
        <w:spacing w:after="0" w:line="238" w:lineRule="auto"/>
        <w:rPr>
          <w:sz w:val="20"/>
          <w:szCs w:val="20"/>
          <w:color w:val="auto"/>
        </w:rPr>
      </w:pPr>
      <w:r>
        <w:rPr>
          <w:rFonts w:ascii="Courier New" w:cs="Courier New" w:eastAsia="Courier New" w:hAnsi="Courier New"/>
          <w:sz w:val="18"/>
          <w:szCs w:val="18"/>
          <w:color w:val="auto"/>
        </w:rPr>
        <w:t>13,505</w:t>
      </w:r>
    </w:p>
    <w:p>
      <w:pPr>
        <w:ind w:left="3440"/>
        <w:spacing w:after="0"/>
        <w:rPr>
          <w:sz w:val="20"/>
          <w:szCs w:val="20"/>
          <w:color w:val="auto"/>
        </w:rPr>
      </w:pPr>
      <w:r>
        <w:rPr>
          <w:rFonts w:ascii="Courier New" w:cs="Courier New" w:eastAsia="Courier New" w:hAnsi="Courier New"/>
          <w:sz w:val="18"/>
          <w:szCs w:val="18"/>
          <w:color w:val="auto"/>
        </w:rPr>
        <w:t>171,491</w:t>
      </w:r>
    </w:p>
    <w:p>
      <w:pPr>
        <w:ind w:left="2820"/>
        <w:spacing w:after="0" w:line="237" w:lineRule="auto"/>
        <w:rPr>
          <w:sz w:val="20"/>
          <w:szCs w:val="20"/>
          <w:color w:val="auto"/>
        </w:rPr>
      </w:pPr>
      <w:r>
        <w:rPr>
          <w:rFonts w:ascii="Courier New" w:cs="Courier New" w:eastAsia="Courier New" w:hAnsi="Courier New"/>
          <w:sz w:val="18"/>
          <w:szCs w:val="18"/>
          <w:color w:val="auto"/>
        </w:rPr>
        <w:t>35,086</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280"/>
        <w:spacing w:after="0" w:line="237" w:lineRule="auto"/>
        <w:rPr>
          <w:sz w:val="20"/>
          <w:szCs w:val="20"/>
          <w:color w:val="auto"/>
        </w:rPr>
      </w:pPr>
      <w:r>
        <w:rPr>
          <w:rFonts w:ascii="Courier New" w:cs="Courier New" w:eastAsia="Courier New" w:hAnsi="Courier New"/>
          <w:sz w:val="18"/>
          <w:szCs w:val="18"/>
          <w:color w:val="auto"/>
        </w:rPr>
        <w:t>9,705</w:t>
      </w:r>
    </w:p>
    <w:p>
      <w:pPr>
        <w:ind w:left="3860"/>
        <w:spacing w:after="0" w:line="238" w:lineRule="auto"/>
        <w:rPr>
          <w:sz w:val="20"/>
          <w:szCs w:val="20"/>
          <w:color w:val="auto"/>
        </w:rPr>
      </w:pPr>
      <w:r>
        <w:rPr>
          <w:rFonts w:ascii="Courier New" w:cs="Courier New" w:eastAsia="Courier New" w:hAnsi="Courier New"/>
          <w:sz w:val="18"/>
          <w:szCs w:val="18"/>
          <w:color w:val="auto"/>
        </w:rPr>
        <w:t>125,325</w:t>
      </w:r>
    </w:p>
    <w:p>
      <w:pPr>
        <w:ind w:left="1960"/>
        <w:spacing w:after="0"/>
        <w:rPr>
          <w:sz w:val="20"/>
          <w:szCs w:val="20"/>
          <w:color w:val="auto"/>
        </w:rPr>
      </w:pPr>
      <w:r>
        <w:rPr>
          <w:rFonts w:ascii="Courier New" w:cs="Courier New" w:eastAsia="Courier New" w:hAnsi="Courier New"/>
          <w:sz w:val="18"/>
          <w:szCs w:val="18"/>
          <w:color w:val="auto"/>
        </w:rPr>
        <w:t>171,491</w:t>
      </w:r>
    </w:p>
    <w:p>
      <w:pPr>
        <w:ind w:left="4280"/>
        <w:spacing w:after="0" w:line="237" w:lineRule="auto"/>
        <w:rPr>
          <w:sz w:val="20"/>
          <w:szCs w:val="20"/>
          <w:color w:val="auto"/>
        </w:rPr>
      </w:pPr>
      <w:r>
        <w:rPr>
          <w:rFonts w:ascii="Courier New" w:cs="Courier New" w:eastAsia="Courier New" w:hAnsi="Courier New"/>
          <w:sz w:val="18"/>
          <w:szCs w:val="18"/>
          <w:color w:val="auto"/>
        </w:rPr>
        <w:t>56,691</w:t>
      </w:r>
    </w:p>
    <w:p>
      <w:pPr>
        <w:ind w:left="3340"/>
        <w:spacing w:after="0"/>
        <w:rPr>
          <w:sz w:val="20"/>
          <w:szCs w:val="20"/>
          <w:color w:val="auto"/>
        </w:rPr>
      </w:pPr>
      <w:r>
        <w:rPr>
          <w:rFonts w:ascii="Courier New" w:cs="Courier New" w:eastAsia="Courier New" w:hAnsi="Courier New"/>
          <w:sz w:val="18"/>
          <w:szCs w:val="18"/>
          <w:color w:val="auto"/>
        </w:rPr>
        <w:t>56,691</w:t>
      </w:r>
    </w:p>
    <w:p>
      <w:pPr>
        <w:ind w:left="4500"/>
        <w:spacing w:after="0" w:line="237" w:lineRule="auto"/>
        <w:rPr>
          <w:sz w:val="20"/>
          <w:szCs w:val="20"/>
          <w:color w:val="auto"/>
        </w:rPr>
      </w:pPr>
      <w:r>
        <w:rPr>
          <w:rFonts w:ascii="Courier New" w:cs="Courier New" w:eastAsia="Courier New" w:hAnsi="Courier New"/>
          <w:sz w:val="18"/>
          <w:szCs w:val="18"/>
          <w:color w:val="auto"/>
        </w:rPr>
        <w:t>33,367</w:t>
      </w:r>
    </w:p>
    <w:p>
      <w:pPr>
        <w:ind w:left="3660"/>
        <w:spacing w:after="0"/>
        <w:rPr>
          <w:sz w:val="20"/>
          <w:szCs w:val="20"/>
          <w:color w:val="auto"/>
        </w:rPr>
      </w:pPr>
      <w:r>
        <w:rPr>
          <w:rFonts w:ascii="Courier New" w:cs="Courier New" w:eastAsia="Courier New" w:hAnsi="Courier New"/>
          <w:sz w:val="18"/>
          <w:szCs w:val="18"/>
          <w:color w:val="auto"/>
        </w:rPr>
        <w:t>33,367</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12,516</w:t>
      </w:r>
    </w:p>
    <w:p>
      <w:pPr>
        <w:ind w:left="3860"/>
        <w:spacing w:after="0"/>
        <w:rPr>
          <w:sz w:val="20"/>
          <w:szCs w:val="20"/>
          <w:color w:val="auto"/>
        </w:rPr>
      </w:pPr>
      <w:r>
        <w:rPr>
          <w:rFonts w:ascii="Courier New" w:cs="Courier New" w:eastAsia="Courier New" w:hAnsi="Courier New"/>
          <w:sz w:val="18"/>
          <w:szCs w:val="18"/>
          <w:color w:val="auto"/>
        </w:rPr>
        <w:t>4,300</w:t>
      </w:r>
    </w:p>
    <w:p>
      <w:pPr>
        <w:ind w:left="3120"/>
        <w:spacing w:after="0" w:line="237" w:lineRule="auto"/>
        <w:rPr>
          <w:sz w:val="20"/>
          <w:szCs w:val="20"/>
          <w:color w:val="auto"/>
        </w:rPr>
      </w:pPr>
      <w:r>
        <w:rPr>
          <w:rFonts w:ascii="Courier New" w:cs="Courier New" w:eastAsia="Courier New" w:hAnsi="Courier New"/>
          <w:sz w:val="18"/>
          <w:szCs w:val="18"/>
          <w:color w:val="auto"/>
        </w:rPr>
        <w:t>8,216</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1919"/>
        <w:spacing w:after="0" w:line="237" w:lineRule="auto"/>
        <w:rPr>
          <w:sz w:val="20"/>
          <w:szCs w:val="20"/>
          <w:color w:val="auto"/>
        </w:rPr>
      </w:pPr>
      <w:r>
        <w:rPr>
          <w:rFonts w:ascii="Courier New" w:cs="Courier New" w:eastAsia="Courier New" w:hAnsi="Courier New"/>
          <w:sz w:val="18"/>
          <w:szCs w:val="18"/>
          <w:color w:val="auto"/>
        </w:rPr>
        <w:t>8,216</w:t>
      </w:r>
    </w:p>
    <w:p>
      <w:pPr>
        <w:jc w:val="center"/>
        <w:ind w:right="1919"/>
        <w:spacing w:after="0" w:line="238" w:lineRule="auto"/>
        <w:rPr>
          <w:sz w:val="20"/>
          <w:szCs w:val="20"/>
          <w:color w:val="auto"/>
        </w:rPr>
      </w:pPr>
      <w:r>
        <w:rPr>
          <w:rFonts w:ascii="Courier New" w:cs="Courier New" w:eastAsia="Courier New" w:hAnsi="Courier New"/>
          <w:sz w:val="18"/>
          <w:szCs w:val="18"/>
          <w:color w:val="auto"/>
        </w:rPr>
        <w:t>.85</w:t>
      </w:r>
    </w:p>
    <w:p>
      <w:pPr>
        <w:jc w:val="center"/>
        <w:ind w:right="1919"/>
        <w:spacing w:after="0"/>
        <w:rPr>
          <w:sz w:val="20"/>
          <w:szCs w:val="20"/>
          <w:color w:val="auto"/>
        </w:rPr>
      </w:pPr>
      <w:r>
        <w:rPr>
          <w:rFonts w:ascii="Courier New" w:cs="Courier New" w:eastAsia="Courier New" w:hAnsi="Courier New"/>
          <w:sz w:val="18"/>
          <w:szCs w:val="18"/>
          <w:color w:val="auto"/>
        </w:rPr>
        <w:t>.82</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upperLetter"/>
      <w:start w:val="2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2019-12-12T06:38:23Z</dcterms:created>
  <dcterms:modified xsi:type="dcterms:W3CDTF">2019-12-12T06:38:23Z</dcterms:modified>
</cp:coreProperties>
</file>