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SCHEDULE 14A INFORMATION</w:t>
      </w:r>
    </w:p>
    <w:p>
      <w:pPr>
        <w:spacing w:after="0" w:line="196"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3" w:lineRule="exact"/>
        <w:rPr>
          <w:sz w:val="24"/>
          <w:szCs w:val="24"/>
          <w:color w:val="auto"/>
        </w:rPr>
      </w:pPr>
    </w:p>
    <w:p>
      <w:pPr>
        <w:jc w:val="center"/>
        <w:ind w:right="2359"/>
        <w:spacing w:after="0"/>
        <w:tabs>
          <w:tab w:leader="none" w:pos="280" w:val="left"/>
        </w:tabs>
        <w:rPr>
          <w:sz w:val="20"/>
          <w:szCs w:val="20"/>
          <w:color w:val="auto"/>
        </w:rPr>
      </w:pPr>
      <w:r>
        <w:rPr>
          <w:rFonts w:ascii="Courier New" w:cs="Courier New" w:eastAsia="Courier New" w:hAnsi="Courier New"/>
          <w:sz w:val="17"/>
          <w:szCs w:val="17"/>
          <w:color w:val="auto"/>
        </w:rPr>
        <w:t>EXCHANGE ACT OF 1934 (AMENDMENT NO.</w:t>
      </w:r>
      <w:r>
        <w:rPr>
          <w:sz w:val="20"/>
          <w:szCs w:val="20"/>
          <w:color w:val="auto"/>
        </w:rPr>
        <w:tab/>
      </w:r>
      <w:r>
        <w:rPr>
          <w:rFonts w:ascii="Courier New" w:cs="Courier New" w:eastAsia="Courier New" w:hAnsi="Courier New"/>
          <w:sz w:val="13"/>
          <w:szCs w:val="13"/>
          <w:color w:val="auto"/>
        </w:rPr>
        <w: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ectPr>
          <w:pgSz w:w="11900" w:h="16838" w:orient="portrait"/>
          <w:cols w:equalWidth="0" w:num="1">
            <w:col w:w="10219"/>
          </w:cols>
          <w:pgMar w:left="240" w:top="237" w:right="1440" w:bottom="1440" w:gutter="0" w:footer="0" w:header="0"/>
        </w:sect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both"/>
        <w:ind w:right="1059"/>
        <w:spacing w:after="0" w:line="253" w:lineRule="auto"/>
        <w:rPr>
          <w:sz w:val="20"/>
          <w:szCs w:val="20"/>
          <w:color w:val="auto"/>
        </w:rPr>
      </w:pPr>
      <w:r>
        <w:rPr>
          <w:rFonts w:ascii="Courier New" w:cs="Courier New" w:eastAsia="Courier New" w:hAnsi="Courier New"/>
          <w:sz w:val="16"/>
          <w:szCs w:val="16"/>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4">
            <w:col w:w="300" w:space="200"/>
            <w:col w:w="3560" w:space="720"/>
            <w:col w:w="300" w:space="200"/>
            <w:col w:w="4939"/>
          </w:cols>
          <w:pgMar w:left="240" w:top="237" w:right="1440" w:bottom="1440" w:gutter="0" w:footer="0" w:header="0"/>
          <w:type w:val="continuous"/>
        </w:sectPr>
      </w:pPr>
    </w:p>
    <w:p>
      <w:pPr>
        <w:ind w:left="200" w:hanging="198"/>
        <w:spacing w:after="0" w:line="232"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Proxy Statement</w:t>
      </w:r>
    </w:p>
    <w:p>
      <w:pPr>
        <w:ind w:left="200" w:hanging="198"/>
        <w:spacing w:after="0" w:line="238"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Additional Materials</w:t>
      </w:r>
    </w:p>
    <w:p>
      <w:pPr>
        <w:spacing w:after="0" w:line="5" w:lineRule="exact"/>
        <w:rPr>
          <w:rFonts w:ascii="Courier New" w:cs="Courier New" w:eastAsia="Courier New" w:hAnsi="Courier New"/>
          <w:sz w:val="17"/>
          <w:szCs w:val="17"/>
          <w:color w:val="auto"/>
        </w:rPr>
      </w:pPr>
    </w:p>
    <w:p>
      <w:pPr>
        <w:ind w:left="500" w:right="6239" w:hanging="498"/>
        <w:spacing w:after="0" w:line="259" w:lineRule="auto"/>
        <w:tabs>
          <w:tab w:leader="none" w:pos="20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sec.240.14a-11(c) or sec.240.14a-12</w:t>
      </w:r>
    </w:p>
    <w:p>
      <w:pPr>
        <w:spacing w:after="0" w:line="367"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COHU, INC.</w:t>
      </w:r>
    </w:p>
    <w:p>
      <w:pPr>
        <w:spacing w:after="0" w:line="5" w:lineRule="exact"/>
        <w:rPr>
          <w:sz w:val="24"/>
          <w:szCs w:val="24"/>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6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(Name of Registrant as Specified In Its Charter)</w:t>
      </w:r>
    </w:p>
    <w:p>
      <w:pPr>
        <w:spacing w:after="0" w:line="387"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4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(Name of Person(s) Filing Proxy Statement, if other than the Registrant)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0"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$125 per Exchange Act Rules 0-11(c)(1)(ii), or 14a-6(i)(1), or 14a-6(i)(2)</w:t>
      </w:r>
    </w:p>
    <w:p>
      <w:pPr>
        <w:ind w:left="500"/>
        <w:spacing w:after="0" w:line="238" w:lineRule="auto"/>
        <w:rPr>
          <w:sz w:val="20"/>
          <w:szCs w:val="20"/>
          <w:color w:val="auto"/>
        </w:rPr>
      </w:pPr>
      <w:r>
        <w:rPr>
          <w:rFonts w:ascii="Courier New" w:cs="Courier New" w:eastAsia="Courier New" w:hAnsi="Courier New"/>
          <w:sz w:val="17"/>
          <w:szCs w:val="17"/>
          <w:color w:val="auto"/>
        </w:rPr>
        <w:t>or Item 22(a)(2) of Schedule 14A.</w:t>
      </w:r>
    </w:p>
    <w:p>
      <w:pPr>
        <w:spacing w:after="0" w:line="197" w:lineRule="exact"/>
        <w:rPr>
          <w:sz w:val="24"/>
          <w:szCs w:val="24"/>
          <w:color w:val="auto"/>
        </w:rPr>
      </w:pPr>
    </w:p>
    <w:p>
      <w:pPr>
        <w:ind w:left="500" w:right="2959" w:hanging="498"/>
        <w:spacing w:after="0" w:line="235" w:lineRule="auto"/>
        <w:tabs>
          <w:tab w:leader="none" w:pos="2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$500 per each party to the controversy pursuant to Exchange Act Rule 14a-6(i)(3).</w:t>
      </w:r>
    </w:p>
    <w:p>
      <w:pPr>
        <w:spacing w:after="0" w:line="190"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14a-6(i)(4) and 0-11.</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6" w:lineRule="exact"/>
        <w:rPr>
          <w:rFonts w:ascii="Courier New" w:cs="Courier New" w:eastAsia="Courier New" w:hAnsi="Courier New"/>
          <w:sz w:val="17"/>
          <w:szCs w:val="17"/>
          <w:color w:val="auto"/>
        </w:rPr>
      </w:pPr>
    </w:p>
    <w:p>
      <w:pPr>
        <w:ind w:left="1000" w:right="2359" w:hanging="501"/>
        <w:spacing w:after="0" w:line="236" w:lineRule="auto"/>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0"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8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paid previously with preliminary materials.</w:t>
      </w:r>
    </w:p>
    <w:p>
      <w:pPr>
        <w:spacing w:after="0" w:line="18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w:t>
      </w:r>
    </w:p>
    <w:p>
      <w:pPr>
        <w:spacing w:after="0" w:line="5" w:lineRule="exact"/>
        <w:rPr>
          <w:rFonts w:ascii="Courier New" w:cs="Courier New" w:eastAsia="Courier New" w:hAnsi="Courier New"/>
          <w:sz w:val="17"/>
          <w:szCs w:val="17"/>
          <w:color w:val="auto"/>
        </w:rPr>
      </w:pPr>
    </w:p>
    <w:p>
      <w:pPr>
        <w:ind w:left="500"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0-11(a)(2) and identify the filing for which the offsetting fee was paid previously. Identify the previous filing by registration statement number, or the Form or Schedule and the date of its filing.</w:t>
      </w:r>
    </w:p>
    <w:p>
      <w:pPr>
        <w:spacing w:after="0" w:line="190"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89" w:lineRule="exact"/>
        <w:rPr>
          <w:rFonts w:ascii="Courier New" w:cs="Courier New" w:eastAsia="Courier New" w:hAnsi="Courier New"/>
          <w:sz w:val="17"/>
          <w:szCs w:val="17"/>
          <w:color w:val="auto"/>
        </w:rPr>
      </w:pPr>
    </w:p>
    <w:p>
      <w:pPr>
        <w:ind w:left="1000" w:hanging="501"/>
        <w:spacing w:after="0"/>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ectPr>
          <w:pgSz w:w="11900" w:h="16838" w:orient="portrait"/>
          <w:cols w:equalWidth="0" w:num="1">
            <w:col w:w="10219"/>
          </w:cols>
          <w:pgMar w:left="240" w:top="237"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COHU, INC.</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5755 Kearny Villa Rd.</w:t>
      </w:r>
    </w:p>
    <w:p>
      <w:pPr>
        <w:jc w:val="center"/>
        <w:ind w:right="2359"/>
        <w:spacing w:after="0" w:line="238" w:lineRule="auto"/>
        <w:rPr>
          <w:sz w:val="20"/>
          <w:szCs w:val="20"/>
          <w:color w:val="auto"/>
        </w:rPr>
      </w:pPr>
      <w:r>
        <w:rPr>
          <w:rFonts w:ascii="Courier New" w:cs="Courier New" w:eastAsia="Courier New" w:hAnsi="Courier New"/>
          <w:sz w:val="17"/>
          <w:szCs w:val="17"/>
          <w:color w:val="auto"/>
        </w:rPr>
        <w:t>San Diego, California 92123</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NOTICE OF ANNUAL MEETING OF STOCKHOLDERS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STOCKHOLDERS:</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The Annual Meeting of Stockholders of Cohu, Inc. (the "Company") will be held at the offices of the Company, 5755 Kearny Villa Road, San Diego, California 92123 on Tuesday May 7, 1996, at 2:00 P.M. local time, for the following purposes:</w:t>
      </w:r>
    </w:p>
    <w:p>
      <w:pPr>
        <w:spacing w:after="0" w:line="192" w:lineRule="exact"/>
        <w:rPr>
          <w:sz w:val="20"/>
          <w:szCs w:val="20"/>
          <w:color w:val="auto"/>
        </w:rPr>
      </w:pPr>
    </w:p>
    <w:p>
      <w:pPr>
        <w:ind w:left="800" w:hanging="301"/>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two Directors, each for a term of three years; and</w:t>
      </w:r>
    </w:p>
    <w:p>
      <w:pPr>
        <w:spacing w:after="0" w:line="196" w:lineRule="exact"/>
        <w:rPr>
          <w:rFonts w:ascii="Courier New" w:cs="Courier New" w:eastAsia="Courier New" w:hAnsi="Courier New"/>
          <w:sz w:val="17"/>
          <w:szCs w:val="17"/>
          <w:color w:val="auto"/>
        </w:rPr>
      </w:pPr>
    </w:p>
    <w:p>
      <w:pPr>
        <w:ind w:left="800" w:right="2259" w:hanging="301"/>
        <w:spacing w:after="0" w:line="236"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Company's Amended and Restated Certificate of Incorporation to increase the Company's authorized shares of Common Stock; and</w:t>
      </w:r>
    </w:p>
    <w:p>
      <w:pPr>
        <w:spacing w:after="0" w:line="190" w:lineRule="exact"/>
        <w:rPr>
          <w:rFonts w:ascii="Courier New" w:cs="Courier New" w:eastAsia="Courier New" w:hAnsi="Courier New"/>
          <w:sz w:val="17"/>
          <w:szCs w:val="17"/>
          <w:color w:val="auto"/>
        </w:rPr>
      </w:pPr>
    </w:p>
    <w:p>
      <w:pPr>
        <w:ind w:left="800" w:hanging="301"/>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the Cohu, Inc. 1996 Stock Option Plan; and</w:t>
      </w:r>
    </w:p>
    <w:p>
      <w:pPr>
        <w:spacing w:after="0" w:line="196" w:lineRule="exact"/>
        <w:rPr>
          <w:rFonts w:ascii="Courier New" w:cs="Courier New" w:eastAsia="Courier New" w:hAnsi="Courier New"/>
          <w:sz w:val="17"/>
          <w:szCs w:val="17"/>
          <w:color w:val="auto"/>
        </w:rPr>
      </w:pPr>
    </w:p>
    <w:p>
      <w:pPr>
        <w:ind w:left="800" w:right="2459" w:hanging="301"/>
        <w:spacing w:after="0" w:line="235"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act upon such other matters as may properly come before the meeting or any adjournment thereof.</w:t>
      </w:r>
    </w:p>
    <w:p>
      <w:pPr>
        <w:spacing w:after="0" w:line="197"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Only stockholders of record of the Company at the close of business on March 6, 1996 will be entitled to vote at the meeting.</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Since the holders of a majority of the outstanding shares of voting stock of the Company entitled to vote at the meeting must be represented to constitute a quorum, all stockholders are urged either to attend the meeting in person or to vote by proxy.</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Please sign, date and return the enclosed proxy in the envelope enclosed for your convenience. If you attend the meeting you may revoke your proxy and vote in person, and if you otherwise desire to revoke your proxy you may do so by delivering a written notice to the Secretary of the Company, or by submitting another duly signed proxy bearing a later date.</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JOHN H. ALLEN</w:t>
      </w:r>
    </w:p>
    <w:p>
      <w:pPr>
        <w:ind w:left="4180"/>
        <w:spacing w:after="0" w:line="238" w:lineRule="auto"/>
        <w:rPr>
          <w:sz w:val="20"/>
          <w:szCs w:val="20"/>
          <w:color w:val="auto"/>
        </w:rPr>
      </w:pPr>
      <w:r>
        <w:rPr>
          <w:rFonts w:ascii="Courier New" w:cs="Courier New" w:eastAsia="Courier New" w:hAnsi="Courier New"/>
          <w:sz w:val="17"/>
          <w:szCs w:val="17"/>
          <w:color w:val="auto"/>
        </w:rPr>
        <w:t>Secretary</w:t>
      </w:r>
    </w:p>
    <w:p>
      <w:pPr>
        <w:spacing w:after="0" w:line="238" w:lineRule="auto"/>
        <w:rPr>
          <w:sz w:val="20"/>
          <w:szCs w:val="20"/>
          <w:color w:val="auto"/>
        </w:rPr>
      </w:pPr>
      <w:r>
        <w:rPr>
          <w:rFonts w:ascii="Courier New" w:cs="Courier New" w:eastAsia="Courier New" w:hAnsi="Courier New"/>
          <w:sz w:val="17"/>
          <w:szCs w:val="17"/>
          <w:color w:val="auto"/>
        </w:rPr>
        <w:t>San Diego, California</w:t>
      </w:r>
    </w:p>
    <w:p>
      <w:pPr>
        <w:spacing w:after="0"/>
        <w:rPr>
          <w:sz w:val="20"/>
          <w:szCs w:val="20"/>
          <w:color w:val="auto"/>
        </w:rPr>
      </w:pPr>
      <w:r>
        <w:rPr>
          <w:rFonts w:ascii="Courier New" w:cs="Courier New" w:eastAsia="Courier New" w:hAnsi="Courier New"/>
          <w:sz w:val="17"/>
          <w:szCs w:val="17"/>
          <w:color w:val="auto"/>
        </w:rPr>
        <w:t>April 1, 1996</w:t>
      </w:r>
    </w:p>
    <w:p>
      <w:pPr>
        <w:spacing w:after="0" w:line="196"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THIS IS A REQUEST FROM THE BOARD OF DIRECTORS OF YOUR COMPANY FOR YOUR PROXY. WE ASK THAT YOU SIGN AND MAIL IT PROMPTLY IN THE ENCLOSED RETURN ENVELOPE.</w:t>
      </w:r>
    </w:p>
    <w:p>
      <w:pPr>
        <w:sectPr>
          <w:pgSz w:w="11900" w:h="16838" w:orient="portrait"/>
          <w:cols w:equalWidth="0" w:num="1">
            <w:col w:w="10219"/>
          </w:cols>
          <w:pgMar w:left="240" w:top="301"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COHU, INC.</w:t>
      </w:r>
    </w:p>
    <w:p>
      <w:pPr>
        <w:spacing w:after="0" w:line="190" w:lineRule="exact"/>
        <w:rPr>
          <w:sz w:val="20"/>
          <w:szCs w:val="20"/>
          <w:color w:val="auto"/>
        </w:rPr>
      </w:pPr>
    </w:p>
    <w:p>
      <w:pPr>
        <w:jc w:val="center"/>
        <w:ind w:right="2580"/>
        <w:spacing w:after="0"/>
        <w:rPr>
          <w:sz w:val="20"/>
          <w:szCs w:val="20"/>
          <w:color w:val="auto"/>
        </w:rPr>
      </w:pPr>
      <w:r>
        <w:rPr>
          <w:rFonts w:ascii="Courier New" w:cs="Courier New" w:eastAsia="Courier New" w:hAnsi="Courier New"/>
          <w:sz w:val="17"/>
          <w:szCs w:val="17"/>
          <w:color w:val="auto"/>
        </w:rPr>
        <w:t>PROXY STATEMENT</w:t>
      </w:r>
    </w:p>
    <w:p>
      <w:pPr>
        <w:spacing w:after="0" w:line="196" w:lineRule="exact"/>
        <w:rPr>
          <w:sz w:val="20"/>
          <w:szCs w:val="20"/>
          <w:color w:val="auto"/>
        </w:rPr>
      </w:pPr>
    </w:p>
    <w:p>
      <w:pPr>
        <w:ind w:right="2480" w:firstLine="497"/>
        <w:spacing w:after="0" w:line="254"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Cohu, Inc., a Delaware corporation, (the "Company") of your Proxy for use at the Annual Meeting of Stockholders on May 7, 1996, at 5755 Kearny Villa Road, San Diego, California 92123 (the "Meeting"). This Proxy Statement and the accompanying Proxy are being mailed to all stockholders on or about April 1, 1996. Any stockholder may revoke a proxy at any time prior to its exercise by filing a later dated proxy or written notice of revocation with the Company's Secretary or by voting in person at the Annual Meeting.</w:t>
      </w:r>
    </w:p>
    <w:p>
      <w:pPr>
        <w:spacing w:after="0" w:line="187" w:lineRule="exact"/>
        <w:rPr>
          <w:sz w:val="20"/>
          <w:szCs w:val="20"/>
          <w:color w:val="auto"/>
        </w:rPr>
      </w:pPr>
    </w:p>
    <w:p>
      <w:pPr>
        <w:ind w:right="2480" w:firstLine="497"/>
        <w:spacing w:after="0" w:line="237" w:lineRule="auto"/>
        <w:rPr>
          <w:sz w:val="20"/>
          <w:szCs w:val="20"/>
          <w:color w:val="auto"/>
        </w:rPr>
      </w:pPr>
      <w:r>
        <w:rPr>
          <w:rFonts w:ascii="Courier New" w:cs="Courier New" w:eastAsia="Courier New" w:hAnsi="Courier New"/>
          <w:sz w:val="17"/>
          <w:szCs w:val="17"/>
          <w:color w:val="auto"/>
        </w:rPr>
        <w:t>On March 6, 1996, the record date fixed by the Board of Directors (the "Record Date"), the Company had outstanding 9,237,495 shares of Common Stock. Stockholders have one vote for each share on all business of the Meeting. Stockholders are entitled to cast one vote for each share held of record. In the election of directors, stockholders may, under certain circumstances,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 The other matters submitted for stockholder approval at this Meeting will be decided by the affirmative vote of a majority of shares present in person or represented by proxy and entitled to vote on each such matter. An abstention by a stockholder or a broker non-vote will not be considered to be a vote "for" or "against" a proposal but will be included in determining whether a quorum is present.</w:t>
      </w:r>
    </w:p>
    <w:p>
      <w:pPr>
        <w:spacing w:after="0" w:line="207" w:lineRule="exact"/>
        <w:rPr>
          <w:sz w:val="20"/>
          <w:szCs w:val="20"/>
          <w:color w:val="auto"/>
        </w:rPr>
      </w:pPr>
    </w:p>
    <w:p>
      <w:pPr>
        <w:ind w:right="2480" w:firstLine="497"/>
        <w:spacing w:after="0" w:line="254" w:lineRule="auto"/>
        <w:rPr>
          <w:sz w:val="20"/>
          <w:szCs w:val="20"/>
          <w:color w:val="auto"/>
        </w:rPr>
      </w:pPr>
      <w:r>
        <w:rPr>
          <w:rFonts w:ascii="Courier New" w:cs="Courier New" w:eastAsia="Courier New" w:hAnsi="Courier New"/>
          <w:sz w:val="16"/>
          <w:szCs w:val="16"/>
          <w:color w:val="auto"/>
        </w:rPr>
        <w:t>A complete list of the stockholders of record entitled to vote at the meeting, arranged in alphabetical order, and showing the address of each stockholder, and the number of shares registered in the name of each stockholder, will be kept open at the office of the Company, 5755 Kearny Villa Road, San Diego, California 92123, for the examination of any stockholder during business hours for a period of ten (10) days immediately prior to the Meeting.</w:t>
      </w:r>
    </w:p>
    <w:p>
      <w:pPr>
        <w:spacing w:after="0" w:line="181"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SECURITY OWNERSHIP OF CERTAIN BENEFICIAL OWNERS</w:t>
      </w:r>
    </w:p>
    <w:p>
      <w:pPr>
        <w:spacing w:after="0" w:line="196" w:lineRule="exact"/>
        <w:rPr>
          <w:sz w:val="20"/>
          <w:szCs w:val="20"/>
          <w:color w:val="auto"/>
        </w:rPr>
      </w:pPr>
    </w:p>
    <w:p>
      <w:pPr>
        <w:ind w:right="2580" w:firstLine="497"/>
        <w:spacing w:after="0" w:line="236" w:lineRule="auto"/>
        <w:rPr>
          <w:sz w:val="20"/>
          <w:szCs w:val="20"/>
          <w:color w:val="auto"/>
        </w:rPr>
      </w:pPr>
      <w:r>
        <w:rPr>
          <w:rFonts w:ascii="Courier New" w:cs="Courier New" w:eastAsia="Courier New" w:hAnsi="Courier New"/>
          <w:sz w:val="17"/>
          <w:szCs w:val="17"/>
          <w:color w:val="auto"/>
        </w:rPr>
        <w:t>Set forth below are the names of stockholders who on March 6, 1996 (to the best of the Company's knowledge) were beneficial holders of 5% or more of the outstanding shares of the Company's Common Stock.</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AMOUNT &amp; NATURE OF</w:t>
            </w:r>
          </w:p>
        </w:tc>
        <w:tc>
          <w:tcPr>
            <w:tcW w:w="1940" w:type="dxa"/>
            <w:vAlign w:val="bottom"/>
          </w:tcPr>
          <w:p>
            <w:pPr>
              <w:spacing w:after="0"/>
              <w:rPr>
                <w:sz w:val="16"/>
                <w:szCs w:val="16"/>
                <w:color w:val="auto"/>
              </w:rPr>
            </w:pPr>
          </w:p>
        </w:tc>
      </w:tr>
      <w:tr>
        <w:trPr>
          <w:trHeight w:val="191"/>
        </w:trPr>
        <w:tc>
          <w:tcPr>
            <w:tcW w:w="6060" w:type="dxa"/>
            <w:vAlign w:val="bottom"/>
            <w:gridSpan w:val="2"/>
          </w:tcPr>
          <w:p>
            <w:pPr>
              <w:ind w:left="1800"/>
              <w:spacing w:after="0" w:line="191" w:lineRule="exact"/>
              <w:rPr>
                <w:sz w:val="20"/>
                <w:szCs w:val="20"/>
                <w:color w:val="auto"/>
              </w:rPr>
            </w:pPr>
            <w:r>
              <w:rPr>
                <w:rFonts w:ascii="Courier New" w:cs="Courier New" w:eastAsia="Courier New" w:hAnsi="Courier New"/>
                <w:sz w:val="17"/>
                <w:szCs w:val="17"/>
                <w:color w:val="auto"/>
              </w:rPr>
              <w:t>NAME OF BENEFICIAL OWNER</w:t>
            </w:r>
          </w:p>
        </w:tc>
        <w:tc>
          <w:tcPr>
            <w:tcW w:w="2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BENEFICIAL OWNERSHIP</w:t>
            </w:r>
          </w:p>
        </w:tc>
        <w:tc>
          <w:tcPr>
            <w:tcW w:w="1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PERCENT OF CLASS</w:t>
            </w:r>
          </w:p>
        </w:tc>
      </w:tr>
      <w:tr>
        <w:trPr>
          <w:trHeight w:val="191"/>
        </w:trPr>
        <w:tc>
          <w:tcPr>
            <w:tcW w:w="60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5"/>
              </w:rPr>
              <w:t>- ------------------------------------------------------------</w:t>
            </w:r>
          </w:p>
        </w:tc>
        <w:tc>
          <w:tcPr>
            <w:tcW w:w="24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060" w:type="dxa"/>
            <w:vAlign w:val="bottom"/>
            <w:gridSpan w:val="2"/>
          </w:tcPr>
          <w:p>
            <w:pPr>
              <w:spacing w:after="0"/>
              <w:rPr>
                <w:sz w:val="20"/>
                <w:szCs w:val="20"/>
                <w:color w:val="auto"/>
              </w:rPr>
            </w:pPr>
            <w:r>
              <w:rPr>
                <w:rFonts w:ascii="Courier New" w:cs="Courier New" w:eastAsia="Courier New" w:hAnsi="Courier New"/>
                <w:sz w:val="17"/>
                <w:szCs w:val="17"/>
                <w:color w:val="auto"/>
                <w:w w:val="98"/>
              </w:rPr>
              <w:t>Fidelity Management and Research Corporation................</w:t>
            </w:r>
          </w:p>
        </w:tc>
        <w:tc>
          <w:tcPr>
            <w:tcW w:w="2440" w:type="dxa"/>
            <w:vAlign w:val="bottom"/>
          </w:tcPr>
          <w:p>
            <w:pPr>
              <w:jc w:val="right"/>
              <w:ind w:right="857"/>
              <w:spacing w:after="0"/>
              <w:rPr>
                <w:sz w:val="20"/>
                <w:szCs w:val="20"/>
                <w:color w:val="auto"/>
              </w:rPr>
            </w:pPr>
            <w:r>
              <w:rPr>
                <w:rFonts w:ascii="Courier New" w:cs="Courier New" w:eastAsia="Courier New" w:hAnsi="Courier New"/>
                <w:sz w:val="17"/>
                <w:szCs w:val="17"/>
                <w:color w:val="auto"/>
              </w:rPr>
              <w:t>985,200</w:t>
            </w:r>
          </w:p>
        </w:tc>
        <w:tc>
          <w:tcPr>
            <w:tcW w:w="19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10.67%</w:t>
            </w:r>
          </w:p>
        </w:tc>
      </w:tr>
      <w:tr>
        <w:trPr>
          <w:trHeight w:val="191"/>
        </w:trPr>
        <w:tc>
          <w:tcPr>
            <w:tcW w:w="2880" w:type="dxa"/>
            <w:vAlign w:val="bottom"/>
          </w:tcPr>
          <w:p>
            <w:pPr>
              <w:spacing w:after="0" w:line="191" w:lineRule="exact"/>
              <w:rPr>
                <w:sz w:val="20"/>
                <w:szCs w:val="20"/>
                <w:color w:val="auto"/>
              </w:rPr>
            </w:pPr>
            <w:r>
              <w:rPr>
                <w:rFonts w:ascii="Courier New" w:cs="Courier New" w:eastAsia="Courier New" w:hAnsi="Courier New"/>
                <w:sz w:val="17"/>
                <w:szCs w:val="17"/>
                <w:color w:val="auto"/>
              </w:rPr>
              <w:t>82 Devonshire Street</w:t>
            </w:r>
          </w:p>
        </w:tc>
        <w:tc>
          <w:tcPr>
            <w:tcW w:w="31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1"/>
        </w:trPr>
        <w:tc>
          <w:tcPr>
            <w:tcW w:w="2880" w:type="dxa"/>
            <w:vAlign w:val="bottom"/>
          </w:tcPr>
          <w:p>
            <w:pPr>
              <w:spacing w:after="0" w:line="191" w:lineRule="exact"/>
              <w:rPr>
                <w:sz w:val="20"/>
                <w:szCs w:val="20"/>
                <w:color w:val="auto"/>
              </w:rPr>
            </w:pPr>
            <w:r>
              <w:rPr>
                <w:rFonts w:ascii="Courier New" w:cs="Courier New" w:eastAsia="Courier New" w:hAnsi="Courier New"/>
                <w:sz w:val="17"/>
                <w:szCs w:val="17"/>
                <w:color w:val="auto"/>
              </w:rPr>
              <w:t>Boston, MA 02109</w:t>
            </w:r>
          </w:p>
        </w:tc>
        <w:tc>
          <w:tcPr>
            <w:tcW w:w="31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1"/>
        </w:trPr>
        <w:tc>
          <w:tcPr>
            <w:tcW w:w="60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Nicholas J. Cedrone.........................................</w:t>
            </w:r>
          </w:p>
        </w:tc>
        <w:tc>
          <w:tcPr>
            <w:tcW w:w="2440" w:type="dxa"/>
            <w:vAlign w:val="bottom"/>
          </w:tcPr>
          <w:p>
            <w:pPr>
              <w:jc w:val="right"/>
              <w:ind w:right="857"/>
              <w:spacing w:after="0" w:line="191" w:lineRule="exact"/>
              <w:rPr>
                <w:sz w:val="20"/>
                <w:szCs w:val="20"/>
                <w:color w:val="auto"/>
              </w:rPr>
            </w:pPr>
            <w:r>
              <w:rPr>
                <w:rFonts w:ascii="Courier New" w:cs="Courier New" w:eastAsia="Courier New" w:hAnsi="Courier New"/>
                <w:sz w:val="17"/>
                <w:szCs w:val="17"/>
                <w:color w:val="auto"/>
              </w:rPr>
              <w:t>662,434</w:t>
            </w:r>
          </w:p>
        </w:tc>
        <w:tc>
          <w:tcPr>
            <w:tcW w:w="19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7.17%</w:t>
            </w:r>
          </w:p>
        </w:tc>
      </w:tr>
      <w:tr>
        <w:trPr>
          <w:trHeight w:val="191"/>
        </w:trPr>
        <w:tc>
          <w:tcPr>
            <w:tcW w:w="2880" w:type="dxa"/>
            <w:vAlign w:val="bottom"/>
          </w:tcPr>
          <w:p>
            <w:pPr>
              <w:spacing w:after="0" w:line="191" w:lineRule="exact"/>
              <w:rPr>
                <w:sz w:val="20"/>
                <w:szCs w:val="20"/>
                <w:color w:val="auto"/>
              </w:rPr>
            </w:pPr>
            <w:r>
              <w:rPr>
                <w:rFonts w:ascii="Courier New" w:cs="Courier New" w:eastAsia="Courier New" w:hAnsi="Courier New"/>
                <w:sz w:val="17"/>
                <w:szCs w:val="17"/>
                <w:color w:val="auto"/>
              </w:rPr>
              <w:t>301 Second Avenue</w:t>
            </w:r>
          </w:p>
        </w:tc>
        <w:tc>
          <w:tcPr>
            <w:tcW w:w="31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1"/>
        </w:trPr>
        <w:tc>
          <w:tcPr>
            <w:tcW w:w="2880" w:type="dxa"/>
            <w:vAlign w:val="bottom"/>
          </w:tcPr>
          <w:p>
            <w:pPr>
              <w:spacing w:after="0" w:line="191" w:lineRule="exact"/>
              <w:rPr>
                <w:sz w:val="20"/>
                <w:szCs w:val="20"/>
                <w:color w:val="auto"/>
              </w:rPr>
            </w:pPr>
            <w:r>
              <w:rPr>
                <w:rFonts w:ascii="Courier New" w:cs="Courier New" w:eastAsia="Courier New" w:hAnsi="Courier New"/>
                <w:sz w:val="17"/>
                <w:szCs w:val="17"/>
                <w:color w:val="auto"/>
              </w:rPr>
              <w:t>Waltham, MA 02154</w:t>
            </w:r>
          </w:p>
        </w:tc>
        <w:tc>
          <w:tcPr>
            <w:tcW w:w="31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1"/>
        </w:trPr>
        <w:tc>
          <w:tcPr>
            <w:tcW w:w="60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Investors Counselors of Maryland, Inc.......................</w:t>
            </w:r>
          </w:p>
        </w:tc>
        <w:tc>
          <w:tcPr>
            <w:tcW w:w="2440" w:type="dxa"/>
            <w:vAlign w:val="bottom"/>
          </w:tcPr>
          <w:p>
            <w:pPr>
              <w:jc w:val="right"/>
              <w:ind w:right="857"/>
              <w:spacing w:after="0" w:line="191" w:lineRule="exact"/>
              <w:rPr>
                <w:sz w:val="20"/>
                <w:szCs w:val="20"/>
                <w:color w:val="auto"/>
              </w:rPr>
            </w:pPr>
            <w:r>
              <w:rPr>
                <w:rFonts w:ascii="Courier New" w:cs="Courier New" w:eastAsia="Courier New" w:hAnsi="Courier New"/>
                <w:sz w:val="17"/>
                <w:szCs w:val="17"/>
                <w:color w:val="auto"/>
              </w:rPr>
              <w:t>602,600</w:t>
            </w:r>
          </w:p>
        </w:tc>
        <w:tc>
          <w:tcPr>
            <w:tcW w:w="19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6.52%</w:t>
            </w:r>
          </w:p>
        </w:tc>
      </w:tr>
      <w:tr>
        <w:trPr>
          <w:trHeight w:val="191"/>
        </w:trPr>
        <w:tc>
          <w:tcPr>
            <w:tcW w:w="2880" w:type="dxa"/>
            <w:vAlign w:val="bottom"/>
          </w:tcPr>
          <w:p>
            <w:pPr>
              <w:spacing w:after="0" w:line="191" w:lineRule="exact"/>
              <w:rPr>
                <w:sz w:val="20"/>
                <w:szCs w:val="20"/>
                <w:color w:val="auto"/>
              </w:rPr>
            </w:pPr>
            <w:r>
              <w:rPr>
                <w:rFonts w:ascii="Courier New" w:cs="Courier New" w:eastAsia="Courier New" w:hAnsi="Courier New"/>
                <w:sz w:val="17"/>
                <w:szCs w:val="17"/>
                <w:color w:val="auto"/>
              </w:rPr>
              <w:t>803 Cathedral Street</w:t>
            </w:r>
          </w:p>
        </w:tc>
        <w:tc>
          <w:tcPr>
            <w:tcW w:w="31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1"/>
        </w:trPr>
        <w:tc>
          <w:tcPr>
            <w:tcW w:w="2880" w:type="dxa"/>
            <w:vAlign w:val="bottom"/>
          </w:tcPr>
          <w:p>
            <w:pPr>
              <w:spacing w:after="0" w:line="191" w:lineRule="exact"/>
              <w:rPr>
                <w:sz w:val="20"/>
                <w:szCs w:val="20"/>
                <w:color w:val="auto"/>
              </w:rPr>
            </w:pPr>
            <w:r>
              <w:rPr>
                <w:rFonts w:ascii="Courier New" w:cs="Courier New" w:eastAsia="Courier New" w:hAnsi="Courier New"/>
                <w:sz w:val="17"/>
                <w:szCs w:val="17"/>
                <w:color w:val="auto"/>
              </w:rPr>
              <w:t>Baltimore, MD 21201</w:t>
            </w:r>
          </w:p>
        </w:tc>
        <w:tc>
          <w:tcPr>
            <w:tcW w:w="31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574"/>
        </w:trPr>
        <w:tc>
          <w:tcPr>
            <w:tcW w:w="2880" w:type="dxa"/>
            <w:vAlign w:val="bottom"/>
          </w:tcPr>
          <w:p>
            <w:pPr>
              <w:spacing w:after="0"/>
              <w:rPr>
                <w:sz w:val="20"/>
                <w:szCs w:val="20"/>
                <w:color w:val="auto"/>
              </w:rPr>
            </w:pPr>
            <w:r>
              <w:rPr>
                <w:rFonts w:ascii="Courier New" w:cs="Courier New" w:eastAsia="Courier New" w:hAnsi="Courier New"/>
                <w:sz w:val="17"/>
                <w:szCs w:val="17"/>
                <w:color w:val="auto"/>
              </w:rPr>
              <w:t>ITEM 1 --</w:t>
            </w:r>
          </w:p>
        </w:tc>
        <w:tc>
          <w:tcPr>
            <w:tcW w:w="3180" w:type="dxa"/>
            <w:vAlign w:val="bottom"/>
          </w:tcPr>
          <w:p>
            <w:pPr>
              <w:spacing w:after="0"/>
              <w:rPr>
                <w:sz w:val="20"/>
                <w:szCs w:val="20"/>
                <w:color w:val="auto"/>
              </w:rPr>
            </w:pPr>
            <w:r>
              <w:rPr>
                <w:rFonts w:ascii="Courier New" w:cs="Courier New" w:eastAsia="Courier New" w:hAnsi="Courier New"/>
                <w:sz w:val="17"/>
                <w:szCs w:val="17"/>
                <w:color w:val="auto"/>
              </w:rPr>
              <w:t>ELECTION OF DIRECTORS</w:t>
            </w:r>
          </w:p>
        </w:tc>
        <w:tc>
          <w:tcPr>
            <w:tcW w:w="244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196" w:lineRule="exact"/>
        <w:rPr>
          <w:sz w:val="20"/>
          <w:szCs w:val="20"/>
          <w:color w:val="auto"/>
        </w:rPr>
      </w:pPr>
    </w:p>
    <w:p>
      <w:pPr>
        <w:ind w:right="2480" w:firstLine="497"/>
        <w:spacing w:after="0" w:line="253" w:lineRule="auto"/>
        <w:rPr>
          <w:sz w:val="20"/>
          <w:szCs w:val="20"/>
          <w:color w:val="auto"/>
        </w:rPr>
      </w:pPr>
      <w:r>
        <w:rPr>
          <w:rFonts w:ascii="Courier New" w:cs="Courier New" w:eastAsia="Courier New" w:hAnsi="Courier New"/>
          <w:sz w:val="16"/>
          <w:szCs w:val="16"/>
          <w:color w:val="auto"/>
        </w:rPr>
        <w:t>The Certificate of Incorporation classifies the directors of the Company into three groups whose terms expire at different times. One class of directors is elected at each annual meeting with the remaining directors continuing in office. At the 1996 Annual Meeting of Stockholders, two directors are to be elected for a term of three years. It is intended that the shares represented by proxies in the accompanying form will be voted by the proxy holders for the election of the two nominees named below. In the event the election of directors is to be by cumulative voting, the proxy holders will vote the shares represented by proxies in such proportions as the proxy holders see fit. Should any nominee decline or become unable to accept nomination or election, which is</w:t>
      </w:r>
    </w:p>
    <w:p>
      <w:pPr>
        <w:sectPr>
          <w:pgSz w:w="11900" w:h="16838" w:orient="portrait"/>
          <w:cols w:equalWidth="0" w:num="1">
            <w:col w:w="10440"/>
          </w:cols>
          <w:pgMar w:left="240" w:top="301" w:right="1219" w:bottom="1440" w:gutter="0" w:footer="0" w:header="0"/>
        </w:sectPr>
      </w:pPr>
    </w:p>
    <w:p>
      <w:pPr>
        <w:spacing w:after="0" w:line="1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440"/>
          </w:cols>
          <w:pgMar w:left="240" w:top="301" w:right="1219"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196" w:lineRule="exact"/>
        <w:rPr>
          <w:sz w:val="20"/>
          <w:szCs w:val="20"/>
          <w:color w:val="auto"/>
        </w:rPr>
      </w:pPr>
    </w:p>
    <w:p>
      <w:pPr>
        <w:jc w:val="both"/>
        <w:ind w:right="3380"/>
        <w:spacing w:after="0" w:line="236" w:lineRule="auto"/>
        <w:rPr>
          <w:sz w:val="20"/>
          <w:szCs w:val="20"/>
          <w:color w:val="auto"/>
        </w:rPr>
      </w:pPr>
      <w:r>
        <w:rPr>
          <w:rFonts w:ascii="Courier New" w:cs="Courier New" w:eastAsia="Courier New" w:hAnsi="Courier New"/>
          <w:sz w:val="17"/>
          <w:szCs w:val="17"/>
          <w:color w:val="auto"/>
        </w:rPr>
        <w:t>not anticipated, the proxies will be voted for such substitute nominee as may be designated by a majority of the Board of Directors. THE BOARD RECOMMENDS A VOTE IN FAVOR OF THE TWO NOMINEES.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TERMS EXPIRING IN 1999 -- CLASS 2</w:t>
      </w:r>
    </w:p>
    <w:p>
      <w:pPr>
        <w:spacing w:after="0" w:line="200" w:lineRule="exact"/>
        <w:rPr>
          <w:sz w:val="20"/>
          <w:szCs w:val="20"/>
          <w:color w:val="auto"/>
        </w:rPr>
      </w:pPr>
    </w:p>
    <w:p>
      <w:pPr>
        <w:spacing w:after="0" w:line="372" w:lineRule="exact"/>
        <w:rPr>
          <w:sz w:val="20"/>
          <w:szCs w:val="20"/>
          <w:color w:val="auto"/>
        </w:rPr>
      </w:pPr>
    </w:p>
    <w:p>
      <w:pPr>
        <w:ind w:left="7960"/>
        <w:spacing w:after="0"/>
        <w:rPr>
          <w:sz w:val="20"/>
          <w:szCs w:val="20"/>
          <w:color w:val="auto"/>
        </w:rPr>
      </w:pPr>
      <w:r>
        <w:rPr>
          <w:rFonts w:ascii="Courier New" w:cs="Courier New" w:eastAsia="Courier New" w:hAnsi="Courier New"/>
          <w:sz w:val="17"/>
          <w:szCs w:val="17"/>
          <w:color w:val="auto"/>
        </w:rPr>
        <w:t>SHARES OF COMMON</w:t>
      </w:r>
    </w:p>
    <w:p>
      <w:pPr>
        <w:ind w:left="8460"/>
        <w:spacing w:after="0" w:line="238" w:lineRule="auto"/>
        <w:tabs>
          <w:tab w:leader="none" w:pos="9820" w:val="left"/>
        </w:tabs>
        <w:rPr>
          <w:sz w:val="20"/>
          <w:szCs w:val="20"/>
          <w:color w:val="auto"/>
        </w:rPr>
      </w:pP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7"/>
          <w:szCs w:val="17"/>
          <w:color w:val="auto"/>
        </w:rPr>
        <w:t>PERCENTAGE OF</w:t>
      </w:r>
    </w:p>
    <w:p>
      <w:pPr>
        <w:ind w:left="800"/>
        <w:spacing w:after="0"/>
        <w:tabs>
          <w:tab w:leader="none" w:pos="6840" w:val="left"/>
          <w:tab w:leader="none" w:pos="8140" w:val="left"/>
          <w:tab w:leader="none" w:pos="9920" w:val="left"/>
        </w:tabs>
        <w:rPr>
          <w:sz w:val="20"/>
          <w:szCs w:val="20"/>
          <w:color w:val="auto"/>
        </w:rPr>
      </w:pPr>
      <w:r>
        <w:rPr>
          <w:rFonts w:ascii="Courier New" w:cs="Courier New" w:eastAsia="Courier New" w:hAnsi="Courier New"/>
          <w:sz w:val="17"/>
          <w:szCs w:val="17"/>
          <w:color w:val="auto"/>
        </w:rPr>
        <w:t>NAME AND</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6"/>
          <w:szCs w:val="16"/>
          <w:color w:val="auto"/>
        </w:rPr>
        <w:t>OUTSTANDING</w:t>
      </w:r>
    </w:p>
    <w:p>
      <w:pPr>
        <w:ind w:left="400"/>
        <w:spacing w:after="0"/>
        <w:tabs>
          <w:tab w:leader="none" w:pos="2660" w:val="left"/>
          <w:tab w:leader="none" w:pos="3960" w:val="left"/>
          <w:tab w:leader="none" w:pos="6940" w:val="left"/>
          <w:tab w:leader="none" w:pos="8440" w:val="left"/>
          <w:tab w:leader="none" w:pos="10120" w:val="left"/>
        </w:tabs>
        <w:rPr>
          <w:sz w:val="20"/>
          <w:szCs w:val="20"/>
          <w:color w:val="auto"/>
        </w:rPr>
      </w:pPr>
      <w:r>
        <w:rPr>
          <w:rFonts w:ascii="Courier New" w:cs="Courier New" w:eastAsia="Courier New" w:hAnsi="Courier New"/>
          <w:sz w:val="17"/>
          <w:szCs w:val="17"/>
          <w:color w:val="auto"/>
        </w:rPr>
        <w:t>BUSINESS ADDRESS</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PRINCIPAL OCCUPATION</w:t>
      </w:r>
      <w:r>
        <w:rPr>
          <w:sz w:val="20"/>
          <w:szCs w:val="20"/>
          <w:color w:val="auto"/>
        </w:rPr>
        <w:tab/>
      </w:r>
      <w:r>
        <w:rPr>
          <w:rFonts w:ascii="Courier New" w:cs="Courier New" w:eastAsia="Courier New" w:hAnsi="Courier New"/>
          <w:sz w:val="17"/>
          <w:szCs w:val="17"/>
          <w:color w:val="auto"/>
        </w:rPr>
        <w:t>SINCE</w:t>
      </w:r>
      <w:r>
        <w:rPr>
          <w:sz w:val="20"/>
          <w:szCs w:val="20"/>
          <w:color w:val="auto"/>
        </w:rPr>
        <w:tab/>
      </w:r>
      <w:r>
        <w:rPr>
          <w:rFonts w:ascii="Courier New" w:cs="Courier New" w:eastAsia="Courier New" w:hAnsi="Courier New"/>
          <w:sz w:val="17"/>
          <w:szCs w:val="17"/>
          <w:color w:val="auto"/>
        </w:rPr>
        <w:t>OWNED</w:t>
      </w:r>
      <w:r>
        <w:rPr>
          <w:sz w:val="20"/>
          <w:szCs w:val="20"/>
          <w:color w:val="auto"/>
        </w:rPr>
        <w:tab/>
      </w:r>
      <w:r>
        <w:rPr>
          <w:rFonts w:ascii="Courier New" w:cs="Courier New" w:eastAsia="Courier New" w:hAnsi="Courier New"/>
          <w:sz w:val="16"/>
          <w:szCs w:val="16"/>
          <w:color w:val="auto"/>
        </w:rPr>
        <w:t>SHARES</w:t>
      </w:r>
    </w:p>
    <w:p>
      <w:pPr>
        <w:spacing w:after="0"/>
        <w:tabs>
          <w:tab w:leader="none" w:pos="2860" w:val="left"/>
          <w:tab w:leader="none" w:pos="3460" w:val="left"/>
          <w:tab w:leader="none" w:pos="7040" w:val="left"/>
          <w:tab w:leader="none" w:pos="8140" w:val="left"/>
          <w:tab w:leader="none" w:pos="10020" w:val="left"/>
        </w:tabs>
        <w:rPr>
          <w:sz w:val="20"/>
          <w:szCs w:val="20"/>
          <w:color w:val="auto"/>
        </w:rPr>
      </w:pPr>
      <w:r>
        <w:rPr>
          <w:rFonts w:ascii="Courier New" w:cs="Courier New" w:eastAsia="Courier New" w:hAnsi="Courier New"/>
          <w:sz w:val="17"/>
          <w:szCs w:val="17"/>
          <w:color w:val="auto"/>
        </w:rPr>
        <w:t>- -------------------------</w:t>
        <w:tab/>
        <w:t>---</w:t>
      </w:r>
      <w:r>
        <w:rPr>
          <w:sz w:val="20"/>
          <w:szCs w:val="20"/>
          <w:color w:val="auto"/>
        </w:rPr>
        <w:tab/>
      </w:r>
      <w:r>
        <w:rPr>
          <w:rFonts w:ascii="Courier New" w:cs="Courier New" w:eastAsia="Courier New" w:hAnsi="Courier New"/>
          <w:sz w:val="17"/>
          <w:szCs w:val="17"/>
          <w:color w:val="auto"/>
        </w:rPr>
        <w:t>----------------------------------</w:t>
        <w:tab/>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spacing w:after="0"/>
        <w:tabs>
          <w:tab w:leader="none" w:pos="2660" w:val="left"/>
          <w:tab w:leader="none" w:pos="3260" w:val="left"/>
          <w:tab w:leader="none" w:pos="7040" w:val="left"/>
          <w:tab w:leader="none" w:pos="8440" w:val="left"/>
          <w:tab w:leader="none" w:pos="10320" w:val="left"/>
        </w:tabs>
        <w:rPr>
          <w:sz w:val="20"/>
          <w:szCs w:val="20"/>
          <w:color w:val="auto"/>
        </w:rPr>
      </w:pPr>
      <w:r>
        <w:rPr>
          <w:rFonts w:ascii="Courier New" w:cs="Courier New" w:eastAsia="Courier New" w:hAnsi="Courier New"/>
          <w:sz w:val="17"/>
          <w:szCs w:val="17"/>
          <w:color w:val="auto"/>
        </w:rPr>
        <w:t>Charles A. Schwan........</w:t>
        <w:tab/>
        <w:t>56</w:t>
      </w:r>
      <w:r>
        <w:rPr>
          <w:sz w:val="20"/>
          <w:szCs w:val="20"/>
          <w:color w:val="auto"/>
        </w:rPr>
        <w:tab/>
      </w:r>
      <w:r>
        <w:rPr>
          <w:rFonts w:ascii="Courier New" w:cs="Courier New" w:eastAsia="Courier New" w:hAnsi="Courier New"/>
          <w:sz w:val="17"/>
          <w:szCs w:val="17"/>
          <w:color w:val="auto"/>
        </w:rPr>
        <w:t>President &amp; Chief Executive</w:t>
      </w:r>
      <w:r>
        <w:rPr>
          <w:sz w:val="20"/>
          <w:szCs w:val="20"/>
          <w:color w:val="auto"/>
        </w:rPr>
        <w:tab/>
      </w:r>
      <w:r>
        <w:rPr>
          <w:rFonts w:ascii="Courier New" w:cs="Courier New" w:eastAsia="Courier New" w:hAnsi="Courier New"/>
          <w:sz w:val="17"/>
          <w:szCs w:val="17"/>
          <w:color w:val="auto"/>
        </w:rPr>
        <w:t>1990</w:t>
      </w:r>
      <w:r>
        <w:rPr>
          <w:sz w:val="20"/>
          <w:szCs w:val="20"/>
          <w:color w:val="auto"/>
        </w:rPr>
        <w:tab/>
      </w:r>
      <w:r>
        <w:rPr>
          <w:rFonts w:ascii="Courier New" w:cs="Courier New" w:eastAsia="Courier New" w:hAnsi="Courier New"/>
          <w:sz w:val="17"/>
          <w:szCs w:val="17"/>
          <w:color w:val="auto"/>
        </w:rPr>
        <w:t>142,696(1)</w:t>
      </w:r>
      <w:r>
        <w:rPr>
          <w:sz w:val="20"/>
          <w:szCs w:val="20"/>
          <w:color w:val="auto"/>
        </w:rPr>
        <w:tab/>
      </w:r>
      <w:r>
        <w:rPr>
          <w:rFonts w:ascii="Courier New" w:cs="Courier New" w:eastAsia="Courier New" w:hAnsi="Courier New"/>
          <w:sz w:val="16"/>
          <w:szCs w:val="16"/>
          <w:color w:val="auto"/>
        </w:rPr>
        <w:t>1.54%</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5755 Kearny Villa Rd.</w:t>
      </w:r>
      <w:r>
        <w:rPr>
          <w:sz w:val="20"/>
          <w:szCs w:val="20"/>
          <w:color w:val="auto"/>
        </w:rPr>
        <w:tab/>
      </w:r>
      <w:r>
        <w:rPr>
          <w:rFonts w:ascii="Courier New" w:cs="Courier New" w:eastAsia="Courier New" w:hAnsi="Courier New"/>
          <w:sz w:val="16"/>
          <w:szCs w:val="16"/>
          <w:color w:val="auto"/>
        </w:rPr>
        <w:t>Officer of the Company since March</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San Diego, CA</w:t>
      </w:r>
      <w:r>
        <w:rPr>
          <w:sz w:val="20"/>
          <w:szCs w:val="20"/>
          <w:color w:val="auto"/>
        </w:rPr>
        <w:tab/>
      </w:r>
      <w:r>
        <w:rPr>
          <w:rFonts w:ascii="Courier New" w:cs="Courier New" w:eastAsia="Courier New" w:hAnsi="Courier New"/>
          <w:sz w:val="16"/>
          <w:szCs w:val="16"/>
          <w:color w:val="auto"/>
        </w:rPr>
        <w:t>1996, Executive Vice President &amp;</w:t>
      </w:r>
    </w:p>
    <w:p>
      <w:pPr>
        <w:ind w:left="3280"/>
        <w:spacing w:after="0"/>
        <w:rPr>
          <w:sz w:val="20"/>
          <w:szCs w:val="20"/>
          <w:color w:val="auto"/>
        </w:rPr>
      </w:pPr>
      <w:r>
        <w:rPr>
          <w:rFonts w:ascii="Courier New" w:cs="Courier New" w:eastAsia="Courier New" w:hAnsi="Courier New"/>
          <w:sz w:val="17"/>
          <w:szCs w:val="17"/>
          <w:color w:val="auto"/>
        </w:rPr>
        <w:t>Chief Operating Officer from</w:t>
      </w:r>
    </w:p>
    <w:p>
      <w:pPr>
        <w:ind w:left="3280"/>
        <w:spacing w:after="0" w:line="237" w:lineRule="auto"/>
        <w:rPr>
          <w:sz w:val="20"/>
          <w:szCs w:val="20"/>
          <w:color w:val="auto"/>
        </w:rPr>
      </w:pPr>
      <w:r>
        <w:rPr>
          <w:rFonts w:ascii="Courier New" w:cs="Courier New" w:eastAsia="Courier New" w:hAnsi="Courier New"/>
          <w:sz w:val="17"/>
          <w:szCs w:val="17"/>
          <w:color w:val="auto"/>
        </w:rPr>
        <w:t>September 1995 to March 1996, Vice</w:t>
      </w:r>
    </w:p>
    <w:p>
      <w:pPr>
        <w:ind w:left="3280"/>
        <w:spacing w:after="0" w:line="238" w:lineRule="auto"/>
        <w:rPr>
          <w:sz w:val="20"/>
          <w:szCs w:val="20"/>
          <w:color w:val="auto"/>
        </w:rPr>
      </w:pPr>
      <w:r>
        <w:rPr>
          <w:rFonts w:ascii="Courier New" w:cs="Courier New" w:eastAsia="Courier New" w:hAnsi="Courier New"/>
          <w:sz w:val="17"/>
          <w:szCs w:val="17"/>
          <w:color w:val="auto"/>
        </w:rPr>
        <w:t>President, Finance from 1983 until</w:t>
      </w:r>
    </w:p>
    <w:p>
      <w:pPr>
        <w:ind w:left="3280"/>
        <w:spacing w:after="0"/>
        <w:rPr>
          <w:sz w:val="20"/>
          <w:szCs w:val="20"/>
          <w:color w:val="auto"/>
        </w:rPr>
      </w:pPr>
      <w:r>
        <w:rPr>
          <w:rFonts w:ascii="Courier New" w:cs="Courier New" w:eastAsia="Courier New" w:hAnsi="Courier New"/>
          <w:sz w:val="17"/>
          <w:szCs w:val="17"/>
          <w:color w:val="auto"/>
        </w:rPr>
        <w:t>September 1995 and Secretary from</w:t>
      </w:r>
    </w:p>
    <w:p>
      <w:pPr>
        <w:ind w:left="3280"/>
        <w:spacing w:after="0" w:line="237" w:lineRule="auto"/>
        <w:rPr>
          <w:sz w:val="20"/>
          <w:szCs w:val="20"/>
          <w:color w:val="auto"/>
        </w:rPr>
      </w:pPr>
      <w:r>
        <w:rPr>
          <w:rFonts w:ascii="Courier New" w:cs="Courier New" w:eastAsia="Courier New" w:hAnsi="Courier New"/>
          <w:sz w:val="17"/>
          <w:szCs w:val="17"/>
          <w:color w:val="auto"/>
        </w:rPr>
        <w:t>1988 until September 1995.</w:t>
      </w:r>
    </w:p>
    <w:p>
      <w:pPr>
        <w:spacing w:after="0"/>
        <w:tabs>
          <w:tab w:leader="none" w:pos="2660" w:val="left"/>
          <w:tab w:leader="none" w:pos="3260" w:val="left"/>
          <w:tab w:leader="none" w:pos="7040" w:val="left"/>
          <w:tab w:leader="none" w:pos="8540" w:val="left"/>
          <w:tab w:leader="none" w:pos="10420" w:val="left"/>
        </w:tabs>
        <w:rPr>
          <w:sz w:val="20"/>
          <w:szCs w:val="20"/>
          <w:color w:val="auto"/>
        </w:rPr>
      </w:pPr>
      <w:r>
        <w:rPr>
          <w:rFonts w:ascii="Courier New" w:cs="Courier New" w:eastAsia="Courier New" w:hAnsi="Courier New"/>
          <w:sz w:val="17"/>
          <w:szCs w:val="17"/>
          <w:color w:val="auto"/>
        </w:rPr>
        <w:t>Gene E. Leary............</w:t>
        <w:tab/>
        <w:t>75</w:t>
      </w:r>
      <w:r>
        <w:rPr>
          <w:sz w:val="20"/>
          <w:szCs w:val="20"/>
          <w:color w:val="auto"/>
        </w:rPr>
        <w:tab/>
      </w:r>
      <w:r>
        <w:rPr>
          <w:rFonts w:ascii="Courier New" w:cs="Courier New" w:eastAsia="Courier New" w:hAnsi="Courier New"/>
          <w:sz w:val="17"/>
          <w:szCs w:val="17"/>
          <w:color w:val="auto"/>
        </w:rPr>
        <w:t>Retired accounting and data</w:t>
      </w:r>
      <w:r>
        <w:rPr>
          <w:sz w:val="20"/>
          <w:szCs w:val="20"/>
          <w:color w:val="auto"/>
        </w:rPr>
        <w:tab/>
      </w:r>
      <w:r>
        <w:rPr>
          <w:rFonts w:ascii="Courier New" w:cs="Courier New" w:eastAsia="Courier New" w:hAnsi="Courier New"/>
          <w:sz w:val="17"/>
          <w:szCs w:val="17"/>
          <w:color w:val="auto"/>
        </w:rPr>
        <w:t>1976</w:t>
      </w:r>
      <w:r>
        <w:rPr>
          <w:sz w:val="20"/>
          <w:szCs w:val="20"/>
          <w:color w:val="auto"/>
        </w:rPr>
        <w:tab/>
      </w:r>
      <w:r>
        <w:rPr>
          <w:rFonts w:ascii="Courier New" w:cs="Courier New" w:eastAsia="Courier New" w:hAnsi="Courier New"/>
          <w:sz w:val="17"/>
          <w:szCs w:val="17"/>
          <w:color w:val="auto"/>
        </w:rPr>
        <w:t>10,000</w:t>
      </w:r>
      <w:r>
        <w:rPr>
          <w:sz w:val="20"/>
          <w:szCs w:val="20"/>
          <w:color w:val="auto"/>
        </w:rPr>
        <w:tab/>
      </w:r>
      <w:r>
        <w:rPr>
          <w:rFonts w:ascii="Courier New" w:cs="Courier New" w:eastAsia="Courier New" w:hAnsi="Courier New"/>
          <w:sz w:val="16"/>
          <w:szCs w:val="16"/>
          <w:color w:val="auto"/>
        </w:rPr>
        <w:t>(2)</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1657 Calle de Cinco</w:t>
      </w:r>
      <w:r>
        <w:rPr>
          <w:sz w:val="20"/>
          <w:szCs w:val="20"/>
          <w:color w:val="auto"/>
        </w:rPr>
        <w:tab/>
      </w:r>
      <w:r>
        <w:rPr>
          <w:rFonts w:ascii="Courier New" w:cs="Courier New" w:eastAsia="Courier New" w:hAnsi="Courier New"/>
          <w:sz w:val="16"/>
          <w:szCs w:val="16"/>
          <w:color w:val="auto"/>
        </w:rPr>
        <w:t>processing executive at Honeywell,</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La Jolla, CA</w:t>
      </w:r>
      <w:r>
        <w:rPr>
          <w:sz w:val="20"/>
          <w:szCs w:val="20"/>
          <w:color w:val="auto"/>
        </w:rPr>
        <w:tab/>
      </w:r>
      <w:r>
        <w:rPr>
          <w:rFonts w:ascii="Courier New" w:cs="Courier New" w:eastAsia="Courier New" w:hAnsi="Courier New"/>
          <w:sz w:val="16"/>
          <w:szCs w:val="16"/>
          <w:color w:val="auto"/>
        </w:rPr>
        <w:t>Inc. and Control Data Corp.</w:t>
      </w:r>
    </w:p>
    <w:p>
      <w:pPr>
        <w:spacing w:after="0" w:line="382"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INFORMATION CONCERNING OTHER DIRECTORS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WHOSE TERMS EXPIRE IN 1997 -- CLASS 3</w:t>
      </w:r>
    </w:p>
    <w:p>
      <w:pPr>
        <w:spacing w:after="0" w:line="200" w:lineRule="exact"/>
        <w:rPr>
          <w:sz w:val="20"/>
          <w:szCs w:val="20"/>
          <w:color w:val="auto"/>
        </w:rPr>
      </w:pPr>
    </w:p>
    <w:p>
      <w:pPr>
        <w:spacing w:after="0" w:line="372" w:lineRule="exact"/>
        <w:rPr>
          <w:sz w:val="20"/>
          <w:szCs w:val="20"/>
          <w:color w:val="auto"/>
        </w:rPr>
      </w:pPr>
    </w:p>
    <w:p>
      <w:pPr>
        <w:ind w:left="7960"/>
        <w:spacing w:after="0"/>
        <w:rPr>
          <w:sz w:val="20"/>
          <w:szCs w:val="20"/>
          <w:color w:val="auto"/>
        </w:rPr>
      </w:pPr>
      <w:r>
        <w:rPr>
          <w:rFonts w:ascii="Courier New" w:cs="Courier New" w:eastAsia="Courier New" w:hAnsi="Courier New"/>
          <w:sz w:val="17"/>
          <w:szCs w:val="17"/>
          <w:color w:val="auto"/>
        </w:rPr>
        <w:t>SHARES OF COMMON</w:t>
      </w:r>
    </w:p>
    <w:p>
      <w:pPr>
        <w:ind w:left="8460"/>
        <w:spacing w:after="0" w:line="238" w:lineRule="auto"/>
        <w:tabs>
          <w:tab w:leader="none" w:pos="9820" w:val="left"/>
        </w:tabs>
        <w:rPr>
          <w:sz w:val="20"/>
          <w:szCs w:val="20"/>
          <w:color w:val="auto"/>
        </w:rPr>
      </w:pP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7"/>
          <w:szCs w:val="17"/>
          <w:color w:val="auto"/>
        </w:rPr>
        <w:t>PERCENTAGE OF</w:t>
      </w:r>
    </w:p>
    <w:p>
      <w:pPr>
        <w:ind w:left="800"/>
        <w:spacing w:after="0"/>
        <w:tabs>
          <w:tab w:leader="none" w:pos="6840" w:val="left"/>
          <w:tab w:leader="none" w:pos="8140" w:val="left"/>
          <w:tab w:leader="none" w:pos="9920" w:val="left"/>
        </w:tabs>
        <w:rPr>
          <w:sz w:val="20"/>
          <w:szCs w:val="20"/>
          <w:color w:val="auto"/>
        </w:rPr>
      </w:pPr>
      <w:r>
        <w:rPr>
          <w:rFonts w:ascii="Courier New" w:cs="Courier New" w:eastAsia="Courier New" w:hAnsi="Courier New"/>
          <w:sz w:val="17"/>
          <w:szCs w:val="17"/>
          <w:color w:val="auto"/>
        </w:rPr>
        <w:t>NAME AND</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6"/>
          <w:szCs w:val="16"/>
          <w:color w:val="auto"/>
        </w:rPr>
        <w:t>OUTSTANDING</w:t>
      </w:r>
    </w:p>
    <w:p>
      <w:pPr>
        <w:ind w:left="400"/>
        <w:spacing w:after="0"/>
        <w:tabs>
          <w:tab w:leader="none" w:pos="2660" w:val="left"/>
          <w:tab w:leader="none" w:pos="3960" w:val="left"/>
          <w:tab w:leader="none" w:pos="6940" w:val="left"/>
          <w:tab w:leader="none" w:pos="8440" w:val="left"/>
          <w:tab w:leader="none" w:pos="10120" w:val="left"/>
        </w:tabs>
        <w:rPr>
          <w:sz w:val="20"/>
          <w:szCs w:val="20"/>
          <w:color w:val="auto"/>
        </w:rPr>
      </w:pPr>
      <w:r>
        <w:rPr>
          <w:rFonts w:ascii="Courier New" w:cs="Courier New" w:eastAsia="Courier New" w:hAnsi="Courier New"/>
          <w:sz w:val="17"/>
          <w:szCs w:val="17"/>
          <w:color w:val="auto"/>
        </w:rPr>
        <w:t>BUSINESS ADDRESS</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PRINCIPAL OCCUPATION</w:t>
      </w:r>
      <w:r>
        <w:rPr>
          <w:sz w:val="20"/>
          <w:szCs w:val="20"/>
          <w:color w:val="auto"/>
        </w:rPr>
        <w:tab/>
      </w:r>
      <w:r>
        <w:rPr>
          <w:rFonts w:ascii="Courier New" w:cs="Courier New" w:eastAsia="Courier New" w:hAnsi="Courier New"/>
          <w:sz w:val="17"/>
          <w:szCs w:val="17"/>
          <w:color w:val="auto"/>
        </w:rPr>
        <w:t>SINCE</w:t>
      </w:r>
      <w:r>
        <w:rPr>
          <w:sz w:val="20"/>
          <w:szCs w:val="20"/>
          <w:color w:val="auto"/>
        </w:rPr>
        <w:tab/>
      </w:r>
      <w:r>
        <w:rPr>
          <w:rFonts w:ascii="Courier New" w:cs="Courier New" w:eastAsia="Courier New" w:hAnsi="Courier New"/>
          <w:sz w:val="17"/>
          <w:szCs w:val="17"/>
          <w:color w:val="auto"/>
        </w:rPr>
        <w:t>OWNED</w:t>
      </w:r>
      <w:r>
        <w:rPr>
          <w:sz w:val="20"/>
          <w:szCs w:val="20"/>
          <w:color w:val="auto"/>
        </w:rPr>
        <w:tab/>
      </w:r>
      <w:r>
        <w:rPr>
          <w:rFonts w:ascii="Courier New" w:cs="Courier New" w:eastAsia="Courier New" w:hAnsi="Courier New"/>
          <w:sz w:val="16"/>
          <w:szCs w:val="16"/>
          <w:color w:val="auto"/>
        </w:rPr>
        <w:t>SHARES</w:t>
      </w:r>
    </w:p>
    <w:p>
      <w:pPr>
        <w:spacing w:after="0"/>
        <w:tabs>
          <w:tab w:leader="none" w:pos="2860" w:val="left"/>
          <w:tab w:leader="none" w:pos="3460" w:val="left"/>
          <w:tab w:leader="none" w:pos="7040" w:val="left"/>
          <w:tab w:leader="none" w:pos="8140" w:val="left"/>
          <w:tab w:leader="none" w:pos="10020" w:val="left"/>
        </w:tabs>
        <w:rPr>
          <w:sz w:val="20"/>
          <w:szCs w:val="20"/>
          <w:color w:val="auto"/>
        </w:rPr>
      </w:pPr>
      <w:r>
        <w:rPr>
          <w:rFonts w:ascii="Courier New" w:cs="Courier New" w:eastAsia="Courier New" w:hAnsi="Courier New"/>
          <w:sz w:val="17"/>
          <w:szCs w:val="17"/>
          <w:color w:val="auto"/>
        </w:rPr>
        <w:t>- -------------------------</w:t>
        <w:tab/>
        <w:t>---</w:t>
      </w:r>
      <w:r>
        <w:rPr>
          <w:sz w:val="20"/>
          <w:szCs w:val="20"/>
          <w:color w:val="auto"/>
        </w:rPr>
        <w:tab/>
      </w:r>
      <w:r>
        <w:rPr>
          <w:rFonts w:ascii="Courier New" w:cs="Courier New" w:eastAsia="Courier New" w:hAnsi="Courier New"/>
          <w:sz w:val="17"/>
          <w:szCs w:val="17"/>
          <w:color w:val="auto"/>
        </w:rPr>
        <w:t>----------------------------------</w:t>
        <w:tab/>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spacing w:after="0"/>
        <w:tabs>
          <w:tab w:leader="none" w:pos="2660" w:val="left"/>
          <w:tab w:leader="none" w:pos="3260" w:val="left"/>
          <w:tab w:leader="none" w:pos="7040" w:val="left"/>
          <w:tab w:leader="none" w:pos="8540" w:val="left"/>
          <w:tab w:leader="none" w:pos="10420" w:val="left"/>
        </w:tabs>
        <w:rPr>
          <w:sz w:val="20"/>
          <w:szCs w:val="20"/>
          <w:color w:val="auto"/>
        </w:rPr>
      </w:pPr>
      <w:r>
        <w:rPr>
          <w:rFonts w:ascii="Courier New" w:cs="Courier New" w:eastAsia="Courier New" w:hAnsi="Courier New"/>
          <w:sz w:val="17"/>
          <w:szCs w:val="17"/>
          <w:color w:val="auto"/>
        </w:rPr>
        <w:t>Frank W. Davis...........</w:t>
        <w:tab/>
        <w:t>81</w:t>
      </w:r>
      <w:r>
        <w:rPr>
          <w:sz w:val="20"/>
          <w:szCs w:val="20"/>
          <w:color w:val="auto"/>
        </w:rPr>
        <w:tab/>
      </w:r>
      <w:r>
        <w:rPr>
          <w:rFonts w:ascii="Courier New" w:cs="Courier New" w:eastAsia="Courier New" w:hAnsi="Courier New"/>
          <w:sz w:val="17"/>
          <w:szCs w:val="17"/>
          <w:color w:val="auto"/>
        </w:rPr>
        <w:t>Retired aerospace executive;</w:t>
      </w:r>
      <w:r>
        <w:rPr>
          <w:sz w:val="20"/>
          <w:szCs w:val="20"/>
          <w:color w:val="auto"/>
        </w:rPr>
        <w:tab/>
      </w:r>
      <w:r>
        <w:rPr>
          <w:rFonts w:ascii="Courier New" w:cs="Courier New" w:eastAsia="Courier New" w:hAnsi="Courier New"/>
          <w:sz w:val="17"/>
          <w:szCs w:val="17"/>
          <w:color w:val="auto"/>
        </w:rPr>
        <w:t>1976</w:t>
      </w:r>
      <w:r>
        <w:rPr>
          <w:sz w:val="20"/>
          <w:szCs w:val="20"/>
          <w:color w:val="auto"/>
        </w:rPr>
        <w:tab/>
      </w:r>
      <w:r>
        <w:rPr>
          <w:rFonts w:ascii="Courier New" w:cs="Courier New" w:eastAsia="Courier New" w:hAnsi="Courier New"/>
          <w:sz w:val="17"/>
          <w:szCs w:val="17"/>
          <w:color w:val="auto"/>
        </w:rPr>
        <w:t>19,600</w:t>
      </w:r>
      <w:r>
        <w:rPr>
          <w:sz w:val="20"/>
          <w:szCs w:val="20"/>
          <w:color w:val="auto"/>
        </w:rPr>
        <w:tab/>
      </w:r>
      <w:r>
        <w:rPr>
          <w:rFonts w:ascii="Courier New" w:cs="Courier New" w:eastAsia="Courier New" w:hAnsi="Courier New"/>
          <w:sz w:val="16"/>
          <w:szCs w:val="16"/>
          <w:color w:val="auto"/>
        </w:rPr>
        <w:t>(2)</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939 Coast Blvd.</w:t>
      </w:r>
      <w:r>
        <w:rPr>
          <w:sz w:val="20"/>
          <w:szCs w:val="20"/>
          <w:color w:val="auto"/>
        </w:rPr>
        <w:tab/>
      </w:r>
      <w:r>
        <w:rPr>
          <w:rFonts w:ascii="Courier New" w:cs="Courier New" w:eastAsia="Courier New" w:hAnsi="Courier New"/>
          <w:sz w:val="16"/>
          <w:szCs w:val="16"/>
          <w:color w:val="auto"/>
        </w:rPr>
        <w:t>former President of Convair</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La Jolla, CA</w:t>
      </w:r>
      <w:r>
        <w:rPr>
          <w:sz w:val="20"/>
          <w:szCs w:val="20"/>
          <w:color w:val="auto"/>
        </w:rPr>
        <w:tab/>
      </w:r>
      <w:r>
        <w:rPr>
          <w:rFonts w:ascii="Courier New" w:cs="Courier New" w:eastAsia="Courier New" w:hAnsi="Courier New"/>
          <w:sz w:val="16"/>
          <w:szCs w:val="16"/>
          <w:color w:val="auto"/>
        </w:rPr>
        <w:t>Aerospace Division of General</w:t>
      </w:r>
    </w:p>
    <w:p>
      <w:pPr>
        <w:ind w:left="3280"/>
        <w:spacing w:after="0"/>
        <w:rPr>
          <w:sz w:val="20"/>
          <w:szCs w:val="20"/>
          <w:color w:val="auto"/>
        </w:rPr>
      </w:pPr>
      <w:r>
        <w:rPr>
          <w:rFonts w:ascii="Courier New" w:cs="Courier New" w:eastAsia="Courier New" w:hAnsi="Courier New"/>
          <w:sz w:val="17"/>
          <w:szCs w:val="17"/>
          <w:color w:val="auto"/>
        </w:rPr>
        <w:t>Dynamics</w:t>
      </w:r>
    </w:p>
    <w:p>
      <w:pPr>
        <w:spacing w:after="0"/>
        <w:tabs>
          <w:tab w:leader="none" w:pos="2660" w:val="left"/>
          <w:tab w:leader="none" w:pos="3260" w:val="left"/>
          <w:tab w:leader="none" w:pos="7040" w:val="left"/>
          <w:tab w:leader="none" w:pos="8840" w:val="left"/>
          <w:tab w:leader="none" w:pos="10420" w:val="left"/>
        </w:tabs>
        <w:rPr>
          <w:sz w:val="20"/>
          <w:szCs w:val="20"/>
          <w:color w:val="auto"/>
        </w:rPr>
      </w:pPr>
      <w:r>
        <w:rPr>
          <w:rFonts w:ascii="Courier New" w:cs="Courier New" w:eastAsia="Courier New" w:hAnsi="Courier New"/>
          <w:sz w:val="17"/>
          <w:szCs w:val="17"/>
          <w:color w:val="auto"/>
        </w:rPr>
        <w:t>Harry L. Casari..........</w:t>
        <w:tab/>
        <w:t>59</w:t>
      </w:r>
      <w:r>
        <w:rPr>
          <w:sz w:val="20"/>
          <w:szCs w:val="20"/>
          <w:color w:val="auto"/>
        </w:rPr>
        <w:tab/>
      </w:r>
      <w:r>
        <w:rPr>
          <w:rFonts w:ascii="Courier New" w:cs="Courier New" w:eastAsia="Courier New" w:hAnsi="Courier New"/>
          <w:sz w:val="17"/>
          <w:szCs w:val="17"/>
          <w:color w:val="auto"/>
        </w:rPr>
        <w:t>Retired partner, Ernst &amp; Young</w:t>
      </w:r>
      <w:r>
        <w:rPr>
          <w:sz w:val="20"/>
          <w:szCs w:val="20"/>
          <w:color w:val="auto"/>
        </w:rPr>
        <w:tab/>
      </w:r>
      <w:r>
        <w:rPr>
          <w:rFonts w:ascii="Courier New" w:cs="Courier New" w:eastAsia="Courier New" w:hAnsi="Courier New"/>
          <w:sz w:val="17"/>
          <w:szCs w:val="17"/>
          <w:color w:val="auto"/>
        </w:rPr>
        <w:t>1995</w:t>
      </w:r>
      <w:r>
        <w:rPr>
          <w:sz w:val="20"/>
          <w:szCs w:val="20"/>
          <w:color w:val="auto"/>
        </w:rPr>
        <w:tab/>
      </w:r>
      <w:r>
        <w:rPr>
          <w:rFonts w:ascii="Courier New" w:cs="Courier New" w:eastAsia="Courier New" w:hAnsi="Courier New"/>
          <w:sz w:val="17"/>
          <w:szCs w:val="17"/>
          <w:color w:val="auto"/>
        </w:rPr>
        <w:t>800</w:t>
      </w:r>
      <w:r>
        <w:rPr>
          <w:sz w:val="20"/>
          <w:szCs w:val="20"/>
          <w:color w:val="auto"/>
        </w:rPr>
        <w:tab/>
      </w:r>
      <w:r>
        <w:rPr>
          <w:rFonts w:ascii="Courier New" w:cs="Courier New" w:eastAsia="Courier New" w:hAnsi="Courier New"/>
          <w:sz w:val="16"/>
          <w:szCs w:val="16"/>
          <w:color w:val="auto"/>
        </w:rPr>
        <w:t>(2)</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1963 Hacienda Circle</w:t>
      </w:r>
      <w:r>
        <w:rPr>
          <w:sz w:val="20"/>
          <w:szCs w:val="20"/>
          <w:color w:val="auto"/>
        </w:rPr>
        <w:tab/>
      </w:r>
      <w:r>
        <w:rPr>
          <w:rFonts w:ascii="Courier New" w:cs="Courier New" w:eastAsia="Courier New" w:hAnsi="Courier New"/>
          <w:sz w:val="16"/>
          <w:szCs w:val="16"/>
          <w:color w:val="auto"/>
        </w:rPr>
        <w:t>LLP. Mr. Casari is also a director</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El Cajon, CA</w:t>
      </w:r>
      <w:r>
        <w:rPr>
          <w:sz w:val="20"/>
          <w:szCs w:val="20"/>
          <w:color w:val="auto"/>
        </w:rPr>
        <w:tab/>
      </w:r>
      <w:r>
        <w:rPr>
          <w:rFonts w:ascii="Courier New" w:cs="Courier New" w:eastAsia="Courier New" w:hAnsi="Courier New"/>
          <w:sz w:val="16"/>
          <w:szCs w:val="16"/>
          <w:color w:val="auto"/>
        </w:rPr>
        <w:t>of Infrasonics, Inc., Mailboxes</w:t>
      </w:r>
    </w:p>
    <w:p>
      <w:pPr>
        <w:ind w:left="3280"/>
        <w:spacing w:after="0" w:line="237" w:lineRule="auto"/>
        <w:rPr>
          <w:sz w:val="20"/>
          <w:szCs w:val="20"/>
          <w:color w:val="auto"/>
        </w:rPr>
      </w:pPr>
      <w:r>
        <w:rPr>
          <w:rFonts w:ascii="Courier New" w:cs="Courier New" w:eastAsia="Courier New" w:hAnsi="Courier New"/>
          <w:sz w:val="17"/>
          <w:szCs w:val="17"/>
          <w:color w:val="auto"/>
        </w:rPr>
        <w:t>Etc., and Readicare, Inc.</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38" w:lineRule="auto"/>
        <w:rPr>
          <w:sz w:val="20"/>
          <w:szCs w:val="20"/>
          <w:color w:val="auto"/>
        </w:rPr>
      </w:pPr>
      <w:r>
        <w:rPr>
          <w:rFonts w:ascii="Courier New" w:cs="Courier New" w:eastAsia="Courier New" w:hAnsi="Courier New"/>
          <w:sz w:val="17"/>
          <w:szCs w:val="17"/>
          <w:color w:val="auto"/>
        </w:rPr>
        <w:t>(1) Includes options to purchase 35,000 shares exercisable within 60 days from</w:t>
      </w:r>
    </w:p>
    <w:p>
      <w:pPr>
        <w:ind w:left="400"/>
        <w:spacing w:after="0" w:line="238" w:lineRule="auto"/>
        <w:rPr>
          <w:sz w:val="20"/>
          <w:szCs w:val="20"/>
          <w:color w:val="auto"/>
        </w:rPr>
      </w:pPr>
      <w:r>
        <w:rPr>
          <w:rFonts w:ascii="Courier New" w:cs="Courier New" w:eastAsia="Courier New" w:hAnsi="Courier New"/>
          <w:sz w:val="17"/>
          <w:szCs w:val="17"/>
          <w:color w:val="auto"/>
        </w:rPr>
        <w:t>April 1, 1996.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Less than 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WHOSE TERMS EXPIRE IN 1998 -- CLASS 1</w:t>
      </w:r>
    </w:p>
    <w:p>
      <w:pPr>
        <w:spacing w:after="0" w:line="200" w:lineRule="exact"/>
        <w:rPr>
          <w:sz w:val="20"/>
          <w:szCs w:val="20"/>
          <w:color w:val="auto"/>
        </w:rPr>
      </w:pPr>
    </w:p>
    <w:p>
      <w:pPr>
        <w:spacing w:after="0" w:line="372" w:lineRule="exact"/>
        <w:rPr>
          <w:sz w:val="20"/>
          <w:szCs w:val="20"/>
          <w:color w:val="auto"/>
        </w:rPr>
      </w:pPr>
    </w:p>
    <w:p>
      <w:pPr>
        <w:ind w:left="7960"/>
        <w:spacing w:after="0"/>
        <w:rPr>
          <w:sz w:val="20"/>
          <w:szCs w:val="20"/>
          <w:color w:val="auto"/>
        </w:rPr>
      </w:pPr>
      <w:r>
        <w:rPr>
          <w:rFonts w:ascii="Courier New" w:cs="Courier New" w:eastAsia="Courier New" w:hAnsi="Courier New"/>
          <w:sz w:val="17"/>
          <w:szCs w:val="17"/>
          <w:color w:val="auto"/>
        </w:rPr>
        <w:t>SHARES OF COMMON</w:t>
      </w:r>
    </w:p>
    <w:p>
      <w:pPr>
        <w:ind w:left="8460"/>
        <w:spacing w:after="0" w:line="238" w:lineRule="auto"/>
        <w:tabs>
          <w:tab w:leader="none" w:pos="9820" w:val="left"/>
        </w:tabs>
        <w:rPr>
          <w:sz w:val="20"/>
          <w:szCs w:val="20"/>
          <w:color w:val="auto"/>
        </w:rPr>
      </w:pP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7"/>
          <w:szCs w:val="17"/>
          <w:color w:val="auto"/>
        </w:rPr>
        <w:t>PERCENTAGE OF</w:t>
      </w:r>
    </w:p>
    <w:p>
      <w:pPr>
        <w:ind w:left="800"/>
        <w:spacing w:after="0"/>
        <w:tabs>
          <w:tab w:leader="none" w:pos="6840" w:val="left"/>
          <w:tab w:leader="none" w:pos="8140" w:val="left"/>
          <w:tab w:leader="none" w:pos="9920" w:val="left"/>
        </w:tabs>
        <w:rPr>
          <w:sz w:val="20"/>
          <w:szCs w:val="20"/>
          <w:color w:val="auto"/>
        </w:rPr>
      </w:pPr>
      <w:r>
        <w:rPr>
          <w:rFonts w:ascii="Courier New" w:cs="Courier New" w:eastAsia="Courier New" w:hAnsi="Courier New"/>
          <w:sz w:val="17"/>
          <w:szCs w:val="17"/>
          <w:color w:val="auto"/>
        </w:rPr>
        <w:t>NAME AND</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6"/>
          <w:szCs w:val="16"/>
          <w:color w:val="auto"/>
        </w:rPr>
        <w:t>OUTSTANDING</w:t>
      </w:r>
    </w:p>
    <w:p>
      <w:pPr>
        <w:ind w:left="400"/>
        <w:spacing w:after="0"/>
        <w:tabs>
          <w:tab w:leader="none" w:pos="2660" w:val="left"/>
          <w:tab w:leader="none" w:pos="3960" w:val="left"/>
          <w:tab w:leader="none" w:pos="6940" w:val="left"/>
          <w:tab w:leader="none" w:pos="8440" w:val="left"/>
          <w:tab w:leader="none" w:pos="10120" w:val="left"/>
        </w:tabs>
        <w:rPr>
          <w:sz w:val="20"/>
          <w:szCs w:val="20"/>
          <w:color w:val="auto"/>
        </w:rPr>
      </w:pPr>
      <w:r>
        <w:rPr>
          <w:rFonts w:ascii="Courier New" w:cs="Courier New" w:eastAsia="Courier New" w:hAnsi="Courier New"/>
          <w:sz w:val="17"/>
          <w:szCs w:val="17"/>
          <w:color w:val="auto"/>
        </w:rPr>
        <w:t>BUSINESS ADDRESS</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PRINCIPAL OCCUPATION</w:t>
      </w:r>
      <w:r>
        <w:rPr>
          <w:sz w:val="20"/>
          <w:szCs w:val="20"/>
          <w:color w:val="auto"/>
        </w:rPr>
        <w:tab/>
      </w:r>
      <w:r>
        <w:rPr>
          <w:rFonts w:ascii="Courier New" w:cs="Courier New" w:eastAsia="Courier New" w:hAnsi="Courier New"/>
          <w:sz w:val="17"/>
          <w:szCs w:val="17"/>
          <w:color w:val="auto"/>
        </w:rPr>
        <w:t>SINCE</w:t>
      </w:r>
      <w:r>
        <w:rPr>
          <w:sz w:val="20"/>
          <w:szCs w:val="20"/>
          <w:color w:val="auto"/>
        </w:rPr>
        <w:tab/>
      </w:r>
      <w:r>
        <w:rPr>
          <w:rFonts w:ascii="Courier New" w:cs="Courier New" w:eastAsia="Courier New" w:hAnsi="Courier New"/>
          <w:sz w:val="17"/>
          <w:szCs w:val="17"/>
          <w:color w:val="auto"/>
        </w:rPr>
        <w:t>OWNED</w:t>
      </w:r>
      <w:r>
        <w:rPr>
          <w:sz w:val="20"/>
          <w:szCs w:val="20"/>
          <w:color w:val="auto"/>
        </w:rPr>
        <w:tab/>
      </w:r>
      <w:r>
        <w:rPr>
          <w:rFonts w:ascii="Courier New" w:cs="Courier New" w:eastAsia="Courier New" w:hAnsi="Courier New"/>
          <w:sz w:val="16"/>
          <w:szCs w:val="16"/>
          <w:color w:val="auto"/>
        </w:rPr>
        <w:t>SHARES</w:t>
      </w:r>
    </w:p>
    <w:p>
      <w:pPr>
        <w:spacing w:after="0"/>
        <w:tabs>
          <w:tab w:leader="none" w:pos="2860" w:val="left"/>
          <w:tab w:leader="none" w:pos="3460" w:val="left"/>
          <w:tab w:leader="none" w:pos="7040" w:val="left"/>
          <w:tab w:leader="none" w:pos="8140" w:val="left"/>
          <w:tab w:leader="none" w:pos="10020" w:val="left"/>
        </w:tabs>
        <w:rPr>
          <w:sz w:val="20"/>
          <w:szCs w:val="20"/>
          <w:color w:val="auto"/>
        </w:rPr>
      </w:pPr>
      <w:r>
        <w:rPr>
          <w:rFonts w:ascii="Courier New" w:cs="Courier New" w:eastAsia="Courier New" w:hAnsi="Courier New"/>
          <w:sz w:val="17"/>
          <w:szCs w:val="17"/>
          <w:color w:val="auto"/>
        </w:rPr>
        <w:t>- -------------------------</w:t>
        <w:tab/>
        <w:t>---</w:t>
      </w:r>
      <w:r>
        <w:rPr>
          <w:sz w:val="20"/>
          <w:szCs w:val="20"/>
          <w:color w:val="auto"/>
        </w:rPr>
        <w:tab/>
      </w:r>
      <w:r>
        <w:rPr>
          <w:rFonts w:ascii="Courier New" w:cs="Courier New" w:eastAsia="Courier New" w:hAnsi="Courier New"/>
          <w:sz w:val="17"/>
          <w:szCs w:val="17"/>
          <w:color w:val="auto"/>
        </w:rPr>
        <w:t>----------------------------------</w:t>
        <w:tab/>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spacing w:after="0"/>
        <w:tabs>
          <w:tab w:leader="none" w:pos="2660" w:val="left"/>
          <w:tab w:leader="none" w:pos="3260" w:val="left"/>
          <w:tab w:leader="none" w:pos="7040" w:val="left"/>
          <w:tab w:leader="none" w:pos="8440" w:val="left"/>
          <w:tab w:leader="none" w:pos="10320" w:val="left"/>
        </w:tabs>
        <w:rPr>
          <w:sz w:val="20"/>
          <w:szCs w:val="20"/>
          <w:color w:val="auto"/>
        </w:rPr>
      </w:pPr>
      <w:r>
        <w:rPr>
          <w:rFonts w:ascii="Courier New" w:cs="Courier New" w:eastAsia="Courier New" w:hAnsi="Courier New"/>
          <w:sz w:val="17"/>
          <w:szCs w:val="17"/>
          <w:color w:val="auto"/>
        </w:rPr>
        <w:t>James W. Barnes..........</w:t>
        <w:tab/>
        <w:t>66</w:t>
      </w:r>
      <w:r>
        <w:rPr>
          <w:sz w:val="20"/>
          <w:szCs w:val="20"/>
          <w:color w:val="auto"/>
        </w:rPr>
        <w:tab/>
      </w:r>
      <w:r>
        <w:rPr>
          <w:rFonts w:ascii="Courier New" w:cs="Courier New" w:eastAsia="Courier New" w:hAnsi="Courier New"/>
          <w:sz w:val="17"/>
          <w:szCs w:val="17"/>
          <w:color w:val="auto"/>
        </w:rPr>
        <w:t>Recently retired President &amp; Chief</w:t>
      </w:r>
      <w:r>
        <w:rPr>
          <w:sz w:val="20"/>
          <w:szCs w:val="20"/>
          <w:color w:val="auto"/>
        </w:rPr>
        <w:tab/>
      </w:r>
      <w:r>
        <w:rPr>
          <w:rFonts w:ascii="Courier New" w:cs="Courier New" w:eastAsia="Courier New" w:hAnsi="Courier New"/>
          <w:sz w:val="17"/>
          <w:szCs w:val="17"/>
          <w:color w:val="auto"/>
        </w:rPr>
        <w:t>1983</w:t>
      </w:r>
      <w:r>
        <w:rPr>
          <w:sz w:val="20"/>
          <w:szCs w:val="20"/>
          <w:color w:val="auto"/>
        </w:rPr>
        <w:tab/>
      </w:r>
      <w:r>
        <w:rPr>
          <w:rFonts w:ascii="Courier New" w:cs="Courier New" w:eastAsia="Courier New" w:hAnsi="Courier New"/>
          <w:sz w:val="17"/>
          <w:szCs w:val="17"/>
          <w:color w:val="auto"/>
        </w:rPr>
        <w:t>279,168(3)</w:t>
      </w:r>
      <w:r>
        <w:rPr>
          <w:sz w:val="20"/>
          <w:szCs w:val="20"/>
          <w:color w:val="auto"/>
        </w:rPr>
        <w:tab/>
      </w:r>
      <w:r>
        <w:rPr>
          <w:rFonts w:ascii="Courier New" w:cs="Courier New" w:eastAsia="Courier New" w:hAnsi="Courier New"/>
          <w:sz w:val="16"/>
          <w:szCs w:val="16"/>
          <w:color w:val="auto"/>
        </w:rPr>
        <w:t>3.02%</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5755 Kearny Villa Rd.</w:t>
      </w:r>
      <w:r>
        <w:rPr>
          <w:sz w:val="20"/>
          <w:szCs w:val="20"/>
          <w:color w:val="auto"/>
        </w:rPr>
        <w:tab/>
      </w:r>
      <w:r>
        <w:rPr>
          <w:rFonts w:ascii="Courier New" w:cs="Courier New" w:eastAsia="Courier New" w:hAnsi="Courier New"/>
          <w:sz w:val="16"/>
          <w:szCs w:val="16"/>
          <w:color w:val="auto"/>
        </w:rPr>
        <w:t>Executive Officer of the Company</w:t>
      </w:r>
    </w:p>
    <w:p>
      <w:pPr>
        <w:ind w:left="200"/>
        <w:spacing w:after="0" w:line="238" w:lineRule="auto"/>
        <w:rPr>
          <w:sz w:val="20"/>
          <w:szCs w:val="20"/>
          <w:color w:val="auto"/>
        </w:rPr>
      </w:pPr>
      <w:r>
        <w:rPr>
          <w:rFonts w:ascii="Courier New" w:cs="Courier New" w:eastAsia="Courier New" w:hAnsi="Courier New"/>
          <w:sz w:val="17"/>
          <w:szCs w:val="17"/>
          <w:color w:val="auto"/>
        </w:rPr>
        <w:t>San Diego, CA</w:t>
      </w:r>
    </w:p>
    <w:p>
      <w:pPr>
        <w:spacing w:after="0"/>
        <w:tabs>
          <w:tab w:leader="none" w:pos="2660" w:val="left"/>
          <w:tab w:leader="none" w:pos="3260" w:val="left"/>
          <w:tab w:leader="none" w:pos="7040" w:val="left"/>
          <w:tab w:leader="none" w:pos="8440" w:val="left"/>
          <w:tab w:leader="none" w:pos="10320" w:val="left"/>
        </w:tabs>
        <w:rPr>
          <w:sz w:val="20"/>
          <w:szCs w:val="20"/>
          <w:color w:val="auto"/>
        </w:rPr>
      </w:pPr>
      <w:r>
        <w:rPr>
          <w:rFonts w:ascii="Courier New" w:cs="Courier New" w:eastAsia="Courier New" w:hAnsi="Courier New"/>
          <w:sz w:val="17"/>
          <w:szCs w:val="17"/>
          <w:color w:val="auto"/>
        </w:rPr>
        <w:t>William S. Ivans.........</w:t>
        <w:tab/>
        <w:t>75</w:t>
      </w:r>
      <w:r>
        <w:rPr>
          <w:sz w:val="20"/>
          <w:szCs w:val="20"/>
          <w:color w:val="auto"/>
        </w:rPr>
        <w:tab/>
      </w:r>
      <w:r>
        <w:rPr>
          <w:rFonts w:ascii="Courier New" w:cs="Courier New" w:eastAsia="Courier New" w:hAnsi="Courier New"/>
          <w:sz w:val="17"/>
          <w:szCs w:val="17"/>
          <w:color w:val="auto"/>
        </w:rPr>
        <w:t>Chairman of the Board of the</w:t>
      </w:r>
      <w:r>
        <w:rPr>
          <w:sz w:val="20"/>
          <w:szCs w:val="20"/>
          <w:color w:val="auto"/>
        </w:rPr>
        <w:tab/>
      </w:r>
      <w:r>
        <w:rPr>
          <w:rFonts w:ascii="Courier New" w:cs="Courier New" w:eastAsia="Courier New" w:hAnsi="Courier New"/>
          <w:sz w:val="17"/>
          <w:szCs w:val="17"/>
          <w:color w:val="auto"/>
        </w:rPr>
        <w:t>1960</w:t>
      </w:r>
      <w:r>
        <w:rPr>
          <w:sz w:val="20"/>
          <w:szCs w:val="20"/>
          <w:color w:val="auto"/>
        </w:rPr>
        <w:tab/>
      </w:r>
      <w:r>
        <w:rPr>
          <w:rFonts w:ascii="Courier New" w:cs="Courier New" w:eastAsia="Courier New" w:hAnsi="Courier New"/>
          <w:sz w:val="17"/>
          <w:szCs w:val="17"/>
          <w:color w:val="auto"/>
        </w:rPr>
        <w:t>136,152</w:t>
      </w:r>
      <w:r>
        <w:rPr>
          <w:sz w:val="20"/>
          <w:szCs w:val="20"/>
          <w:color w:val="auto"/>
        </w:rPr>
        <w:tab/>
      </w:r>
      <w:r>
        <w:rPr>
          <w:rFonts w:ascii="Courier New" w:cs="Courier New" w:eastAsia="Courier New" w:hAnsi="Courier New"/>
          <w:sz w:val="16"/>
          <w:szCs w:val="16"/>
          <w:color w:val="auto"/>
        </w:rPr>
        <w:t>1.47%</w:t>
      </w:r>
    </w:p>
    <w:p>
      <w:pPr>
        <w:ind w:left="200"/>
        <w:spacing w:after="0"/>
        <w:tabs>
          <w:tab w:leader="none" w:pos="3260" w:val="left"/>
        </w:tabs>
        <w:rPr>
          <w:sz w:val="20"/>
          <w:szCs w:val="20"/>
          <w:color w:val="auto"/>
        </w:rPr>
      </w:pPr>
      <w:r>
        <w:rPr>
          <w:rFonts w:ascii="Courier New" w:cs="Courier New" w:eastAsia="Courier New" w:hAnsi="Courier New"/>
          <w:sz w:val="17"/>
          <w:szCs w:val="17"/>
          <w:color w:val="auto"/>
        </w:rPr>
        <w:t>807 La Jolla Rancho Rd.</w:t>
      </w:r>
      <w:r>
        <w:rPr>
          <w:sz w:val="20"/>
          <w:szCs w:val="20"/>
          <w:color w:val="auto"/>
        </w:rPr>
        <w:tab/>
      </w:r>
      <w:r>
        <w:rPr>
          <w:rFonts w:ascii="Courier New" w:cs="Courier New" w:eastAsia="Courier New" w:hAnsi="Courier New"/>
          <w:sz w:val="16"/>
          <w:szCs w:val="16"/>
          <w:color w:val="auto"/>
        </w:rPr>
        <w:t>Company since February 1983</w:t>
      </w:r>
    </w:p>
    <w:p>
      <w:pPr>
        <w:ind w:left="200"/>
        <w:spacing w:after="0" w:line="238" w:lineRule="auto"/>
        <w:rPr>
          <w:sz w:val="20"/>
          <w:szCs w:val="20"/>
          <w:color w:val="auto"/>
        </w:rPr>
      </w:pPr>
      <w:r>
        <w:rPr>
          <w:rFonts w:ascii="Courier New" w:cs="Courier New" w:eastAsia="Courier New" w:hAnsi="Courier New"/>
          <w:sz w:val="17"/>
          <w:szCs w:val="17"/>
          <w:color w:val="auto"/>
        </w:rPr>
        <w:t>La Jolla, CA</w:t>
      </w:r>
    </w:p>
    <w:p>
      <w:pPr>
        <w:spacing w:after="0" w:line="388" w:lineRule="exact"/>
        <w:rPr>
          <w:sz w:val="20"/>
          <w:szCs w:val="20"/>
          <w:color w:val="auto"/>
        </w:rPr>
      </w:pPr>
    </w:p>
    <w:p>
      <w:pPr>
        <w:ind w:right="3380"/>
        <w:spacing w:after="0" w:line="236" w:lineRule="auto"/>
        <w:rPr>
          <w:sz w:val="20"/>
          <w:szCs w:val="20"/>
          <w:color w:val="auto"/>
        </w:rPr>
      </w:pPr>
      <w:r>
        <w:rPr>
          <w:rFonts w:ascii="Courier New" w:cs="Courier New" w:eastAsia="Courier New" w:hAnsi="Courier New"/>
          <w:sz w:val="17"/>
          <w:szCs w:val="17"/>
          <w:color w:val="auto"/>
        </w:rPr>
        <w:t>The total shares of beneficial ownership held at December 31, 1995 by all executive and directors as a group are 588,416, 6.37% of the outstanding shares. John H. Allen is an executive officer of the Company and had no shares of beneficial ownership at December 31,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3480" w:hanging="398"/>
        <w:spacing w:after="0" w:line="235"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to purchase 100,000 shares exercisable within 60 days from April 1, 1996.</w:t>
      </w:r>
    </w:p>
    <w:p>
      <w:pPr>
        <w:sectPr>
          <w:pgSz w:w="11900" w:h="16838" w:orient="portrait"/>
          <w:cols w:equalWidth="0" w:num="1">
            <w:col w:w="11340"/>
          </w:cols>
          <w:pgMar w:left="240" w:top="301" w:right="319" w:bottom="0"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340"/>
          </w:cols>
          <w:pgMar w:left="240" w:top="301" w:right="319" w:bottom="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BOARD OF DIRECTORS AND COMMITTEES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Board had six meetings during the last fiscal year.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ORGANIZATION OF THE BOARD OF DIRECTORS</w:t>
      </w:r>
    </w:p>
    <w:p>
      <w:pPr>
        <w:spacing w:after="0" w:line="196" w:lineRule="exact"/>
        <w:rPr>
          <w:sz w:val="20"/>
          <w:szCs w:val="20"/>
          <w:color w:val="auto"/>
        </w:rPr>
      </w:pPr>
    </w:p>
    <w:p>
      <w:pPr>
        <w:ind w:right="2580" w:firstLine="497"/>
        <w:spacing w:after="0" w:line="235" w:lineRule="auto"/>
        <w:rPr>
          <w:sz w:val="20"/>
          <w:szCs w:val="20"/>
          <w:color w:val="auto"/>
        </w:rPr>
      </w:pPr>
      <w:r>
        <w:rPr>
          <w:rFonts w:ascii="Courier New" w:cs="Courier New" w:eastAsia="Courier New" w:hAnsi="Courier New"/>
          <w:sz w:val="17"/>
          <w:szCs w:val="17"/>
          <w:color w:val="auto"/>
        </w:rPr>
        <w:t>The Board of Directors has established two standing committees: the Audit Committee and the Executive Compensation Committee.</w:t>
      </w:r>
    </w:p>
    <w:p>
      <w:pPr>
        <w:spacing w:after="0" w:line="197" w:lineRule="exact"/>
        <w:rPr>
          <w:sz w:val="20"/>
          <w:szCs w:val="20"/>
          <w:color w:val="auto"/>
        </w:rPr>
      </w:pPr>
    </w:p>
    <w:p>
      <w:pPr>
        <w:ind w:right="2580" w:firstLine="497"/>
        <w:spacing w:after="0" w:line="236" w:lineRule="auto"/>
        <w:rPr>
          <w:sz w:val="20"/>
          <w:szCs w:val="20"/>
          <w:color w:val="auto"/>
        </w:rPr>
      </w:pPr>
      <w:r>
        <w:rPr>
          <w:rFonts w:ascii="Courier New" w:cs="Courier New" w:eastAsia="Courier New" w:hAnsi="Courier New"/>
          <w:sz w:val="17"/>
          <w:szCs w:val="17"/>
          <w:color w:val="auto"/>
        </w:rPr>
        <w:t>The Audit Committee, composed of Messrs. Leary, Casari and Davis is the principal link between the Board and the Company's independent auditors, and monitors audit and internal accounting control procedures. The Audit Committee held two meetings in 1995.</w:t>
      </w:r>
    </w:p>
    <w:p>
      <w:pPr>
        <w:spacing w:after="0" w:line="199" w:lineRule="exact"/>
        <w:rPr>
          <w:sz w:val="20"/>
          <w:szCs w:val="20"/>
          <w:color w:val="auto"/>
        </w:rPr>
      </w:pPr>
    </w:p>
    <w:p>
      <w:pPr>
        <w:ind w:right="2380" w:firstLine="497"/>
        <w:spacing w:after="0" w:line="254" w:lineRule="auto"/>
        <w:rPr>
          <w:sz w:val="20"/>
          <w:szCs w:val="20"/>
          <w:color w:val="auto"/>
        </w:rPr>
      </w:pPr>
      <w:r>
        <w:rPr>
          <w:rFonts w:ascii="Courier New" w:cs="Courier New" w:eastAsia="Courier New" w:hAnsi="Courier New"/>
          <w:sz w:val="16"/>
          <w:szCs w:val="16"/>
          <w:color w:val="auto"/>
        </w:rPr>
        <w:t>The Executive Compensation Committee, consisting of Messrs. Davis, Casari and Leary, recommends the compensation structure to the Board of Directors for the Officers of the Company and each subsidiary. In addition, this Committee has the responsibility for administration of the Company's stock option and incentive plans. The Executive Compensation Committee held two meetings in 1995.</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COMPENSATION</w:t>
      </w:r>
    </w:p>
    <w:p>
      <w:pPr>
        <w:spacing w:after="0" w:line="196" w:lineRule="exact"/>
        <w:rPr>
          <w:sz w:val="20"/>
          <w:szCs w:val="20"/>
          <w:color w:val="auto"/>
        </w:rPr>
      </w:pPr>
    </w:p>
    <w:p>
      <w:pPr>
        <w:ind w:right="2580" w:firstLine="497"/>
        <w:spacing w:after="0" w:line="237" w:lineRule="auto"/>
        <w:rPr>
          <w:sz w:val="20"/>
          <w:szCs w:val="20"/>
          <w:color w:val="auto"/>
        </w:rPr>
      </w:pPr>
      <w:r>
        <w:rPr>
          <w:rFonts w:ascii="Courier New" w:cs="Courier New" w:eastAsia="Courier New" w:hAnsi="Courier New"/>
          <w:sz w:val="17"/>
          <w:szCs w:val="17"/>
          <w:color w:val="auto"/>
        </w:rPr>
        <w:t>Outside Directors receive (a) an annual retainer of $8,500; (b) $500 per meeting attended in person to a maximum of $2,500 annually; and (c) $1,000 annually for membership on one or more active committees. For services as Chairman of the Board, Mr. Ivans received compensation totalling approximately $36,000 from the Company in 1995.</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COMPENSATION OF EXECUTIVE OFFICERS</w:t>
      </w:r>
    </w:p>
    <w:p>
      <w:pPr>
        <w:spacing w:after="0" w:line="196" w:lineRule="exact"/>
        <w:rPr>
          <w:sz w:val="20"/>
          <w:szCs w:val="20"/>
          <w:color w:val="auto"/>
        </w:rPr>
      </w:pPr>
    </w:p>
    <w:p>
      <w:pPr>
        <w:ind w:right="2480" w:firstLine="497"/>
        <w:spacing w:after="0" w:line="236" w:lineRule="auto"/>
        <w:rPr>
          <w:sz w:val="20"/>
          <w:szCs w:val="20"/>
          <w:color w:val="auto"/>
        </w:rPr>
      </w:pPr>
      <w:r>
        <w:rPr>
          <w:rFonts w:ascii="Courier New" w:cs="Courier New" w:eastAsia="Courier New" w:hAnsi="Courier New"/>
          <w:sz w:val="17"/>
          <w:szCs w:val="17"/>
          <w:color w:val="auto"/>
        </w:rPr>
        <w:t>The following table discloses compensation received by the Company's Chief Executive Officer and the other executive officers whose aggregate cash compensation exceeded $100,000 (the "Named Executive Officers").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80" w:type="dxa"/>
            <w:vAlign w:val="bottom"/>
          </w:tcPr>
          <w:p>
            <w:pPr>
              <w:ind w:left="2680"/>
              <w:spacing w:after="0"/>
              <w:rPr>
                <w:sz w:val="20"/>
                <w:szCs w:val="20"/>
                <w:color w:val="auto"/>
              </w:rPr>
            </w:pPr>
            <w:r>
              <w:rPr>
                <w:rFonts w:ascii="Courier New" w:cs="Courier New" w:eastAsia="Courier New" w:hAnsi="Courier New"/>
                <w:sz w:val="17"/>
                <w:szCs w:val="17"/>
                <w:color w:val="auto"/>
              </w:rPr>
              <w:t>SUMMARY</w:t>
            </w:r>
          </w:p>
        </w:tc>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COMPENSATION TABLE</w:t>
            </w: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765"/>
        </w:trPr>
        <w:tc>
          <w:tcPr>
            <w:tcW w:w="3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LONG TERM</w:t>
            </w:r>
          </w:p>
        </w:tc>
        <w:tc>
          <w:tcPr>
            <w:tcW w:w="1840" w:type="dxa"/>
            <w:vAlign w:val="bottom"/>
          </w:tcPr>
          <w:p>
            <w:pPr>
              <w:spacing w:after="0"/>
              <w:rPr>
                <w:sz w:val="24"/>
                <w:szCs w:val="24"/>
                <w:color w:val="auto"/>
              </w:rPr>
            </w:pPr>
          </w:p>
        </w:tc>
      </w:tr>
      <w:tr>
        <w:trPr>
          <w:trHeight w:val="191"/>
        </w:trPr>
        <w:tc>
          <w:tcPr>
            <w:tcW w:w="3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8"/>
              </w:rPr>
              <w:t>COMPENSATION</w:t>
            </w:r>
          </w:p>
        </w:tc>
        <w:tc>
          <w:tcPr>
            <w:tcW w:w="1840" w:type="dxa"/>
            <w:vAlign w:val="bottom"/>
          </w:tcPr>
          <w:p>
            <w:pPr>
              <w:spacing w:after="0"/>
              <w:rPr>
                <w:sz w:val="16"/>
                <w:szCs w:val="16"/>
                <w:color w:val="auto"/>
              </w:rPr>
            </w:pPr>
          </w:p>
        </w:tc>
      </w:tr>
      <w:tr>
        <w:trPr>
          <w:trHeight w:val="191"/>
        </w:trPr>
        <w:tc>
          <w:tcPr>
            <w:tcW w:w="3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AWARDS</w:t>
            </w:r>
          </w:p>
        </w:tc>
        <w:tc>
          <w:tcPr>
            <w:tcW w:w="1840" w:type="dxa"/>
            <w:vAlign w:val="bottom"/>
          </w:tcPr>
          <w:p>
            <w:pPr>
              <w:spacing w:after="0"/>
              <w:rPr>
                <w:sz w:val="16"/>
                <w:szCs w:val="16"/>
                <w:color w:val="auto"/>
              </w:rPr>
            </w:pPr>
          </w:p>
        </w:tc>
      </w:tr>
      <w:tr>
        <w:trPr>
          <w:trHeight w:val="191"/>
        </w:trPr>
        <w:tc>
          <w:tcPr>
            <w:tcW w:w="3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ANNUAL</w:t>
            </w:r>
          </w:p>
        </w:tc>
        <w:tc>
          <w:tcPr>
            <w:tcW w:w="1140" w:type="dxa"/>
            <w:vAlign w:val="bottom"/>
          </w:tcPr>
          <w:p>
            <w:pPr>
              <w:spacing w:after="0"/>
              <w:rPr>
                <w:sz w:val="16"/>
                <w:szCs w:val="16"/>
                <w:color w:val="auto"/>
              </w:rPr>
            </w:pPr>
          </w:p>
        </w:tc>
        <w:tc>
          <w:tcPr>
            <w:tcW w:w="1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8"/>
              </w:rPr>
              <w:t>------------</w:t>
            </w:r>
          </w:p>
        </w:tc>
        <w:tc>
          <w:tcPr>
            <w:tcW w:w="1840" w:type="dxa"/>
            <w:vAlign w:val="bottom"/>
          </w:tcPr>
          <w:p>
            <w:pPr>
              <w:spacing w:after="0"/>
              <w:rPr>
                <w:sz w:val="16"/>
                <w:szCs w:val="16"/>
                <w:color w:val="auto"/>
              </w:rPr>
            </w:pPr>
          </w:p>
        </w:tc>
      </w:tr>
      <w:tr>
        <w:trPr>
          <w:trHeight w:val="191"/>
        </w:trPr>
        <w:tc>
          <w:tcPr>
            <w:tcW w:w="3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COMPENSATION</w:t>
            </w:r>
          </w:p>
        </w:tc>
        <w:tc>
          <w:tcPr>
            <w:tcW w:w="1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SECURITIES</w:t>
            </w:r>
          </w:p>
        </w:tc>
        <w:tc>
          <w:tcPr>
            <w:tcW w:w="1840" w:type="dxa"/>
            <w:vAlign w:val="bottom"/>
          </w:tcPr>
          <w:p>
            <w:pPr>
              <w:spacing w:after="0"/>
              <w:rPr>
                <w:sz w:val="16"/>
                <w:szCs w:val="16"/>
                <w:color w:val="auto"/>
              </w:rPr>
            </w:pPr>
          </w:p>
        </w:tc>
      </w:tr>
      <w:tr>
        <w:trPr>
          <w:trHeight w:val="191"/>
        </w:trPr>
        <w:tc>
          <w:tcPr>
            <w:tcW w:w="3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UNDERLYING</w:t>
            </w:r>
          </w:p>
        </w:tc>
        <w:tc>
          <w:tcPr>
            <w:tcW w:w="18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ALL OTHER</w:t>
            </w:r>
          </w:p>
        </w:tc>
      </w:tr>
      <w:tr>
        <w:trPr>
          <w:trHeight w:val="191"/>
        </w:trPr>
        <w:tc>
          <w:tcPr>
            <w:tcW w:w="3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NAME AND PRINCIPAL POSITION</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YEAR</w:t>
            </w:r>
          </w:p>
        </w:tc>
        <w:tc>
          <w:tcPr>
            <w:tcW w:w="14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SALARY</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3"/>
              </w:rPr>
              <w:t>BONUS(1)</w:t>
            </w:r>
          </w:p>
        </w:tc>
        <w:tc>
          <w:tcPr>
            <w:tcW w:w="168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OPTIONS(#)</w:t>
            </w:r>
          </w:p>
        </w:tc>
        <w:tc>
          <w:tcPr>
            <w:tcW w:w="1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COMPENSATION(2)</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 ---------------------------------</w:t>
            </w:r>
          </w:p>
        </w:tc>
        <w:tc>
          <w:tcPr>
            <w:tcW w:w="7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480" w:type="dxa"/>
            <w:vAlign w:val="bottom"/>
          </w:tcPr>
          <w:p>
            <w:pPr>
              <w:spacing w:after="0"/>
              <w:rPr>
                <w:sz w:val="20"/>
                <w:szCs w:val="20"/>
                <w:color w:val="auto"/>
              </w:rPr>
            </w:pPr>
            <w:r>
              <w:rPr>
                <w:rFonts w:ascii="Courier New" w:cs="Courier New" w:eastAsia="Courier New" w:hAnsi="Courier New"/>
                <w:sz w:val="17"/>
                <w:szCs w:val="17"/>
                <w:color w:val="auto"/>
              </w:rPr>
              <w:t>James W. Barnes(3)...............</w:t>
            </w:r>
          </w:p>
        </w:tc>
        <w:tc>
          <w:tcPr>
            <w:tcW w:w="74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$245,095</w:t>
            </w:r>
          </w:p>
        </w:tc>
        <w:tc>
          <w:tcPr>
            <w:tcW w:w="1140" w:type="dxa"/>
            <w:vAlign w:val="bottom"/>
          </w:tcPr>
          <w:p>
            <w:pPr>
              <w:jc w:val="right"/>
              <w:ind w:right="277"/>
              <w:spacing w:after="0"/>
              <w:rPr>
                <w:sz w:val="20"/>
                <w:szCs w:val="20"/>
                <w:color w:val="auto"/>
              </w:rPr>
            </w:pPr>
            <w:r>
              <w:rPr>
                <w:rFonts w:ascii="Courier New" w:cs="Courier New" w:eastAsia="Courier New" w:hAnsi="Courier New"/>
                <w:sz w:val="17"/>
                <w:szCs w:val="17"/>
                <w:color w:val="auto"/>
                <w:w w:val="93"/>
              </w:rPr>
              <w:t>$226,000</w:t>
            </w:r>
          </w:p>
        </w:tc>
        <w:tc>
          <w:tcPr>
            <w:tcW w:w="168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$16,516</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&amp; Chief Executive</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1994</w:t>
            </w:r>
          </w:p>
        </w:tc>
        <w:tc>
          <w:tcPr>
            <w:tcW w:w="14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228,460</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184,710</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80,000</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14,912</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Officer since 1983</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1993</w:t>
            </w:r>
          </w:p>
        </w:tc>
        <w:tc>
          <w:tcPr>
            <w:tcW w:w="14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214,231</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157,810</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80,000</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8,994</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Charles A. Schwan(3).............</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210,712</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181,585</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13,047</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Vice President</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1994</w:t>
            </w:r>
          </w:p>
        </w:tc>
        <w:tc>
          <w:tcPr>
            <w:tcW w:w="14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185,500</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137,236</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40,000</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11,159</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&amp; Chief Operating Officer</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1993</w:t>
            </w:r>
          </w:p>
        </w:tc>
        <w:tc>
          <w:tcPr>
            <w:tcW w:w="14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163,750</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110,980</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40,000</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8,994</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John H. Allen(4).................</w:t>
            </w:r>
          </w:p>
        </w:tc>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1995</w:t>
            </w:r>
          </w:p>
        </w:tc>
        <w:tc>
          <w:tcPr>
            <w:tcW w:w="14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62,500</w:t>
            </w:r>
          </w:p>
        </w:tc>
        <w:tc>
          <w:tcPr>
            <w:tcW w:w="11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50,850</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20,000</w:t>
            </w:r>
          </w:p>
        </w:tc>
        <w:tc>
          <w:tcPr>
            <w:tcW w:w="18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Vice President, Finance &amp; Chief</w:t>
            </w: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Financial Officer, Secretary</w:t>
            </w: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3080" w:hanging="398"/>
        <w:spacing w:after="0" w:line="235" w:lineRule="auto"/>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shown in this column reflect payments under the Company's Incentive Bonus Plan for key executives.</w:t>
      </w:r>
    </w:p>
    <w:p>
      <w:pPr>
        <w:spacing w:after="0" w:line="196" w:lineRule="exact"/>
        <w:rPr>
          <w:rFonts w:ascii="Courier New" w:cs="Courier New" w:eastAsia="Courier New" w:hAnsi="Courier New"/>
          <w:sz w:val="17"/>
          <w:szCs w:val="17"/>
          <w:color w:val="auto"/>
        </w:rPr>
      </w:pPr>
    </w:p>
    <w:p>
      <w:pPr>
        <w:ind w:left="400" w:right="2880" w:hanging="398"/>
        <w:spacing w:after="0" w:line="236" w:lineRule="auto"/>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shown in this column reflect Company contributions to the Employee Retirement 401(k) Plan and the Executive Deferred Compensation Plan.</w:t>
      </w:r>
    </w:p>
    <w:p>
      <w:pPr>
        <w:spacing w:after="0" w:line="196" w:lineRule="exact"/>
        <w:rPr>
          <w:rFonts w:ascii="Courier New" w:cs="Courier New" w:eastAsia="Courier New" w:hAnsi="Courier New"/>
          <w:sz w:val="17"/>
          <w:szCs w:val="17"/>
          <w:color w:val="auto"/>
        </w:rPr>
      </w:pPr>
    </w:p>
    <w:p>
      <w:pPr>
        <w:ind w:left="400" w:right="2580" w:hanging="398"/>
        <w:spacing w:after="0" w:line="236" w:lineRule="auto"/>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Barnes retired as President &amp; Chief Executive Officer of the Company effective March 1, 1996. Mr. Schwan, who was promoted from Vice President, Finance to Executive Vice President &amp; Chief</w:t>
      </w:r>
    </w:p>
    <w:p>
      <w:pPr>
        <w:sectPr>
          <w:pgSz w:w="11900" w:h="16838" w:orient="portrait"/>
          <w:cols w:equalWidth="0" w:num="1">
            <w:col w:w="10340"/>
          </w:cols>
          <w:pgMar w:left="240" w:top="301" w:right="1319" w:bottom="1440"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340"/>
          </w:cols>
          <w:pgMar w:left="240" w:top="301" w:right="1319"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196" w:lineRule="exact"/>
        <w:rPr>
          <w:sz w:val="20"/>
          <w:szCs w:val="20"/>
          <w:color w:val="auto"/>
        </w:rPr>
      </w:pPr>
    </w:p>
    <w:p>
      <w:pPr>
        <w:ind w:left="400" w:right="2659"/>
        <w:spacing w:after="0" w:line="235" w:lineRule="auto"/>
        <w:rPr>
          <w:sz w:val="20"/>
          <w:szCs w:val="20"/>
          <w:color w:val="auto"/>
        </w:rPr>
      </w:pPr>
      <w:r>
        <w:rPr>
          <w:rFonts w:ascii="Courier New" w:cs="Courier New" w:eastAsia="Courier New" w:hAnsi="Courier New"/>
          <w:sz w:val="17"/>
          <w:szCs w:val="17"/>
          <w:color w:val="auto"/>
        </w:rPr>
        <w:t>Operating Officer on September 6, 1995 was promoted to President &amp; Chief Executive Officer on March 1, 1996.</w:t>
      </w:r>
    </w:p>
    <w:p>
      <w:pPr>
        <w:spacing w:after="0" w:line="197" w:lineRule="exact"/>
        <w:rPr>
          <w:sz w:val="20"/>
          <w:szCs w:val="20"/>
          <w:color w:val="auto"/>
        </w:rPr>
      </w:pPr>
    </w:p>
    <w:p>
      <w:pPr>
        <w:ind w:left="400" w:right="2259" w:hanging="398"/>
        <w:spacing w:after="0" w:line="237"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Allen joined the Company in June, 1995. He was Director of Finance until September 5, 1995, became Vice President, Finance and Secretary on September 6, 1995 and was appointed Chief Financial Officer on October 30, 1995. On an annualized basis his compensation for the year ended December 31, 1995 was $125,000.</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INCENTIVE BONUS PLAN. The Company has an incentive bonus plan for key executives, originally adopted in 1978, and continuing in effect for the present fiscal year upon recommendation of the Executive Compensation Committee of the Board. Under the plan, corporate officers may receive incentive 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Board, or in the case of divisions and subsidiaries, by the corporate management.</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RETIREMENT PLAN. The Cohu Employees Retirement 401(k) Plan was implemented on January 1, 1978. All full time employees who are at least 21 years of age are eligible to enroll in this Plan. The participant may contribute up to 11% of his or her monthly compensation. The Company matches 4% dollar for dollar up to a maximum of $6,000 on earnings of $150,000 per year. The amounts contributed by the Company are vested 10% after one year of participation, another 10% after 2 years, and an additional 20% each year thereafter to the full 100%. None of the contributions nor the accumulated interest is taxable to the participant until withdrawn. The maximum which a participant may contribute is currently $9,500 annually.</w:t>
      </w:r>
    </w:p>
    <w:p>
      <w:pPr>
        <w:spacing w:after="0" w:line="202"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EXECUTIVE DEFERRED COMPENSATION PLAN. The Company adopted an executive deferred compensation plan in 1994. Under the plan, corporate officers and the principal executives of each division and subsidiary may elect to defer a portion of their current compensation. The Company will then match dollar for dollar up to 4% of the executive's earnings in excess of $150,000 per year. These combined funds may be used by the Company to purchase a specifically designed life insurance policy on the executive's life. The Company is not entitled to a corporate tax deduction until the year in which the executive recognizes taxable income in connection with the plan. However, this plan is designed to compensate the Company for the present value of the deferred tax deduction. Upon the executive's termination of employment, the Company reserves in any policy for that executive an amount which is actuarially sufficient to provide a death benefit equal to the present value of the Company's deferred tax deduction. The remaining cash value of the policy is available for borrowing by the Company for payment to the executive in accordance with a schedule determined in the sole discretion of the Company. Upon the executive's death, any policy proceeds will be paid to the Company. Then the executive's beneficiaries will receive from the Company the amount of the net proceeds (after repayment of all borrowings by the Company), reduced by the present value of any tax deduction deferred by the Company and increased by the value of the Company's tax deduction available as a result of the payment of the net proceeds.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AGREEMENT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has entered into a Termination Agreement with Mr. Schwan under which he would be entitled to a payment in the event of a termination of employment for specified reasons following a change of control of the Company. For this purpose, a change of control of the Company means a merger or consolidation of the Company (except with a wholly owned subsidiary), a sale by the Company of all or substantially all of its assets, the acquisition of beneficial ownership of a majority of the outstanding voting stock of the Company by any person, entity or affiliated group or a change in the identities of a majority of the directors of the Company within a period of thirty (30) months resulting in whole or in part from the election of persons who were not management nominees. Termination of employment for purposes of the agreement means a discharge of the executive by the Company, other than one for specified causes, including death, disability, wrongful acts, habitual intoxication, habitual neglect of duties or normal retirement. It also includes resignation following the occurrence of an adverse change in the executive's position, duties, compensation or work conditions. The amounts payable under the agreement will change from year to year based on the</w:t>
      </w:r>
    </w:p>
    <w:p>
      <w:pPr>
        <w:sectPr>
          <w:pgSz w:w="11900" w:h="16838" w:orient="portrait"/>
          <w:cols w:equalWidth="0" w:num="1">
            <w:col w:w="10219"/>
          </w:cols>
          <w:pgMar w:left="240" w:top="301" w:right="1440" w:bottom="1440" w:gutter="0" w:footer="0" w:header="0"/>
        </w:sectPr>
      </w:pP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1" w:right="1440"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196" w:lineRule="exact"/>
        <w:rPr>
          <w:sz w:val="20"/>
          <w:szCs w:val="20"/>
          <w:color w:val="auto"/>
        </w:rPr>
      </w:pPr>
    </w:p>
    <w:p>
      <w:pPr>
        <w:ind w:right="3660"/>
        <w:spacing w:after="0" w:line="236" w:lineRule="auto"/>
        <w:rPr>
          <w:sz w:val="20"/>
          <w:szCs w:val="20"/>
          <w:color w:val="auto"/>
        </w:rPr>
      </w:pPr>
      <w:r>
        <w:rPr>
          <w:rFonts w:ascii="Courier New" w:cs="Courier New" w:eastAsia="Courier New" w:hAnsi="Courier New"/>
          <w:sz w:val="17"/>
          <w:szCs w:val="17"/>
          <w:color w:val="auto"/>
        </w:rPr>
        <w:t>executive's compensation. In the event of a termination in 1996 and following a change of control, the amount payable to Mr. Schwan would be approximately $840,000.</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196" w:lineRule="exact"/>
        <w:rPr>
          <w:sz w:val="20"/>
          <w:szCs w:val="20"/>
          <w:color w:val="auto"/>
        </w:rPr>
      </w:pPr>
    </w:p>
    <w:p>
      <w:pPr>
        <w:ind w:right="3660" w:firstLine="497"/>
        <w:spacing w:after="0" w:line="236" w:lineRule="auto"/>
        <w:rPr>
          <w:sz w:val="20"/>
          <w:szCs w:val="20"/>
          <w:color w:val="auto"/>
        </w:rPr>
      </w:pPr>
      <w:r>
        <w:rPr>
          <w:rFonts w:ascii="Courier New" w:cs="Courier New" w:eastAsia="Courier New" w:hAnsi="Courier New"/>
          <w:sz w:val="17"/>
          <w:szCs w:val="17"/>
          <w:color w:val="auto"/>
        </w:rPr>
        <w:t>The following table provides information on grants of options to purchase the Company's Common Stock made to the Named Executive Officers during the year ended December 31, 1995.</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94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INDIVIDUAL GRANTS</w:t>
            </w:r>
          </w:p>
        </w:tc>
        <w:tc>
          <w:tcPr>
            <w:tcW w:w="1280" w:type="dxa"/>
            <w:vAlign w:val="bottom"/>
          </w:tcPr>
          <w:p>
            <w:pPr>
              <w:spacing w:after="0"/>
              <w:rPr>
                <w:sz w:val="16"/>
                <w:szCs w:val="16"/>
                <w:color w:val="auto"/>
              </w:rPr>
            </w:pPr>
          </w:p>
        </w:tc>
        <w:tc>
          <w:tcPr>
            <w:tcW w:w="214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POTENTIAL</w:t>
            </w:r>
          </w:p>
        </w:tc>
      </w:tr>
      <w:tr>
        <w:trPr>
          <w:trHeight w:val="191"/>
        </w:trPr>
        <w:tc>
          <w:tcPr>
            <w:tcW w:w="328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Courier New" w:cs="Courier New" w:eastAsia="Courier New" w:hAnsi="Courier New"/>
                <w:sz w:val="12"/>
                <w:szCs w:val="12"/>
                <w:color w:val="auto"/>
                <w:w w:val="73"/>
              </w:rPr>
              <w:t>-----------------------------------------------------</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REALIZABLE VALUE AT</w:t>
            </w:r>
          </w:p>
        </w:tc>
      </w:tr>
      <w:tr>
        <w:trPr>
          <w:trHeight w:val="191"/>
        </w:trPr>
        <w:tc>
          <w:tcPr>
            <w:tcW w:w="3280" w:type="dxa"/>
            <w:vAlign w:val="bottom"/>
          </w:tcPr>
          <w:p>
            <w:pPr>
              <w:spacing w:after="0"/>
              <w:rPr>
                <w:sz w:val="16"/>
                <w:szCs w:val="16"/>
                <w:color w:val="auto"/>
              </w:rPr>
            </w:pPr>
          </w:p>
        </w:tc>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NUMBER OF</w:t>
            </w:r>
          </w:p>
        </w:tc>
        <w:tc>
          <w:tcPr>
            <w:tcW w:w="15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7"/>
              </w:rPr>
              <w:t>PERCENT OF</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4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ASSUMED ANNUAL</w:t>
            </w:r>
          </w:p>
        </w:tc>
      </w:tr>
      <w:tr>
        <w:trPr>
          <w:trHeight w:val="191"/>
        </w:trPr>
        <w:tc>
          <w:tcPr>
            <w:tcW w:w="3280" w:type="dxa"/>
            <w:vAlign w:val="bottom"/>
          </w:tcPr>
          <w:p>
            <w:pPr>
              <w:spacing w:after="0"/>
              <w:rPr>
                <w:sz w:val="16"/>
                <w:szCs w:val="16"/>
                <w:color w:val="auto"/>
              </w:rPr>
            </w:pPr>
          </w:p>
        </w:tc>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w:t>
            </w:r>
          </w:p>
        </w:tc>
        <w:tc>
          <w:tcPr>
            <w:tcW w:w="15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6"/>
              </w:rPr>
              <w:t>TOTAL OPTIONS</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4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RATES OF STOCK</w:t>
            </w:r>
          </w:p>
        </w:tc>
      </w:tr>
      <w:tr>
        <w:trPr>
          <w:trHeight w:val="191"/>
        </w:trPr>
        <w:tc>
          <w:tcPr>
            <w:tcW w:w="3280" w:type="dxa"/>
            <w:vAlign w:val="bottom"/>
          </w:tcPr>
          <w:p>
            <w:pPr>
              <w:spacing w:after="0"/>
              <w:rPr>
                <w:sz w:val="16"/>
                <w:szCs w:val="16"/>
                <w:color w:val="auto"/>
              </w:rPr>
            </w:pPr>
          </w:p>
        </w:tc>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UNDERLYING</w:t>
            </w:r>
          </w:p>
        </w:tc>
        <w:tc>
          <w:tcPr>
            <w:tcW w:w="1540" w:type="dxa"/>
            <w:vAlign w:val="bottom"/>
          </w:tcPr>
          <w:p>
            <w:pPr>
              <w:jc w:val="center"/>
              <w:ind w:right="157"/>
              <w:spacing w:after="0" w:line="191" w:lineRule="exact"/>
              <w:rPr>
                <w:sz w:val="20"/>
                <w:szCs w:val="20"/>
                <w:color w:val="auto"/>
              </w:rPr>
            </w:pPr>
            <w:r>
              <w:rPr>
                <w:rFonts w:ascii="Courier New" w:cs="Courier New" w:eastAsia="Courier New" w:hAnsi="Courier New"/>
                <w:sz w:val="17"/>
                <w:szCs w:val="17"/>
                <w:color w:val="auto"/>
                <w:w w:val="97"/>
              </w:rPr>
              <w:t>GRANTED</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PRICE APPRECIATION</w:t>
            </w:r>
          </w:p>
        </w:tc>
      </w:tr>
      <w:tr>
        <w:trPr>
          <w:trHeight w:val="191"/>
        </w:trPr>
        <w:tc>
          <w:tcPr>
            <w:tcW w:w="3280" w:type="dxa"/>
            <w:vAlign w:val="bottom"/>
          </w:tcPr>
          <w:p>
            <w:pPr>
              <w:spacing w:after="0"/>
              <w:rPr>
                <w:sz w:val="16"/>
                <w:szCs w:val="16"/>
                <w:color w:val="auto"/>
              </w:rPr>
            </w:pPr>
          </w:p>
        </w:tc>
        <w:tc>
          <w:tcPr>
            <w:tcW w:w="1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OPTIONS</w:t>
            </w:r>
          </w:p>
        </w:tc>
        <w:tc>
          <w:tcPr>
            <w:tcW w:w="15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8"/>
              </w:rPr>
              <w:t>TO EMPLOYEES</w:t>
            </w:r>
          </w:p>
        </w:tc>
        <w:tc>
          <w:tcPr>
            <w:tcW w:w="14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EXERCISE OR</w:t>
            </w:r>
          </w:p>
        </w:tc>
        <w:tc>
          <w:tcPr>
            <w:tcW w:w="1280" w:type="dxa"/>
            <w:vAlign w:val="bottom"/>
          </w:tcPr>
          <w:p>
            <w:pPr>
              <w:spacing w:after="0"/>
              <w:rPr>
                <w:sz w:val="16"/>
                <w:szCs w:val="16"/>
                <w:color w:val="auto"/>
              </w:rPr>
            </w:pPr>
          </w:p>
        </w:tc>
        <w:tc>
          <w:tcPr>
            <w:tcW w:w="21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FOR OPTION TERM(2)</w:t>
            </w:r>
          </w:p>
        </w:tc>
      </w:tr>
      <w:tr>
        <w:trPr>
          <w:trHeight w:val="191"/>
        </w:trPr>
        <w:tc>
          <w:tcPr>
            <w:tcW w:w="3280" w:type="dxa"/>
            <w:vAlign w:val="bottom"/>
          </w:tcPr>
          <w:p>
            <w:pPr>
              <w:spacing w:after="0"/>
              <w:rPr>
                <w:sz w:val="16"/>
                <w:szCs w:val="16"/>
                <w:color w:val="auto"/>
              </w:rPr>
            </w:pPr>
          </w:p>
        </w:tc>
        <w:tc>
          <w:tcPr>
            <w:tcW w:w="1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GRANTED</w:t>
            </w:r>
          </w:p>
        </w:tc>
        <w:tc>
          <w:tcPr>
            <w:tcW w:w="1540" w:type="dxa"/>
            <w:vAlign w:val="bottom"/>
          </w:tcPr>
          <w:p>
            <w:pPr>
              <w:jc w:val="center"/>
              <w:ind w:right="157"/>
              <w:spacing w:after="0" w:line="191" w:lineRule="exact"/>
              <w:rPr>
                <w:sz w:val="20"/>
                <w:szCs w:val="20"/>
                <w:color w:val="auto"/>
              </w:rPr>
            </w:pPr>
            <w:r>
              <w:rPr>
                <w:rFonts w:ascii="Courier New" w:cs="Courier New" w:eastAsia="Courier New" w:hAnsi="Courier New"/>
                <w:sz w:val="17"/>
                <w:szCs w:val="17"/>
                <w:color w:val="auto"/>
                <w:w w:val="97"/>
              </w:rPr>
              <w:t>IN FISCAL</w:t>
            </w:r>
          </w:p>
        </w:tc>
        <w:tc>
          <w:tcPr>
            <w:tcW w:w="14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BASE PRICE</w:t>
            </w:r>
          </w:p>
        </w:tc>
        <w:tc>
          <w:tcPr>
            <w:tcW w:w="12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EXPIRATION</w:t>
            </w:r>
          </w:p>
        </w:tc>
        <w:tc>
          <w:tcPr>
            <w:tcW w:w="2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280" w:type="dxa"/>
            <w:vAlign w:val="bottom"/>
          </w:tcPr>
          <w:p>
            <w:pPr>
              <w:ind w:left="1300"/>
              <w:spacing w:after="0" w:line="191" w:lineRule="exact"/>
              <w:rPr>
                <w:sz w:val="20"/>
                <w:szCs w:val="20"/>
                <w:color w:val="auto"/>
              </w:rPr>
            </w:pPr>
            <w:r>
              <w:rPr>
                <w:rFonts w:ascii="Courier New" w:cs="Courier New" w:eastAsia="Courier New" w:hAnsi="Courier New"/>
                <w:sz w:val="17"/>
                <w:szCs w:val="17"/>
                <w:color w:val="auto"/>
              </w:rPr>
              <w:t>NAME</w:t>
            </w:r>
          </w:p>
        </w:tc>
        <w:tc>
          <w:tcPr>
            <w:tcW w:w="1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w:t>
            </w:r>
          </w:p>
        </w:tc>
        <w:tc>
          <w:tcPr>
            <w:tcW w:w="15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7"/>
              </w:rPr>
              <w:t>YEAR</w:t>
            </w:r>
          </w:p>
        </w:tc>
        <w:tc>
          <w:tcPr>
            <w:tcW w:w="14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($/SH)</w:t>
            </w:r>
          </w:p>
        </w:tc>
        <w:tc>
          <w:tcPr>
            <w:tcW w:w="12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DATE</w:t>
            </w:r>
          </w:p>
        </w:tc>
        <w:tc>
          <w:tcPr>
            <w:tcW w:w="11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5%($)</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 -------------------------------</w:t>
            </w:r>
          </w:p>
        </w:tc>
        <w:tc>
          <w:tcPr>
            <w:tcW w:w="1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rPr>
              <w:t>John H. Allen..................</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20,000</w:t>
            </w:r>
          </w:p>
        </w:tc>
        <w:tc>
          <w:tcPr>
            <w:tcW w:w="1540" w:type="dxa"/>
            <w:vAlign w:val="bottom"/>
          </w:tcPr>
          <w:p>
            <w:pPr>
              <w:jc w:val="center"/>
              <w:ind w:right="157"/>
              <w:spacing w:after="0"/>
              <w:rPr>
                <w:sz w:val="20"/>
                <w:szCs w:val="20"/>
                <w:color w:val="auto"/>
              </w:rPr>
            </w:pPr>
            <w:r>
              <w:rPr>
                <w:rFonts w:ascii="Courier New" w:cs="Courier New" w:eastAsia="Courier New" w:hAnsi="Courier New"/>
                <w:sz w:val="17"/>
                <w:szCs w:val="17"/>
                <w:color w:val="auto"/>
                <w:w w:val="97"/>
              </w:rPr>
              <w:t>17.6%</w:t>
            </w:r>
          </w:p>
        </w:tc>
        <w:tc>
          <w:tcPr>
            <w:tcW w:w="1400" w:type="dxa"/>
            <w:vAlign w:val="bottom"/>
          </w:tcPr>
          <w:p>
            <w:pPr>
              <w:ind w:left="240"/>
              <w:spacing w:after="0"/>
              <w:rPr>
                <w:sz w:val="20"/>
                <w:szCs w:val="20"/>
                <w:color w:val="auto"/>
              </w:rPr>
            </w:pPr>
            <w:r>
              <w:rPr>
                <w:rFonts w:ascii="Courier New" w:cs="Courier New" w:eastAsia="Courier New" w:hAnsi="Courier New"/>
                <w:sz w:val="17"/>
                <w:szCs w:val="17"/>
                <w:color w:val="auto"/>
              </w:rPr>
              <w:t>$ 22.25</w:t>
            </w:r>
          </w:p>
        </w:tc>
        <w:tc>
          <w:tcPr>
            <w:tcW w:w="12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6/30/2005</w:t>
            </w:r>
          </w:p>
        </w:tc>
        <w:tc>
          <w:tcPr>
            <w:tcW w:w="1140" w:type="dxa"/>
            <w:vAlign w:val="bottom"/>
          </w:tcPr>
          <w:p>
            <w:pPr>
              <w:ind w:left="60"/>
              <w:spacing w:after="0"/>
              <w:rPr>
                <w:sz w:val="20"/>
                <w:szCs w:val="20"/>
                <w:color w:val="auto"/>
              </w:rPr>
            </w:pPr>
            <w:r>
              <w:rPr>
                <w:rFonts w:ascii="Courier New" w:cs="Courier New" w:eastAsia="Courier New" w:hAnsi="Courier New"/>
                <w:sz w:val="17"/>
                <w:szCs w:val="17"/>
                <w:color w:val="auto"/>
              </w:rPr>
              <w:t>$279,905</w:t>
            </w: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5"/>
              </w:rPr>
              <w:t>$709,330</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3760" w:hanging="398"/>
        <w:spacing w:after="0" w:line="254"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stock options, which were granted at an exercise price of 100% of the market price of the underlying shares on the date of grant, become exercisable over four years at the rate of approximately one-fourth each year and expire ten years from the date of grant. The options were granted under the Company's 1994 Employee Stock Option Plan.</w:t>
      </w:r>
    </w:p>
    <w:p>
      <w:pPr>
        <w:spacing w:after="0" w:line="188" w:lineRule="exact"/>
        <w:rPr>
          <w:rFonts w:ascii="Courier New" w:cs="Courier New" w:eastAsia="Courier New" w:hAnsi="Courier New"/>
          <w:sz w:val="16"/>
          <w:szCs w:val="16"/>
          <w:color w:val="auto"/>
        </w:rPr>
      </w:pPr>
    </w:p>
    <w:p>
      <w:pPr>
        <w:ind w:left="400" w:right="3560" w:hanging="398"/>
        <w:spacing w:after="0" w:line="237"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5% and 10% assumed annual rates of stock price appreciation would result from per share prices of $36.25 and $57.72 respectively. Such assumed rates are established by rules of the Securities and Exchange Commission and do not represent the Company's forecast of possible future appreciation of the Company's Common Stock or total stockholder return.</w:t>
      </w:r>
    </w:p>
    <w:p>
      <w:pPr>
        <w:spacing w:after="0" w:line="190"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7"/>
          <w:szCs w:val="17"/>
          <w:color w:val="auto"/>
        </w:rPr>
        <w:t>AGGREGATED OPTION EXERCISES IN LAST FISCAL YEAR</w:t>
      </w:r>
    </w:p>
    <w:p>
      <w:pPr>
        <w:jc w:val="center"/>
        <w:ind w:right="3660"/>
        <w:spacing w:after="0" w:line="238" w:lineRule="auto"/>
        <w:rPr>
          <w:sz w:val="20"/>
          <w:szCs w:val="20"/>
          <w:color w:val="auto"/>
        </w:rPr>
      </w:pPr>
      <w:r>
        <w:rPr>
          <w:rFonts w:ascii="Courier New" w:cs="Courier New" w:eastAsia="Courier New" w:hAnsi="Courier New"/>
          <w:sz w:val="17"/>
          <w:szCs w:val="17"/>
          <w:color w:val="auto"/>
        </w:rPr>
        <w:t>AND FISCAL YEAR-END OPTION VALUES</w:t>
      </w:r>
    </w:p>
    <w:p>
      <w:pPr>
        <w:spacing w:after="0" w:line="197" w:lineRule="exact"/>
        <w:rPr>
          <w:sz w:val="20"/>
          <w:szCs w:val="20"/>
          <w:color w:val="auto"/>
        </w:rPr>
      </w:pPr>
    </w:p>
    <w:p>
      <w:pPr>
        <w:ind w:right="3560" w:firstLine="497"/>
        <w:spacing w:after="0" w:line="236" w:lineRule="auto"/>
        <w:rPr>
          <w:sz w:val="20"/>
          <w:szCs w:val="20"/>
          <w:color w:val="auto"/>
        </w:rPr>
      </w:pPr>
      <w:r>
        <w:rPr>
          <w:rFonts w:ascii="Courier New" w:cs="Courier New" w:eastAsia="Courier New" w:hAnsi="Courier New"/>
          <w:sz w:val="17"/>
          <w:szCs w:val="17"/>
          <w:color w:val="auto"/>
        </w:rPr>
        <w:t>The following table provides information on option exercises in 1995 by the Named Executive Officers and the value of such officers' unexercised options at December 31, 1995.</w:t>
      </w:r>
    </w:p>
    <w:p>
      <w:pPr>
        <w:sectPr>
          <w:pgSz w:w="11900" w:h="16838" w:orient="portrait"/>
          <w:cols w:equalWidth="0" w:num="1">
            <w:col w:w="11520"/>
          </w:cols>
          <w:pgMar w:left="240" w:top="30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SHARES</w:t>
      </w:r>
    </w:p>
    <w:p>
      <w:pPr>
        <w:ind w:left="100"/>
        <w:spacing w:after="0" w:line="238" w:lineRule="auto"/>
        <w:rPr>
          <w:sz w:val="20"/>
          <w:szCs w:val="20"/>
          <w:color w:val="auto"/>
        </w:rPr>
      </w:pPr>
      <w:r>
        <w:rPr>
          <w:rFonts w:ascii="Courier New" w:cs="Courier New" w:eastAsia="Courier New" w:hAnsi="Courier New"/>
          <w:sz w:val="17"/>
          <w:szCs w:val="17"/>
          <w:color w:val="auto"/>
        </w:rPr>
        <w:t>ACQUIRED</w:t>
      </w:r>
    </w:p>
    <w:p>
      <w:pPr>
        <w:spacing w:after="0" w:line="238" w:lineRule="auto"/>
        <w:rPr>
          <w:sz w:val="20"/>
          <w:szCs w:val="20"/>
          <w:color w:val="auto"/>
        </w:rPr>
      </w:pPr>
      <w:r>
        <w:rPr>
          <w:rFonts w:ascii="Courier New" w:cs="Courier New" w:eastAsia="Courier New" w:hAnsi="Courier New"/>
          <w:sz w:val="17"/>
          <w:szCs w:val="17"/>
          <w:color w:val="auto"/>
        </w:rPr>
        <w:t>ON EXERCISE</w:t>
      </w:r>
    </w:p>
    <w:p>
      <w:pPr>
        <w:ind w:left="4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VALUE</w:t>
      </w:r>
    </w:p>
    <w:p>
      <w:pPr>
        <w:spacing w:after="0" w:line="238" w:lineRule="auto"/>
        <w:rPr>
          <w:sz w:val="20"/>
          <w:szCs w:val="20"/>
          <w:color w:val="auto"/>
        </w:rPr>
      </w:pPr>
      <w:r>
        <w:rPr>
          <w:rFonts w:ascii="Courier New" w:cs="Courier New" w:eastAsia="Courier New" w:hAnsi="Courier New"/>
          <w:sz w:val="17"/>
          <w:szCs w:val="17"/>
          <w:color w:val="auto"/>
        </w:rPr>
        <w:t>REALIZED</w:t>
      </w:r>
    </w:p>
    <w:p>
      <w:pPr>
        <w:spacing w:after="0" w:line="238" w:lineRule="auto"/>
        <w:rPr>
          <w:sz w:val="20"/>
          <w:szCs w:val="20"/>
          <w:color w:val="auto"/>
        </w:rPr>
      </w:pPr>
      <w:r>
        <w:rPr>
          <w:rFonts w:ascii="Courier New" w:cs="Courier New" w:eastAsia="Courier New" w:hAnsi="Courier New"/>
          <w:sz w:val="17"/>
          <w:szCs w:val="17"/>
          <w:color w:val="auto"/>
        </w:rPr>
        <w:t>($) (1)</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NUMBER OF UNEXERCISED OPTIONS</w:t>
      </w:r>
    </w:p>
    <w:p>
      <w:pPr>
        <w:ind w:left="400"/>
        <w:spacing w:after="0" w:line="238" w:lineRule="auto"/>
        <w:rPr>
          <w:sz w:val="20"/>
          <w:szCs w:val="20"/>
          <w:color w:val="auto"/>
        </w:rPr>
      </w:pPr>
      <w:r>
        <w:rPr>
          <w:rFonts w:ascii="Courier New" w:cs="Courier New" w:eastAsia="Courier New" w:hAnsi="Courier New"/>
          <w:sz w:val="17"/>
          <w:szCs w:val="17"/>
          <w:color w:val="auto"/>
        </w:rPr>
        <w:t>AT FISCAL YEAR-END (#)</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tabs>
          <w:tab w:leader="none" w:pos="1760" w:val="left"/>
        </w:tabs>
        <w:rPr>
          <w:sz w:val="20"/>
          <w:szCs w:val="20"/>
          <w:color w:val="auto"/>
        </w:rPr>
      </w:pPr>
      <w:r>
        <w:rPr>
          <w:rFonts w:ascii="Courier New" w:cs="Courier New" w:eastAsia="Courier New" w:hAnsi="Courier New"/>
          <w:sz w:val="17"/>
          <w:szCs w:val="17"/>
          <w:color w:val="auto"/>
        </w:rPr>
        <w:t>EXERCISABLE</w:t>
      </w:r>
      <w:r>
        <w:rPr>
          <w:sz w:val="20"/>
          <w:szCs w:val="20"/>
          <w:color w:val="auto"/>
        </w:rPr>
        <w:tab/>
      </w:r>
      <w:r>
        <w:rPr>
          <w:rFonts w:ascii="Courier New" w:cs="Courier New" w:eastAsia="Courier New" w:hAnsi="Courier New"/>
          <w:sz w:val="17"/>
          <w:szCs w:val="17"/>
          <w:color w:val="auto"/>
        </w:rPr>
        <w:t>UNEXERCISABLE</w:t>
      </w:r>
    </w:p>
    <w:p>
      <w:pPr>
        <w:spacing w:after="0" w:line="4" w:lineRule="exact"/>
        <w:rPr>
          <w:sz w:val="20"/>
          <w:szCs w:val="20"/>
          <w:color w:val="auto"/>
        </w:rPr>
      </w:pPr>
    </w:p>
    <w:p>
      <w:pPr>
        <w:ind w:left="200"/>
        <w:spacing w:after="0"/>
        <w:tabs>
          <w:tab w:leader="none" w:pos="19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VALUE OF UNEXERCISED</w:t>
      </w:r>
    </w:p>
    <w:p>
      <w:pPr>
        <w:ind w:left="200"/>
        <w:spacing w:after="0" w:line="238" w:lineRule="auto"/>
        <w:rPr>
          <w:sz w:val="20"/>
          <w:szCs w:val="20"/>
          <w:color w:val="auto"/>
        </w:rPr>
      </w:pPr>
      <w:r>
        <w:rPr>
          <w:rFonts w:ascii="Courier New" w:cs="Courier New" w:eastAsia="Courier New" w:hAnsi="Courier New"/>
          <w:sz w:val="17"/>
          <w:szCs w:val="17"/>
          <w:color w:val="auto"/>
        </w:rPr>
        <w:t>IN-THE-MONEY OPTIONS AT</w:t>
      </w:r>
    </w:p>
    <w:p>
      <w:pPr>
        <w:ind w:left="300"/>
        <w:spacing w:after="0" w:line="238" w:lineRule="auto"/>
        <w:rPr>
          <w:sz w:val="20"/>
          <w:szCs w:val="20"/>
          <w:color w:val="auto"/>
        </w:rPr>
      </w:pPr>
      <w:r>
        <w:rPr>
          <w:rFonts w:ascii="Courier New" w:cs="Courier New" w:eastAsia="Courier New" w:hAnsi="Courier New"/>
          <w:sz w:val="17"/>
          <w:szCs w:val="17"/>
          <w:color w:val="auto"/>
        </w:rPr>
        <w:t>FISCAL YEAR-END($)(1)</w:t>
      </w:r>
    </w:p>
    <w:p>
      <w:pPr>
        <w:spacing w:after="0"/>
        <w:rPr>
          <w:sz w:val="20"/>
          <w:szCs w:val="20"/>
          <w:color w:val="auto"/>
        </w:rPr>
      </w:pPr>
      <w:r>
        <w:rPr>
          <w:rFonts w:ascii="Courier New" w:cs="Courier New" w:eastAsia="Courier New" w:hAnsi="Courier New"/>
          <w:sz w:val="17"/>
          <w:szCs w:val="17"/>
          <w:color w:val="auto"/>
        </w:rPr>
        <w:t>----------------------------</w:t>
      </w:r>
    </w:p>
    <w:p>
      <w:pPr>
        <w:spacing w:after="0" w:line="237" w:lineRule="auto"/>
        <w:tabs>
          <w:tab w:leader="none" w:pos="1460" w:val="left"/>
        </w:tabs>
        <w:rPr>
          <w:sz w:val="20"/>
          <w:szCs w:val="20"/>
          <w:color w:val="auto"/>
        </w:rPr>
      </w:pPr>
      <w:r>
        <w:rPr>
          <w:rFonts w:ascii="Courier New" w:cs="Courier New" w:eastAsia="Courier New" w:hAnsi="Courier New"/>
          <w:sz w:val="17"/>
          <w:szCs w:val="17"/>
          <w:color w:val="auto"/>
        </w:rPr>
        <w:t>EXERCISABLE</w:t>
      </w:r>
      <w:r>
        <w:rPr>
          <w:sz w:val="20"/>
          <w:szCs w:val="20"/>
          <w:color w:val="auto"/>
        </w:rPr>
        <w:tab/>
      </w:r>
      <w:r>
        <w:rPr>
          <w:rFonts w:ascii="Courier New" w:cs="Courier New" w:eastAsia="Courier New" w:hAnsi="Courier New"/>
          <w:sz w:val="17"/>
          <w:szCs w:val="17"/>
          <w:color w:val="auto"/>
        </w:rPr>
        <w:t>UNEXERCISABLE</w:t>
      </w:r>
    </w:p>
    <w:p>
      <w:pPr>
        <w:spacing w:after="0" w:line="5" w:lineRule="exact"/>
        <w:rPr>
          <w:sz w:val="20"/>
          <w:szCs w:val="20"/>
          <w:color w:val="auto"/>
        </w:rPr>
      </w:pPr>
    </w:p>
    <w:p>
      <w:pPr>
        <w:ind w:left="200"/>
        <w:spacing w:after="0"/>
        <w:tabs>
          <w:tab w:leader="none" w:pos="16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2380" w:space="0"/>
            <w:col w:w="1300" w:space="200"/>
            <w:col w:w="1000" w:space="200"/>
            <w:col w:w="3280" w:space="200"/>
            <w:col w:w="2960"/>
          </w:cols>
          <w:pgMar w:left="240" w:top="301" w:right="1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W. Barnes.......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A. Schwan.....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H. Allen.........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30,668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32,000</w:t>
      </w: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393,777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322,160</w:t>
      </w:r>
    </w:p>
    <w:p>
      <w:pPr>
        <w:spacing w:after="0" w:line="1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73,333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36,666</w:t>
      </w:r>
    </w:p>
    <w:p>
      <w:pPr>
        <w:spacing w:after="0" w:line="10"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86,667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43,334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1,303,461</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651,721</w:t>
      </w:r>
    </w:p>
    <w:p>
      <w:pPr>
        <w:jc w:val="right"/>
        <w:spacing w:after="0" w:line="238" w:lineRule="auto"/>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right"/>
        <w:ind w:right="380"/>
        <w:spacing w:after="0"/>
        <w:rPr>
          <w:sz w:val="20"/>
          <w:szCs w:val="20"/>
          <w:color w:val="auto"/>
        </w:rPr>
      </w:pPr>
      <w:r>
        <w:rPr>
          <w:rFonts w:ascii="Courier New" w:cs="Courier New" w:eastAsia="Courier New" w:hAnsi="Courier New"/>
          <w:sz w:val="16"/>
          <w:szCs w:val="16"/>
          <w:color w:val="auto"/>
        </w:rPr>
        <w:t>1,523,740</w:t>
      </w:r>
    </w:p>
    <w:p>
      <w:pPr>
        <w:spacing w:after="0" w:line="3" w:lineRule="exact"/>
        <w:rPr>
          <w:sz w:val="20"/>
          <w:szCs w:val="20"/>
          <w:color w:val="auto"/>
        </w:rPr>
      </w:pPr>
    </w:p>
    <w:p>
      <w:pPr>
        <w:jc w:val="right"/>
        <w:ind w:right="380"/>
        <w:spacing w:after="0"/>
        <w:rPr>
          <w:sz w:val="20"/>
          <w:szCs w:val="20"/>
          <w:color w:val="auto"/>
        </w:rPr>
      </w:pPr>
      <w:r>
        <w:rPr>
          <w:rFonts w:ascii="Courier New" w:cs="Courier New" w:eastAsia="Courier New" w:hAnsi="Courier New"/>
          <w:sz w:val="17"/>
          <w:szCs w:val="17"/>
          <w:color w:val="auto"/>
        </w:rPr>
        <w:t>761,879</w:t>
      </w:r>
    </w:p>
    <w:p>
      <w:pPr>
        <w:jc w:val="right"/>
        <w:ind w:right="380"/>
        <w:spacing w:after="0" w:line="238" w:lineRule="auto"/>
        <w:rPr>
          <w:sz w:val="20"/>
          <w:szCs w:val="20"/>
          <w:color w:val="auto"/>
        </w:rPr>
      </w:pPr>
      <w:r>
        <w:rPr>
          <w:rFonts w:ascii="Courier New" w:cs="Courier New" w:eastAsia="Courier New" w:hAnsi="Courier New"/>
          <w:sz w:val="17"/>
          <w:szCs w:val="17"/>
          <w:color w:val="auto"/>
        </w:rPr>
        <w:t>65,000</w:t>
      </w:r>
    </w:p>
    <w:p>
      <w:pPr>
        <w:spacing w:after="0" w:line="200" w:lineRule="exact"/>
        <w:rPr>
          <w:sz w:val="20"/>
          <w:szCs w:val="20"/>
          <w:color w:val="auto"/>
        </w:rPr>
      </w:pPr>
    </w:p>
    <w:p>
      <w:pPr>
        <w:sectPr>
          <w:pgSz w:w="11900" w:h="16838" w:orient="portrait"/>
          <w:cols w:equalWidth="0" w:num="7">
            <w:col w:w="2180" w:space="500"/>
            <w:col w:w="600" w:space="700"/>
            <w:col w:w="700" w:space="700"/>
            <w:col w:w="1160" w:space="720"/>
            <w:col w:w="780" w:space="720"/>
            <w:col w:w="880" w:space="600"/>
            <w:col w:w="1280"/>
          </w:cols>
          <w:pgMar w:left="240" w:top="301" w:right="1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3660" w:hanging="398"/>
        <w:spacing w:after="0" w:line="236"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Calculated on the basis of the fair market value of the Company's Common Stock on the exercise date or at December 31, 1995, minus the aggregate exercise price. The closing price of the Company's Common Stock on December 31, 1995 on NASDAQ was $25.50.</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1520"/>
          </w:cols>
          <w:pgMar w:left="240" w:top="301" w:right="139" w:bottom="1440"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COMPENSATION COMMITTEE REPORT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Executive Compensation Committee of the Board of Directors (the "Committee") generally determines base salary levels for executive level positions prior to the annual stockholders meeting in May. Target incentives for executive level positions are determined at or about the start of the fiscal year and actual bonuses are approved after the end of the fiscal year based upon Company performance. The process involved in the executive compensation determination for fiscal 1995 is summarized below.:</w:t>
      </w:r>
    </w:p>
    <w:p>
      <w:pPr>
        <w:spacing w:after="0" w:line="199" w:lineRule="exact"/>
        <w:rPr>
          <w:sz w:val="20"/>
          <w:szCs w:val="20"/>
          <w:color w:val="auto"/>
        </w:rPr>
      </w:pPr>
    </w:p>
    <w:p>
      <w:pPr>
        <w:ind w:left="700" w:right="2359" w:hanging="201"/>
        <w:spacing w:after="0" w:line="237" w:lineRule="auto"/>
        <w:tabs>
          <w:tab w:leader="none" w:pos="7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April 1995, the Company's chief executive officer developed executive compensation data from a nationally recognized survey for a group of similarly sized high technology companies. The Company's chief financial officer's position as well as the principal executives of each division and subsidiary were matched to comparable survey positions and competitive market compensation levels were determined for base salary. This data was provided to the Committee, along with performance evaluations and salary recommendations.</w:t>
      </w:r>
    </w:p>
    <w:p>
      <w:pPr>
        <w:spacing w:after="0" w:line="199" w:lineRule="exact"/>
        <w:rPr>
          <w:rFonts w:ascii="Courier New" w:cs="Courier New" w:eastAsia="Courier New" w:hAnsi="Courier New"/>
          <w:sz w:val="17"/>
          <w:szCs w:val="17"/>
          <w:color w:val="auto"/>
        </w:rPr>
      </w:pPr>
    </w:p>
    <w:p>
      <w:pPr>
        <w:ind w:left="700" w:right="2259" w:hanging="201"/>
        <w:spacing w:after="0" w:line="254" w:lineRule="auto"/>
        <w:tabs>
          <w:tab w:leader="none" w:pos="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1995, the chief executive officer reviewed the competitive market data with the Committee for each executive level position and the responsibility level of each position, together with the individual's performance for the last fiscal year and objectives for fiscal 1995. The Company's performance was compared to objectives for the last fiscal year and performance targets for fiscal 1995 were also reviewed.</w:t>
      </w:r>
    </w:p>
    <w:p>
      <w:pPr>
        <w:spacing w:after="0" w:line="187" w:lineRule="exact"/>
        <w:rPr>
          <w:rFonts w:ascii="Courier New" w:cs="Courier New" w:eastAsia="Courier New" w:hAnsi="Courier New"/>
          <w:sz w:val="16"/>
          <w:szCs w:val="16"/>
          <w:color w:val="auto"/>
        </w:rPr>
      </w:pPr>
    </w:p>
    <w:p>
      <w:pPr>
        <w:ind w:left="700" w:right="2459" w:hanging="201"/>
        <w:spacing w:after="0" w:line="253" w:lineRule="auto"/>
        <w:tabs>
          <w:tab w:leader="none" w:pos="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reviewed the recommendations, performance evaluations and survey data outlined above. After discussion, the Committee approved a base salary level to be effective May 1, 1995, for each executive level position other than the chief executive officer. The Committee reviewed the salary of the chief executive officer and compared it to those in peer positions in companies of similar size and performance. Given this review, the Committee determined that effective May 1, 1995, it was appropriate to increase the chief executive officer's base salary to a level more consistent with the base salaries of other chief executive officers of similarly sized high technology companies.</w:t>
      </w:r>
    </w:p>
    <w:p>
      <w:pPr>
        <w:spacing w:after="0" w:line="193" w:lineRule="exact"/>
        <w:rPr>
          <w:rFonts w:ascii="Courier New" w:cs="Courier New" w:eastAsia="Courier New" w:hAnsi="Courier New"/>
          <w:sz w:val="16"/>
          <w:szCs w:val="16"/>
          <w:color w:val="auto"/>
        </w:rPr>
      </w:pPr>
    </w:p>
    <w:p>
      <w:pPr>
        <w:ind w:left="700" w:right="2259" w:hanging="201"/>
        <w:spacing w:after="0" w:line="255" w:lineRule="auto"/>
        <w:tabs>
          <w:tab w:leader="none" w:pos="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Incentives for executive level positions are determined according to the Company's Incentive Bonus Plan (the "Incentive Plan"), based upon Company performance. In general, the Incentive Plan performance target objectives must be achieved before any bonuses may be paid to participants.</w:t>
      </w:r>
    </w:p>
    <w:p>
      <w:pPr>
        <w:spacing w:after="0" w:line="185" w:lineRule="exact"/>
        <w:rPr>
          <w:rFonts w:ascii="Courier New" w:cs="Courier New" w:eastAsia="Courier New" w:hAnsi="Courier New"/>
          <w:sz w:val="16"/>
          <w:szCs w:val="16"/>
          <w:color w:val="auto"/>
        </w:rPr>
      </w:pPr>
    </w:p>
    <w:p>
      <w:pPr>
        <w:ind w:left="700" w:right="2459" w:hanging="201"/>
        <w:spacing w:after="0" w:line="254" w:lineRule="auto"/>
        <w:tabs>
          <w:tab w:leader="none" w:pos="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1996, the Committee reviewed and approved incentive awards for 1995 for all eligible participants in the Company's Incentive Plan. The bonus was based upon actual Company performance compared to the target which followed the process and formula outlined in the Incentive Plan. Based on the Company's year-end financial results, the threshold performance levels of the earnings objectives were exceeded.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SUBMITTED BY THE COMPENSATION COMMITTEE OF THE COMPANY'S BOARD OF DIRECTORS:</w:t>
      </w:r>
    </w:p>
    <w:p>
      <w:pPr>
        <w:spacing w:after="0" w:line="190" w:lineRule="exact"/>
        <w:rPr>
          <w:sz w:val="20"/>
          <w:szCs w:val="20"/>
          <w:color w:val="auto"/>
        </w:rPr>
      </w:pPr>
    </w:p>
    <w:p>
      <w:pPr>
        <w:ind w:left="500"/>
        <w:spacing w:after="0"/>
        <w:tabs>
          <w:tab w:leader="none" w:pos="3260" w:val="left"/>
          <w:tab w:leader="none" w:pos="6140" w:val="left"/>
        </w:tabs>
        <w:rPr>
          <w:sz w:val="20"/>
          <w:szCs w:val="20"/>
          <w:color w:val="auto"/>
        </w:rPr>
      </w:pPr>
      <w:r>
        <w:rPr>
          <w:rFonts w:ascii="Courier New" w:cs="Courier New" w:eastAsia="Courier New" w:hAnsi="Courier New"/>
          <w:sz w:val="17"/>
          <w:szCs w:val="17"/>
          <w:color w:val="auto"/>
        </w:rPr>
        <w:t>Frank W. Davis</w:t>
      </w:r>
      <w:r>
        <w:rPr>
          <w:sz w:val="20"/>
          <w:szCs w:val="20"/>
          <w:color w:val="auto"/>
        </w:rPr>
        <w:tab/>
      </w:r>
      <w:r>
        <w:rPr>
          <w:rFonts w:ascii="Courier New" w:cs="Courier New" w:eastAsia="Courier New" w:hAnsi="Courier New"/>
          <w:sz w:val="17"/>
          <w:szCs w:val="17"/>
          <w:color w:val="auto"/>
        </w:rPr>
        <w:t>Harry L. Casari</w:t>
      </w:r>
      <w:r>
        <w:rPr>
          <w:sz w:val="20"/>
          <w:szCs w:val="20"/>
          <w:color w:val="auto"/>
        </w:rPr>
        <w:tab/>
      </w:r>
      <w:r>
        <w:rPr>
          <w:rFonts w:ascii="Courier New" w:cs="Courier New" w:eastAsia="Courier New" w:hAnsi="Courier New"/>
          <w:sz w:val="16"/>
          <w:szCs w:val="16"/>
          <w:color w:val="auto"/>
        </w:rPr>
        <w:t>Gene E. Leary</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COMPARATIVE STOCK PERFORMANCE GRAPH</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graph below compares the cumulative total shareholder return on the Common Stock of the Company for the last five fiscal years with the cumulative total return on the NASDAQ Market Index and a Peer Group Index over the same period (assuming the investment of $100 in the Company's Common Stock, Peer Group Index and NASDAQ Market Index on December 31, 1990, and reinvestment of all dividends). The Peer Group Index set forth on the Performance Graph is the index for Media General Industry Group 171, Electronic Equipment Manufacturers. Historical stock price performance is not necessarily indicative of future stock price performance. Notwithstanding any statement to the contrary in any of the Company's previous or future filings with the Securities and Exchange Commission, the graph shall not be incorporated by reference into any such filings.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Measurement Period</w:t>
            </w:r>
          </w:p>
        </w:tc>
        <w:tc>
          <w:tcPr>
            <w:tcW w:w="1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29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(Fiscal Year Covered)</w:t>
            </w:r>
          </w:p>
        </w:tc>
        <w:tc>
          <w:tcPr>
            <w:tcW w:w="1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Cohu, Inc.</w:t>
            </w:r>
          </w:p>
        </w:tc>
        <w:tc>
          <w:tcPr>
            <w:tcW w:w="16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Peer Group</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NASDAQ</w:t>
            </w:r>
          </w:p>
        </w:tc>
      </w:tr>
      <w:tr>
        <w:trPr>
          <w:trHeight w:val="383"/>
        </w:trPr>
        <w:tc>
          <w:tcPr>
            <w:tcW w:w="2940" w:type="dxa"/>
            <w:vAlign w:val="bottom"/>
          </w:tcPr>
          <w:p>
            <w:pPr>
              <w:jc w:val="right"/>
              <w:ind w:right="2457"/>
              <w:spacing w:after="0"/>
              <w:rPr>
                <w:sz w:val="20"/>
                <w:szCs w:val="20"/>
                <w:color w:val="auto"/>
              </w:rPr>
            </w:pPr>
            <w:r>
              <w:rPr>
                <w:rFonts w:ascii="Courier New" w:cs="Courier New" w:eastAsia="Courier New" w:hAnsi="Courier New"/>
                <w:sz w:val="17"/>
                <w:szCs w:val="17"/>
                <w:color w:val="auto"/>
                <w:w w:val="93"/>
              </w:rPr>
              <w:t>1991</w:t>
            </w:r>
          </w:p>
        </w:tc>
        <w:tc>
          <w:tcPr>
            <w:tcW w:w="18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123</w:t>
            </w:r>
          </w:p>
        </w:tc>
        <w:tc>
          <w:tcPr>
            <w:tcW w:w="16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125</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128</w:t>
            </w:r>
          </w:p>
        </w:tc>
      </w:tr>
      <w:tr>
        <w:trPr>
          <w:trHeight w:val="191"/>
        </w:trPr>
        <w:tc>
          <w:tcPr>
            <w:tcW w:w="2940" w:type="dxa"/>
            <w:vAlign w:val="bottom"/>
          </w:tcPr>
          <w:p>
            <w:pPr>
              <w:jc w:val="right"/>
              <w:ind w:right="2457"/>
              <w:spacing w:after="0" w:line="191" w:lineRule="exact"/>
              <w:rPr>
                <w:sz w:val="20"/>
                <w:szCs w:val="20"/>
                <w:color w:val="auto"/>
              </w:rPr>
            </w:pPr>
            <w:r>
              <w:rPr>
                <w:rFonts w:ascii="Courier New" w:cs="Courier New" w:eastAsia="Courier New" w:hAnsi="Courier New"/>
                <w:sz w:val="17"/>
                <w:szCs w:val="17"/>
                <w:color w:val="auto"/>
                <w:w w:val="93"/>
              </w:rPr>
              <w:t>1992</w:t>
            </w:r>
          </w:p>
        </w:tc>
        <w:tc>
          <w:tcPr>
            <w:tcW w:w="1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136</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165</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130</w:t>
            </w:r>
          </w:p>
        </w:tc>
      </w:tr>
      <w:tr>
        <w:trPr>
          <w:trHeight w:val="191"/>
        </w:trPr>
        <w:tc>
          <w:tcPr>
            <w:tcW w:w="2940" w:type="dxa"/>
            <w:vAlign w:val="bottom"/>
          </w:tcPr>
          <w:p>
            <w:pPr>
              <w:jc w:val="right"/>
              <w:ind w:right="2457"/>
              <w:spacing w:after="0" w:line="191" w:lineRule="exact"/>
              <w:rPr>
                <w:sz w:val="20"/>
                <w:szCs w:val="20"/>
                <w:color w:val="auto"/>
              </w:rPr>
            </w:pPr>
            <w:r>
              <w:rPr>
                <w:rFonts w:ascii="Courier New" w:cs="Courier New" w:eastAsia="Courier New" w:hAnsi="Courier New"/>
                <w:sz w:val="17"/>
                <w:szCs w:val="17"/>
                <w:color w:val="auto"/>
                <w:w w:val="93"/>
              </w:rPr>
              <w:t>1993</w:t>
            </w:r>
          </w:p>
        </w:tc>
        <w:tc>
          <w:tcPr>
            <w:tcW w:w="1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392</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238</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156</w:t>
            </w:r>
          </w:p>
        </w:tc>
      </w:tr>
      <w:tr>
        <w:trPr>
          <w:trHeight w:val="191"/>
        </w:trPr>
        <w:tc>
          <w:tcPr>
            <w:tcW w:w="2940" w:type="dxa"/>
            <w:vAlign w:val="bottom"/>
          </w:tcPr>
          <w:p>
            <w:pPr>
              <w:jc w:val="right"/>
              <w:ind w:right="2457"/>
              <w:spacing w:after="0" w:line="191" w:lineRule="exact"/>
              <w:rPr>
                <w:sz w:val="20"/>
                <w:szCs w:val="20"/>
                <w:color w:val="auto"/>
              </w:rPr>
            </w:pPr>
            <w:r>
              <w:rPr>
                <w:rFonts w:ascii="Courier New" w:cs="Courier New" w:eastAsia="Courier New" w:hAnsi="Courier New"/>
                <w:sz w:val="17"/>
                <w:szCs w:val="17"/>
                <w:color w:val="auto"/>
                <w:w w:val="93"/>
              </w:rPr>
              <w:t>1994</w:t>
            </w:r>
          </w:p>
        </w:tc>
        <w:tc>
          <w:tcPr>
            <w:tcW w:w="1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467</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163</w:t>
            </w:r>
          </w:p>
        </w:tc>
      </w:tr>
      <w:tr>
        <w:trPr>
          <w:trHeight w:val="191"/>
        </w:trPr>
        <w:tc>
          <w:tcPr>
            <w:tcW w:w="2940" w:type="dxa"/>
            <w:vAlign w:val="bottom"/>
          </w:tcPr>
          <w:p>
            <w:pPr>
              <w:jc w:val="right"/>
              <w:ind w:right="2457"/>
              <w:spacing w:after="0" w:line="191" w:lineRule="exact"/>
              <w:rPr>
                <w:sz w:val="20"/>
                <w:szCs w:val="20"/>
                <w:color w:val="auto"/>
              </w:rPr>
            </w:pPr>
            <w:r>
              <w:rPr>
                <w:rFonts w:ascii="Courier New" w:cs="Courier New" w:eastAsia="Courier New" w:hAnsi="Courier New"/>
                <w:sz w:val="17"/>
                <w:szCs w:val="17"/>
                <w:color w:val="auto"/>
                <w:w w:val="93"/>
              </w:rPr>
              <w:t>1995</w:t>
            </w:r>
          </w:p>
        </w:tc>
        <w:tc>
          <w:tcPr>
            <w:tcW w:w="1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1066</w:t>
            </w:r>
          </w:p>
        </w:tc>
        <w:tc>
          <w:tcPr>
            <w:tcW w:w="1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364</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212</w:t>
            </w:r>
          </w:p>
        </w:tc>
      </w:tr>
      <w:tr>
        <w:trPr>
          <w:trHeight w:val="574"/>
        </w:trPr>
        <w:tc>
          <w:tcPr>
            <w:tcW w:w="2940" w:type="dxa"/>
            <w:vAlign w:val="bottom"/>
          </w:tcPr>
          <w:p>
            <w:pPr>
              <w:spacing w:after="0"/>
              <w:rPr>
                <w:sz w:val="24"/>
                <w:szCs w:val="24"/>
                <w:color w:val="auto"/>
              </w:rPr>
            </w:pPr>
          </w:p>
        </w:tc>
        <w:tc>
          <w:tcPr>
            <w:tcW w:w="18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7</w:t>
            </w:r>
          </w:p>
        </w:tc>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19"/>
          </w:cols>
          <w:pgMar w:left="240" w:top="301"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spacing w:after="0" w:line="190"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7"/>
          <w:szCs w:val="17"/>
          <w:color w:val="auto"/>
        </w:rPr>
        <w:t>ITEM 2 --</w:t>
      </w:r>
      <w:r>
        <w:rPr>
          <w:sz w:val="20"/>
          <w:szCs w:val="20"/>
          <w:color w:val="auto"/>
        </w:rPr>
        <w:tab/>
      </w:r>
      <w:r>
        <w:rPr>
          <w:rFonts w:ascii="Courier New" w:cs="Courier New" w:eastAsia="Courier New" w:hAnsi="Courier New"/>
          <w:sz w:val="16"/>
          <w:szCs w:val="16"/>
          <w:color w:val="auto"/>
        </w:rPr>
        <w:t>PROPOSED AMENDMENT TO THE COHU, INC.</w:t>
      </w:r>
    </w:p>
    <w:p>
      <w:pPr>
        <w:ind w:left="1500"/>
        <w:spacing w:after="0" w:line="238" w:lineRule="auto"/>
        <w:rPr>
          <w:sz w:val="20"/>
          <w:szCs w:val="20"/>
          <w:color w:val="auto"/>
        </w:rPr>
      </w:pPr>
      <w:r>
        <w:rPr>
          <w:rFonts w:ascii="Courier New" w:cs="Courier New" w:eastAsia="Courier New" w:hAnsi="Courier New"/>
          <w:sz w:val="17"/>
          <w:szCs w:val="17"/>
          <w:color w:val="auto"/>
        </w:rPr>
        <w:t>AMENDED AND RESTATED CERTIFICATE OF INCORPORATION</w:t>
      </w:r>
    </w:p>
    <w:p>
      <w:pPr>
        <w:ind w:left="2180"/>
        <w:spacing w:after="0" w:line="238" w:lineRule="auto"/>
        <w:rPr>
          <w:sz w:val="20"/>
          <w:szCs w:val="20"/>
          <w:color w:val="auto"/>
        </w:rPr>
      </w:pPr>
      <w:r>
        <w:rPr>
          <w:rFonts w:ascii="Courier New" w:cs="Courier New" w:eastAsia="Courier New" w:hAnsi="Courier New"/>
          <w:sz w:val="17"/>
          <w:szCs w:val="17"/>
          <w:color w:val="auto"/>
        </w:rPr>
        <w:t>TO INCREASE AUTHORIZED COMMON SHARES</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Board of Directors is requesting stockholder approval of an amendment to the Company's Amended and Restated Certificate of Incorporation to increase the number of shares of Common Stock authorized for issuance from 10,000,000 to 25,000,000.</w:t>
      </w:r>
    </w:p>
    <w:p>
      <w:pPr>
        <w:spacing w:after="0" w:line="199"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Board of Directors consider it advisable to have the additional shares available for possible future stock dividends or stock splits, for issuance under the Company's stock option plans and for other corporate purposes, although the Company has no present plans which would result in the issuance of new shares of Common Stock, except through the Company's stock option plans.</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this amendment is adopted, the additional shares of Common Stock may be issued by direction of the Board of Directors at such times, in such amounts and upon such terms as the Board of Directors may determine, without further approval of the stockholders unless, in any instance, such approval is expressly required by regulatory agencies or otherwise. Stockholders of the Company have no preemptive rights to purchase additional shares. The adoption of the amendment will not of itself cause any change in the capital accounts of the Company. However, the issuance of additional shares of Common Stock would dilute the existing stockholders' equity interest in the Company.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RECOMMENDS APPROVAL</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recommends that the stockholders approve the proposed amendment to the Cohu, Inc. amended and restated certificate of incorporation to increase authorized common shares. THE AFFIRMATIVE VOTE OF THE HOLDERS OF A MAJORITY OF THE COMPANY'S OUTSTANDING COMMON STOCK VOTING IN PERSON OR BY PROXY AT THE MEETING (PROVIDED A QUORUM IS PRESENT) IS REQUIRED TO APPROVE SUCH AMENDMENT.</w:t>
      </w:r>
    </w:p>
    <w:p>
      <w:pPr>
        <w:spacing w:after="0" w:line="19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7"/>
          <w:szCs w:val="17"/>
          <w:color w:val="auto"/>
        </w:rPr>
        <w:t>ITEM 3 --</w:t>
      </w:r>
      <w:r>
        <w:rPr>
          <w:sz w:val="20"/>
          <w:szCs w:val="20"/>
          <w:color w:val="auto"/>
        </w:rPr>
        <w:tab/>
      </w:r>
      <w:r>
        <w:rPr>
          <w:rFonts w:ascii="Courier New" w:cs="Courier New" w:eastAsia="Courier New" w:hAnsi="Courier New"/>
          <w:sz w:val="16"/>
          <w:szCs w:val="16"/>
          <w:color w:val="auto"/>
        </w:rPr>
        <w:t>APPROVAL OF THE COHU, INC. 1996 STOCK OPTION PLAN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has approved and recommended for adoption the 1996 Stock Option Plan (the "1996 Plan"). The affirmative vote of the holders of a majority of the outstanding shares of Common Stock voting in person or by proxy at the meeting (provided a quorum is present) will be required to approve the adoption of the 1996 Plan. A copy of the 1996 Plan is attached to this Proxy Statement as Exhibit A and stockholders are encouraged to review the plan in its entirety. Any discrepancy between the language of the 1996 Plan and the summary provided herein shall be resolved in favor of the plan language.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1996 Plan was adopted by the Board of Directors to make available additional shares of stock to enable selected officers, directors (who are also employees) and employees to purchase the Common Stock of the Company, which will assist the Company in retaining the services of employees holding key positions with the Company and attracting new employees capable of filling key positions with the Company, and to provide an incentive for such employees. All shares of Common Stock of the Company reserved for issuance pursuant to prior stock option plans have been granted as of the date of this proxy statement.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1996 Plan will be administered by the Cohu, Inc. Executive Compensation Committee (the "Committee"). In order to exempt the grant of options to executive officers from the reporting requirements and short swing profit liability imposed by Section 16 of the Securities Exchange Act of 1934, as amended (the "Exchange Act"), each of the members of the Committee must be "disinterested" (within the meaning of Rule 16b-3 promulgated by the Securities and Exchange Commission under the Exchange Act). The Committee will have final power to construe and interpret the 1996 Plan and to grant options thereunder, and to determine all questions that may arise in the administration of the 1996 Plan. The Committee has been</w:t>
      </w:r>
    </w:p>
    <w:p>
      <w:pPr>
        <w:sectPr>
          <w:pgSz w:w="11900" w:h="16838" w:orient="portrait"/>
          <w:cols w:equalWidth="0" w:num="1">
            <w:col w:w="10219"/>
          </w:cols>
          <w:pgMar w:left="240" w:top="301" w:right="1440" w:bottom="1440" w:gutter="0" w:footer="0" w:header="0"/>
        </w:sectPr>
      </w:pP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1"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authorized by the Board to determine the persons to whom and the dates on which options will be granted, the number of shares to be subject thereto, the time or times during the term of each option within which all or a portion of such option may be exercised, and all other terms of the options. The Committee shall have the right to adopt, amend, and repeal rules and regulations concerning the administration of the 1996 Plan.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 AMENDMENT AND TERMINATION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or the Committee may suspend or terminate the 1996 Plan at any time. The term of the 1996 Plan shall commence on the date of its approval by the Board, provided that the 1996 Plan is approved by a majority of the stockholders of the Company within one (1) year thereafter. Unless sooner terminated by the Committee, the term of the 1996 Plan shall be for ten (10) years from the commencement date. Termination of the 1996 Plan shall not affect any rights previously granted thereunder. The Committee may terminate, modify or amend the 1996 Plan from time to time, provided that the affirmative vote of the holders of a majority of the outstanding shares of the Company would be required with respect to any amendment which would (1) increase the number of shares of Common Stock reserved for issuance upon exercise of options pursuant to the 1996 Plan; (2) materially modify the requirements relating to eligibility for participation in the 1996 Plan; or (3) change any provision of the 1996 Plan in a manner that would materially increase the benefits accruing to participants thereunder.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ELIGIBILITY</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Stock Options may be granted only to employees (including officers and directors who are also employees) of the Corporation or its parent or subsidiaries or to individuals who are rendering services as consultants, advisors, or other independent contractors to the Corporation or its parent or subsidiaries.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 incentive stock option may be granted to a person who, at the time of the grant, owns, directly or indirectly, stock constituting more than ten percent (10%) of the total combined voting power of all classes of stock of the Company entitled to vote or of any parent or subsidiary thereof, unless the exercise price of the stock subject to the option is at least one hundred and ten percent (110%) of the fair market value of such stock on the date the option is granted and the term of the option does not exceed five (5) years from the date of grant.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RESERVED FOR ISSUANCE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 total of 450,000 shares of the $1.00 par value Common Stock of the Company shall be reserved for issuance pursuant to the 1996 Plan, subject to adjustment in the event of stock dividends, splits, subdivisions or combinations. Subject to shareholder approval of the 1996 Plan, the Committee granted options under the 1996 Plan on February 15, 1996 for an aggregate of 35,000 shares to Messrs. Allen and Schwan and 6,332 for all other employees as a group.</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OF OPTIONS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Set forth below is a description of terms of options granted pursuant to the 1996 Plan, provided, however, that individual option grants in any particular case may be more restrictive as to any or all of the terms described below.</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 PRICE. The purchase price per share deliverable upon the exercise of an incentive stock option shall not be less than the fair market value of a share on the date of grant. The purchase price per share deliverable upon the exercise of an incentive stock option granted to a person, who at the time of grant, owns directly or indirectly, stock constituting more than ten percent (10%) of the total combined voting power of all classes of stock of the Company entitled to vote (or a parent or subsidiary thereof), must be at least one hundred and ten percent (110%) of the fair market value of such stock on the date the option was granted. The Purchase Price per Share deliverable upon exercise of a Nonqualified Stock Option shall be not less than the Fair Market Value of a Share on the Date of Grant of the Nonqualified Stock Option except that the purchase price for no more than 5% of the shares under the plan can be determined by the Committee in its sole discretion. The exercise price of options granted under the 1996 Plan may be paid either (i) in cash at the time the option is</w:t>
      </w:r>
    </w:p>
    <w:p>
      <w:pPr>
        <w:sectPr>
          <w:pgSz w:w="11900" w:h="16838" w:orient="portrait"/>
          <w:cols w:equalWidth="0" w:num="1">
            <w:col w:w="10219"/>
          </w:cols>
          <w:pgMar w:left="240" w:top="301" w:right="1440" w:bottom="1058" w:gutter="0" w:footer="0" w:header="0"/>
        </w:sect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1" w:right="1440" w:bottom="1058"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exercised, or (ii) at the discretion of the Committee, by delivery to the Company of other Common Stock of the Company owned by the optionee.</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B. OPTION EXERCISE. A stock option may be exercisable, in part or in full, at any time and from time to time twelve months after the date of grant and during an exercise period, and may be subject to such performance criteria, and conditions as shall be determined by the Committee on a case-by-case basis and such exercise period and restrictions shall be described in the agreement evidencing the stock option. The exercise period applicable to any incentive stock option shall not exceed ten (10) years from the date of grant and in certain circumstances may not exceed five (5) years, as described above. The Committee may accelerate the times at which a stock option may be exercised.</w:t>
      </w:r>
    </w:p>
    <w:p>
      <w:pPr>
        <w:spacing w:after="0" w:line="18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C. NONASSIGNABILITY. No option may be transferred by an optionee other than by will or by the laws of descent and distribution. During the lifetime of an optionee, an option may be exercised only by the optionee.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 EXPIRATION FOLLOWING TERMINATION OF EMPLOYMENT. Under the 1996 Plan, an option will terminate immediately upon the optionee ceasing to be employed by the Company or a parent or subsidiary thereof, unless the option by its terms specifically provides otherwise. If termination is due to disability of the optionee, the optionee or his or her legal representative will have no more than three (3) months from the date of disability to exercise the option. If the termination is due to the death of the optionee, his or her legal representatives will have no more than one (1) year from the date of death to exercise the option, to the extent such option was exercisable on the date of death.</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ADJUSTMENT PROVISIONS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there is a change in the Common Stock subject to the 1996 Plan through recapitalization, stock dividend, stock split, combination or otherwise, the Committee may make appropriate adjustments to the maximum number of shares subject to the 1996 Plan and shall make appropriate adjustments to the price per share of stock subject to the 1996 Plan and to any outstanding options thereunder.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REORGANIZATION</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A Reorganization shall be deemed to have occurred when the Company and/or its stockholders enter into an agreement to dispose of all or substantially all of the assets of the Company or an amount of the outstanding stock of the Company sufficient to constitute effective control of the Company by means of a sale, merger, reorganization, separation, liquidation or any other transaction. In the event of a Reorganization,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w:t>
      </w:r>
    </w:p>
    <w:p>
      <w:pPr>
        <w:spacing w:after="0" w:line="2" w:lineRule="exact"/>
        <w:rPr>
          <w:sz w:val="20"/>
          <w:szCs w:val="20"/>
          <w:color w:val="auto"/>
        </w:rPr>
      </w:pPr>
    </w:p>
    <w:p>
      <w:pPr>
        <w:ind w:right="2259" w:firstLine="2"/>
        <w:spacing w:after="0" w:line="237" w:lineRule="auto"/>
        <w:tabs>
          <w:tab w:leader="none" w:pos="49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prior to the date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FEDERAL INCOME TAX CONSEQUENCES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summary of the federal income tax consequences to participants and the Company of the acquisition and disposition of shares under the 1996 Plan does not purport to be complete and participants in the 1996 Plan should refer to the applicable provisions of the Code. The summary does not address other taxes that may affect an individual such as state and local income taxes, federal and state estate, inheritance and gift taxes and foreign taxes. Furthermore, the tax consequences described below are complex and subject to change, and a taxpayer's personal situation may be such that some variation of the described rules applies.</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may deduct from amounts otherwise due an optionee under a stock option or from any wages or other compensation payable to such optionee any sums required by federal, state or local tax to be withheld with respect to the exercise or disposition of any option or other right, or require the optionee to pay</w:t>
      </w:r>
    </w:p>
    <w:p>
      <w:pPr>
        <w:sectPr>
          <w:pgSz w:w="11900" w:h="16838" w:orient="portrait"/>
          <w:cols w:equalWidth="0" w:num="1">
            <w:col w:w="10219"/>
          </w:cols>
          <w:pgMar w:left="240" w:top="301" w:right="1440" w:bottom="1058" w:gutter="0" w:footer="0" w:header="0"/>
        </w:sectPr>
      </w:pP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1" w:right="1440" w:bottom="1058"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such sums as a condition of the issuance of shares. The 1996 Plan is not qualified under Internal Revenue Code Section 401(a) and is not subject to the provisions of the Employee Retirement Income Security Act of 1974.</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grant of a nonqualified stock option will not result in taxable income to the optionee at the time of grant, and ordinary income will be realized by an optionee at the time of exercise of a nonqualified option in the amount by which the fair market value of the Common Stock on the date of exercise exceeds the exercise price. The Company will be entitled to a deduction from income for federal income tax purposes in amount equal to the ordinary income recognized by the optionee in such case. Any subsequent disposition of the shares acquired pursuant to a nonqualified option will result in gain or loss to the optionee in an amount equal to the difference between the sale price and the market price at date of exercise.</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With respect to incentive stock options, the excess of the fair market value of stock received upon exercise over the exercise price is taken into account for purposes of the alternative minimum tax described under Section 55 of the Internal Revenue Code of 1986, as amended (the "Code"). Otherwise, there are generally no tax consequences to either the Company or an optionee connected with the grant or the exercise of an incentive stock option. If the stock acquired under an incentive stock option is not disposed of within two (2) years from the date of grant nor within one (1) year from the date of exercise, any gain on the sale thereof will generally be treated as long term capital gain to the optionee, with no tax consequences to the Company. If the stock is sold prior to such time, the optionee will recognize at the time of sale ordinary income equal to the lesser of the gain on the sale or the difference between the option price and the fair market value of the stock on the date of exercise, and any additional gain will be long term or short term capital gain, depending upon the holding period. The Company may have a tax deduction equal to the ordinary income recognized by the optionee.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RECOMMENDS APPROVAL</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Board of Directors has adopted and recommends that the stockholders approve the 1996 Plan. THE AFFIRMATIVE VOTE OF THE HOLDERS OF A MAJORITY OF THE COMPANY'S OUTSTANDING COMMON STOCK VOTING IN PERSON OR BY PROXY AT THE MEETING (PROVIDED A QUORUM IS PRESENT) IS REQUIRED TO APPROVE THE 1996 PLAN.</w:t>
      </w:r>
    </w:p>
    <w:p>
      <w:pPr>
        <w:spacing w:after="0" w:line="192"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June 1994 the Company acquired Daymarc Corporation, currently Daymarc, Inc, ("Daymarc") a wholly-owned subsidiary of the Company. Pursuant to the related Agreement and Plan of Merger dated June 16, 1994 the Company is obligated to pay to Nicholas J. Cedrone, the former owner of Daymarc Corporation and a current shareholder and employee of the Company, a specified percentage of the profits of Daymarc through June 1998. Such payments are payable in shares of Cohu, Inc Common Stock and totaled approximately $1,593,000 in 1995. Mr. Cedrone is currently a Vice President of Daymarc and pursuant to an Employment Agreement dated June 16, 1994 receives an annual salary of $168,000 through June 1998 and is entitled to a specified percentage of the profits of Daymarc through that date. The amount earned in 1995 and paid in 1996 pursuant to this profit provision was approximately $597,000. In 1995 under an Agreement and Covenant Not To Compete dated June 16, 1994 entered into in connection with the Daymarc acquisition, Mr. Cedrone was paid approximately $996,000. The Company is obligated under a facility lease with Mr. Cedrone through June 1998. Rental payments made in 1995 to Mr. Cedrone under this lease totaled approximately $363,000.</w:t>
      </w:r>
    </w:p>
    <w:p>
      <w:pPr>
        <w:spacing w:after="0" w:line="203"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INDEPENDENT AUDITORS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Ernst &amp; Young LLP has served as the Company's auditors continuously since 1957 and the Board has selected this firm to serve as independent auditors for the current year. A representative of Ernst &amp; Young LLP will be present at the stockholders' meeting and be available for appropriate questions, and may make a statement if he desires to do so.</w:t>
      </w:r>
    </w:p>
    <w:p>
      <w:pPr>
        <w:sectPr>
          <w:pgSz w:w="11900" w:h="16838" w:orient="portrait"/>
          <w:cols w:equalWidth="0" w:num="1">
            <w:col w:w="10219"/>
          </w:cols>
          <w:pgMar w:left="240" w:top="301" w:right="1440" w:bottom="1440" w:gutter="0" w:footer="0" w:header="0"/>
        </w:sectPr>
      </w:pP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1"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14</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During 1995, Messrs. Davis, Casari and Leary served as members of the Executive Compensation Committee. None of the Executive Compensation Committee members or Named Executive Officers have any relationships which must be disclosed under this caption.</w:t>
      </w:r>
    </w:p>
    <w:p>
      <w:pPr>
        <w:spacing w:after="0" w:line="192"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COMPLIANCE WITH SECTION 16(A) OF THE EXCHANGE ACT</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16(a) of the Exchange Act requires that the Company's executive officers and directors, and persons who own more than ten percent of a registered class of the Company's equity securities, to file an initial report of ownership on Form 3 and changes in ownership on Form 4 or 5 with the Securities and Exchange Commission (the "SEC") and The Nasdaq National Market System. Such officers, directors and ten-percent shareholders are also required by SEC rules to furnish the Company with copies of all Section 16(a) forms they file.</w:t>
      </w:r>
    </w:p>
    <w:p>
      <w:pPr>
        <w:spacing w:after="0" w:line="200"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Based solely on its review of the copies of such forms received by it, or written representations from certain reporting persons that no Forms 5 were required for such persons, the Company believes that during the year ended December 31, 1995 its executive officers, directors and ten-percent shareholders complied with all Section 16(a) filing requirements applicable to them.</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OTHER MATTERS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is unaware of any other business to be presented for consideration at the stockholders'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9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All stockholder proposals must be submitted to the Secretary of the Company no later than November 30, 1996 in order to be considered for inclusion in the Company's 1997 proxy materials.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This solicitation is made by the Board of Directors of the Company. Proxies will be solicited by mail and may be solicited in person or by telephone, facsimile transmission or telegraph. Directors and officers may engage in such solicitation but will not be entitled to any additional compensation for such efforts. The Company has retained Georgeson &amp; Co. in New York to aid in the solicitation of proxies at an anticipated cost of $6,000, including expenses. The Company will bear the entire cost of the solicitation.</w:t>
      </w:r>
    </w:p>
    <w:p>
      <w:pPr>
        <w:spacing w:after="0" w:line="199"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Board of Directors invites you to attend the meeting in person. However, if you are unable to do so, please sign, date and return the enclosed proxy promptly.</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John H. Allen</w:t>
      </w:r>
    </w:p>
    <w:p>
      <w:pPr>
        <w:ind w:left="4180"/>
        <w:spacing w:after="0" w:line="238" w:lineRule="auto"/>
        <w:rPr>
          <w:sz w:val="20"/>
          <w:szCs w:val="20"/>
          <w:color w:val="auto"/>
        </w:rPr>
      </w:pPr>
      <w:r>
        <w:rPr>
          <w:rFonts w:ascii="Courier New" w:cs="Courier New" w:eastAsia="Courier New" w:hAnsi="Courier New"/>
          <w:sz w:val="17"/>
          <w:szCs w:val="17"/>
          <w:color w:val="auto"/>
        </w:rPr>
        <w:t>Secretary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 Diego, California</w:t>
      </w:r>
    </w:p>
    <w:p>
      <w:pPr>
        <w:spacing w:after="0" w:line="238" w:lineRule="auto"/>
        <w:rPr>
          <w:sz w:val="20"/>
          <w:szCs w:val="20"/>
          <w:color w:val="auto"/>
        </w:rPr>
      </w:pPr>
      <w:r>
        <w:rPr>
          <w:rFonts w:ascii="Courier New" w:cs="Courier New" w:eastAsia="Courier New" w:hAnsi="Courier New"/>
          <w:sz w:val="17"/>
          <w:szCs w:val="17"/>
          <w:color w:val="auto"/>
        </w:rPr>
        <w:t>April 1, 1996</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1"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15</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EXHIBIT A</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COHU, INC.</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1996 STOCK OPTION PLAN</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Cohu, Inc. 1996 Stock Option Plan is hereby adopted for the benefit of officers, directors (who are also employees), service providers and key employees of Cohu, Inc., a Delaware corporation and its parent or subsidiaries, if any.</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Purpose. The purpose of the Plan is to advance the growth and prosperity of the Corporation and its stockholders by providing to officers, directors, service providers and key employees of the Corporation an incentive to serve the Corporation. By encouraging and enabling such persons to become owners of capital stock of the Corporation, the Corporation seeks to attract and retain persons of training, experience and ability and to furnish additional incentives to those persons upon whose judgment, initiative and efforts the successful conduct of the Corporation's business depends. It is the intention of the Corporation that this objective will be accomplished through the granting of incentive stock options and nonqualified stock options to certain officers, directors, service providers and key employees of the Corporation.</w:t>
      </w:r>
    </w:p>
    <w:p>
      <w:pPr>
        <w:spacing w:after="0" w:line="203" w:lineRule="exact"/>
        <w:rPr>
          <w:sz w:val="20"/>
          <w:szCs w:val="20"/>
          <w:color w:val="auto"/>
        </w:rPr>
      </w:pPr>
    </w:p>
    <w:p>
      <w:pPr>
        <w:ind w:right="3059" w:firstLine="499"/>
        <w:spacing w:after="0" w:line="235" w:lineRule="auto"/>
        <w:tabs>
          <w:tab w:leader="none" w:pos="796"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herein, the following terms shall have the corresponding meanings.</w:t>
      </w:r>
    </w:p>
    <w:p>
      <w:pPr>
        <w:spacing w:after="0" w:line="197" w:lineRule="exact"/>
        <w:rPr>
          <w:sz w:val="20"/>
          <w:szCs w:val="20"/>
          <w:color w:val="auto"/>
        </w:rPr>
      </w:pPr>
    </w:p>
    <w:p>
      <w:pPr>
        <w:ind w:left="500" w:right="2559" w:firstLine="497"/>
        <w:spacing w:after="0" w:line="236" w:lineRule="auto"/>
        <w:rPr>
          <w:sz w:val="20"/>
          <w:szCs w:val="20"/>
          <w:color w:val="auto"/>
        </w:rPr>
      </w:pPr>
      <w:r>
        <w:rPr>
          <w:rFonts w:ascii="Courier New" w:cs="Courier New" w:eastAsia="Courier New" w:hAnsi="Courier New"/>
          <w:sz w:val="17"/>
          <w:szCs w:val="17"/>
          <w:color w:val="auto"/>
        </w:rPr>
        <w:t>2.1 "Committee" shall mean the Cohu, Inc. Executive Compensation Committee, appointed by the Board of Directors of the Corporation. If no such Committee is appointed, the entire Board of Directors of the Corporation shall be deemed to constitute the Committee.</w:t>
      </w:r>
    </w:p>
    <w:p>
      <w:pPr>
        <w:spacing w:after="0" w:line="199"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2.2 "Corporation" shall mean Cohu, Inc. and any successor corporation thereto and/or its parent or subsidiaries, if any, as the context requires. The terms "parent" and "subsidiary" shall mean any existing or future corporation which would be a parent or subsidiary corporation of the Corporation, as those terms are defined in Section 424 of the Internal Revenue Code of 1986, as amended, and the Treasury Regulations promulgated thereunder (the "Code").</w:t>
      </w:r>
    </w:p>
    <w:p>
      <w:pPr>
        <w:spacing w:after="0" w:line="199"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2.3 "Date of Grant" shall mean the date of grant of a Stock Option granted hereunder as set forth in the Stock Option Agreement. In the event of a grant conditioned, among other things, upon stockholder ratification of this Plan, the date of such conditional grant shall be the Date of Grant for purposes of this Plan.</w:t>
      </w:r>
    </w:p>
    <w:p>
      <w:pPr>
        <w:spacing w:after="0" w:line="197" w:lineRule="exact"/>
        <w:rPr>
          <w:sz w:val="20"/>
          <w:szCs w:val="20"/>
          <w:color w:val="auto"/>
        </w:rPr>
      </w:pPr>
    </w:p>
    <w:p>
      <w:pPr>
        <w:ind w:left="500" w:right="2359" w:firstLine="497"/>
        <w:spacing w:after="0" w:line="237" w:lineRule="auto"/>
        <w:rPr>
          <w:sz w:val="20"/>
          <w:szCs w:val="20"/>
          <w:color w:val="auto"/>
        </w:rPr>
      </w:pPr>
      <w:r>
        <w:rPr>
          <w:rFonts w:ascii="Courier New" w:cs="Courier New" w:eastAsia="Courier New" w:hAnsi="Courier New"/>
          <w:sz w:val="17"/>
          <w:szCs w:val="17"/>
          <w:color w:val="auto"/>
        </w:rPr>
        <w:t>2.4 "Employee" shall mean any common-law employee of the Corporation. The determination of whether or not a person is an Employee of the Corporation with respect to the grant or exercise of an Incentive Stock Option shall be made in accordance with the rule of Income Tax Regulation Section 1.421-7(h) (or successor regulation).</w:t>
      </w:r>
    </w:p>
    <w:p>
      <w:pPr>
        <w:spacing w:after="0" w:line="197" w:lineRule="exact"/>
        <w:rPr>
          <w:sz w:val="20"/>
          <w:szCs w:val="20"/>
          <w:color w:val="auto"/>
        </w:rPr>
      </w:pPr>
    </w:p>
    <w:p>
      <w:pPr>
        <w:ind w:left="500" w:right="2259" w:firstLine="497"/>
        <w:spacing w:after="0" w:line="237" w:lineRule="auto"/>
        <w:rPr>
          <w:sz w:val="20"/>
          <w:szCs w:val="20"/>
          <w:color w:val="auto"/>
        </w:rPr>
      </w:pPr>
      <w:r>
        <w:rPr>
          <w:rFonts w:ascii="Courier New" w:cs="Courier New" w:eastAsia="Courier New" w:hAnsi="Courier New"/>
          <w:sz w:val="17"/>
          <w:szCs w:val="17"/>
          <w:color w:val="auto"/>
        </w:rPr>
        <w:t>2.5 "Fair Market Value" shall mean, with respect to the exercise of an option under the Plan, (a) if the Common Stock is listed on a national securities exchange or the NASDAQ National Market System, the closing price of the Common Stock for the business day immediately preceding the day for which the determination is being made, or (b) if the Common Stock is not then listed on an exchange, the average of the closing bid and asked prices per share for the Common Stock in the over-the-counter market as quoted on NASDAQ for the business day immediately preceding the day for which the determination is being made, or (c) if the Common Stock is not then listed on any exchange or quoted on NASDAQ, an amount determined in good faith by the Board of Directors to be the fair market value of the Common Stock, after consideration of all relevant factors.</w:t>
      </w:r>
    </w:p>
    <w:p>
      <w:pPr>
        <w:spacing w:after="0" w:line="204" w:lineRule="exact"/>
        <w:rPr>
          <w:sz w:val="20"/>
          <w:szCs w:val="20"/>
          <w:color w:val="auto"/>
        </w:rPr>
      </w:pPr>
    </w:p>
    <w:p>
      <w:pPr>
        <w:ind w:left="500" w:right="2259" w:firstLine="497"/>
        <w:spacing w:after="0" w:line="236" w:lineRule="auto"/>
        <w:rPr>
          <w:sz w:val="20"/>
          <w:szCs w:val="20"/>
          <w:color w:val="auto"/>
        </w:rPr>
      </w:pPr>
      <w:r>
        <w:rPr>
          <w:rFonts w:ascii="Courier New" w:cs="Courier New" w:eastAsia="Courier New" w:hAnsi="Courier New"/>
          <w:sz w:val="17"/>
          <w:szCs w:val="17"/>
          <w:color w:val="auto"/>
        </w:rPr>
        <w:t>2.6 "Holder" shall mean any person entitled to exercise a Stock Option pursuant to the terms of the Plan, provided that no director who is not also an Employee may be a Holder.</w:t>
      </w:r>
    </w:p>
    <w:p>
      <w:pPr>
        <w:spacing w:after="0" w:line="197" w:lineRule="exact"/>
        <w:rPr>
          <w:sz w:val="20"/>
          <w:szCs w:val="20"/>
          <w:color w:val="auto"/>
        </w:rPr>
      </w:pPr>
    </w:p>
    <w:p>
      <w:pPr>
        <w:ind w:left="500" w:right="2459" w:firstLine="497"/>
        <w:spacing w:after="0" w:line="236" w:lineRule="auto"/>
        <w:rPr>
          <w:sz w:val="20"/>
          <w:szCs w:val="20"/>
          <w:color w:val="auto"/>
        </w:rPr>
      </w:pPr>
      <w:r>
        <w:rPr>
          <w:rFonts w:ascii="Courier New" w:cs="Courier New" w:eastAsia="Courier New" w:hAnsi="Courier New"/>
          <w:sz w:val="17"/>
          <w:szCs w:val="17"/>
          <w:color w:val="auto"/>
        </w:rPr>
        <w:t>2.7 "Incentive Stock Option" shall mean a Stock Option which is intended to qualify for tax treatment as an incentive stock option under Section 422 of the Code. An Incentive Stock Option may only be granted to an Employee.</w:t>
      </w:r>
    </w:p>
    <w:p>
      <w:pPr>
        <w:sectPr>
          <w:pgSz w:w="11900" w:h="16838" w:orient="portrait"/>
          <w:cols w:equalWidth="0" w:num="1">
            <w:col w:w="10219"/>
          </w:cols>
          <w:pgMar w:left="240" w:top="301" w:right="1440" w:bottom="1440" w:gutter="0" w:footer="0" w:header="0"/>
        </w:sectPr>
      </w:pP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1" w:right="1440"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16</w:t>
      </w:r>
    </w:p>
    <w:p>
      <w:pPr>
        <w:spacing w:after="0" w:line="196" w:lineRule="exact"/>
        <w:rPr>
          <w:sz w:val="20"/>
          <w:szCs w:val="20"/>
          <w:color w:val="auto"/>
        </w:rPr>
      </w:pPr>
    </w:p>
    <w:p>
      <w:pPr>
        <w:ind w:left="500" w:right="2259" w:firstLine="497"/>
        <w:spacing w:after="0" w:line="236" w:lineRule="auto"/>
        <w:rPr>
          <w:sz w:val="20"/>
          <w:szCs w:val="20"/>
          <w:color w:val="auto"/>
        </w:rPr>
      </w:pPr>
      <w:r>
        <w:rPr>
          <w:rFonts w:ascii="Courier New" w:cs="Courier New" w:eastAsia="Courier New" w:hAnsi="Courier New"/>
          <w:sz w:val="17"/>
          <w:szCs w:val="17"/>
          <w:color w:val="auto"/>
        </w:rPr>
        <w:t>2.8 "Nonqualified Stock Option" shall mean a Stock Option which is not intended to qualify for tax treatment as an Incentive Stock Option under Section 422 of the Code.</w:t>
      </w:r>
    </w:p>
    <w:p>
      <w:pPr>
        <w:spacing w:after="0" w:line="197" w:lineRule="exact"/>
        <w:rPr>
          <w:sz w:val="20"/>
          <w:szCs w:val="20"/>
          <w:color w:val="auto"/>
        </w:rPr>
      </w:pPr>
    </w:p>
    <w:p>
      <w:pPr>
        <w:ind w:left="500" w:right="2259" w:firstLine="497"/>
        <w:spacing w:after="0" w:line="235" w:lineRule="auto"/>
        <w:rPr>
          <w:sz w:val="20"/>
          <w:szCs w:val="20"/>
          <w:color w:val="auto"/>
        </w:rPr>
      </w:pPr>
      <w:r>
        <w:rPr>
          <w:rFonts w:ascii="Courier New" w:cs="Courier New" w:eastAsia="Courier New" w:hAnsi="Courier New"/>
          <w:sz w:val="17"/>
          <w:szCs w:val="17"/>
          <w:color w:val="auto"/>
        </w:rPr>
        <w:t>2.9 "Plan" shall mean the Cohu, Inc. 1996 Stock Option Plan, as herein adopted and as may be amended from time to time.</w:t>
      </w:r>
    </w:p>
    <w:p>
      <w:pPr>
        <w:spacing w:after="0" w:line="197" w:lineRule="exact"/>
        <w:rPr>
          <w:sz w:val="20"/>
          <w:szCs w:val="20"/>
          <w:color w:val="auto"/>
        </w:rPr>
      </w:pPr>
    </w:p>
    <w:p>
      <w:pPr>
        <w:ind w:left="500" w:right="2559" w:firstLine="497"/>
        <w:spacing w:after="0" w:line="235" w:lineRule="auto"/>
        <w:rPr>
          <w:sz w:val="20"/>
          <w:szCs w:val="20"/>
          <w:color w:val="auto"/>
        </w:rPr>
      </w:pPr>
      <w:r>
        <w:rPr>
          <w:rFonts w:ascii="Courier New" w:cs="Courier New" w:eastAsia="Courier New" w:hAnsi="Courier New"/>
          <w:sz w:val="17"/>
          <w:szCs w:val="17"/>
          <w:color w:val="auto"/>
        </w:rPr>
        <w:t>2.10 "Purchase Price" shall mean the price paid for Shares upon the exercise of a Stock Option granted hereunder.</w:t>
      </w:r>
    </w:p>
    <w:p>
      <w:pPr>
        <w:spacing w:after="0" w:line="197" w:lineRule="exact"/>
        <w:rPr>
          <w:sz w:val="20"/>
          <w:szCs w:val="20"/>
          <w:color w:val="auto"/>
        </w:rPr>
      </w:pPr>
    </w:p>
    <w:p>
      <w:pPr>
        <w:ind w:left="500" w:right="2459" w:firstLine="497"/>
        <w:spacing w:after="0" w:line="236" w:lineRule="auto"/>
        <w:rPr>
          <w:sz w:val="20"/>
          <w:szCs w:val="20"/>
          <w:color w:val="auto"/>
        </w:rPr>
      </w:pPr>
      <w:r>
        <w:rPr>
          <w:rFonts w:ascii="Courier New" w:cs="Courier New" w:eastAsia="Courier New" w:hAnsi="Courier New"/>
          <w:sz w:val="17"/>
          <w:szCs w:val="17"/>
          <w:color w:val="auto"/>
        </w:rPr>
        <w:t>2.11 "Shares" shall mean those shares of Common Stock of the Corporation which are available for issuance pursuant to the terms of the Plan.</w:t>
      </w:r>
    </w:p>
    <w:p>
      <w:pPr>
        <w:spacing w:after="0" w:line="197" w:lineRule="exact"/>
        <w:rPr>
          <w:sz w:val="20"/>
          <w:szCs w:val="20"/>
          <w:color w:val="auto"/>
        </w:rPr>
      </w:pPr>
    </w:p>
    <w:p>
      <w:pPr>
        <w:ind w:left="500" w:right="2459" w:firstLine="497"/>
        <w:spacing w:after="0" w:line="236" w:lineRule="auto"/>
        <w:rPr>
          <w:sz w:val="20"/>
          <w:szCs w:val="20"/>
          <w:color w:val="auto"/>
        </w:rPr>
      </w:pPr>
      <w:r>
        <w:rPr>
          <w:rFonts w:ascii="Courier New" w:cs="Courier New" w:eastAsia="Courier New" w:hAnsi="Courier New"/>
          <w:sz w:val="17"/>
          <w:szCs w:val="17"/>
          <w:color w:val="auto"/>
        </w:rPr>
        <w:t>2.12 "Stock Option" shall mean a stock option giving a Holder the right to purchase Shares. A Stock Option may be an Incentive Stock Option or a Nonqualified Stock Option.</w:t>
      </w:r>
    </w:p>
    <w:p>
      <w:pPr>
        <w:spacing w:after="0" w:line="197" w:lineRule="exact"/>
        <w:rPr>
          <w:sz w:val="20"/>
          <w:szCs w:val="20"/>
          <w:color w:val="auto"/>
        </w:rPr>
      </w:pPr>
    </w:p>
    <w:p>
      <w:pPr>
        <w:ind w:right="2259" w:firstLine="499"/>
        <w:spacing w:after="0" w:line="236" w:lineRule="auto"/>
        <w:tabs>
          <w:tab w:leader="none" w:pos="79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All Stock Options shall be granted, if at all, within ten (10) years from the earlier of the date the Plan is adopted by the Board of Directors of the Corporation and the date the Plan is duly approved by the stockholders of the Corporation.</w:t>
      </w:r>
    </w:p>
    <w:p>
      <w:pPr>
        <w:spacing w:after="0" w:line="198" w:lineRule="exact"/>
        <w:rPr>
          <w:rFonts w:ascii="Courier New" w:cs="Courier New" w:eastAsia="Courier New" w:hAnsi="Courier New"/>
          <w:sz w:val="17"/>
          <w:szCs w:val="17"/>
          <w:color w:val="auto"/>
        </w:rPr>
      </w:pPr>
    </w:p>
    <w:p>
      <w:pPr>
        <w:ind w:right="2259" w:firstLine="499"/>
        <w:spacing w:after="0" w:line="237" w:lineRule="auto"/>
        <w:tabs>
          <w:tab w:leader="none" w:pos="79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Stock Options may be granted only to employees (including officers and directors who are also employees) of the Corporation or its parent or subsidiaries or to individuals who are rendering services as consultants, advisors, or other independent contractors to the Corporation or its parent or subsidiaries. For purposes of the foregoing sentence, "employees" shall include prospective employees to whom Stock Options are granted in connection with written offers of employment with the Corporation or its parent or subsidiaries and "consultants" or "advisors" shall include prospective consultants or advisors to whom Stock Options are granted in connection with written consulting or advising offers with the Corporation or its parent or subsidiaries. The Committee shall, in the Committee's sole discretion, determine which persons shall be granted Stock Options. An individual who is rendering services as a consultant, advisor, or other independent contractor or who is a prospective employee, consultant or advisor shall be eligible to be granted only a Nonqualified Stock Option. A Holder may, if otherwise eligible, be granted more than one Stock Option.</w:t>
      </w:r>
    </w:p>
    <w:p>
      <w:pPr>
        <w:spacing w:after="0" w:line="208" w:lineRule="exact"/>
        <w:rPr>
          <w:rFonts w:ascii="Courier New" w:cs="Courier New" w:eastAsia="Courier New" w:hAnsi="Courier New"/>
          <w:sz w:val="17"/>
          <w:szCs w:val="17"/>
          <w:color w:val="auto"/>
        </w:rPr>
      </w:pPr>
    </w:p>
    <w:p>
      <w:pPr>
        <w:ind w:right="2259" w:firstLine="499"/>
        <w:spacing w:after="0" w:line="237" w:lineRule="auto"/>
        <w:tabs>
          <w:tab w:leader="none" w:pos="79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of Stock Subject to the Plan. Subject to the adjustments set forth in the Plan, the Shares which may be issued pursuant to the Plan shall not exceed in the aggregate 450,000 shares of the Corporation's Common Stock, $1.00 par value. Such Shares shall be authorized and unissued shares. Any Shares subject to a Stock Option granted under this Plan which for any reason expires or is terminated unexercised and/or Shares subject to repurchase which are repurchased by the Corporation shall again be subject to and be available for issuance pursuant to the terms of this Plan. Notwithstanding the foregoing, any such shares shall be made subject to a new Stock Option only if the grant of such new Stock Option and the issuance of such shares pursuant to such new Stock Option would not cause the Plan or any Stock Option granted under the Plan to contravene Rule 16b-3, as promulgated under the Securities Exchange Act of 1934, as amended (the "Exchange Act") and as amended from time to time or any successor rule or regulation ("Rule 16b-3").</w:t>
      </w:r>
    </w:p>
    <w:p>
      <w:pPr>
        <w:spacing w:after="0" w:line="206" w:lineRule="exact"/>
        <w:rPr>
          <w:rFonts w:ascii="Courier New" w:cs="Courier New" w:eastAsia="Courier New" w:hAnsi="Courier New"/>
          <w:sz w:val="17"/>
          <w:szCs w:val="17"/>
          <w:color w:val="auto"/>
        </w:rPr>
      </w:pPr>
    </w:p>
    <w:p>
      <w:pPr>
        <w:ind w:right="2259" w:firstLine="499"/>
        <w:spacing w:after="0" w:line="237" w:lineRule="auto"/>
        <w:tabs>
          <w:tab w:leader="none" w:pos="79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 Within the limitations described herein, the Committee shall administer the Plan, select the officers, directors, service providers and Employees of the Corporation to whom Stock Options shall be granted, determine the number of Shares to be subject to each grant, determine the method of payment upon exercise of each Stock Option, determine all other terms of Stock Options granted hereunder and interpret, construe and implement the provisions of the Plan. By the adoption of this Plan, the Board of Directors of the Corporation is delegating to the Committee plenary authority to administer the Plan. All questions of interpretation of the Plan or any Stock Option granted under the Plan shall be determined by the Committee, and such decisions shall be binding upon all persons having an interest in the Plan and/or any Stock Option.</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With respect to the participation of any Employees who are also officers or directors of the Corporation subject to Section 16(b) of the Exchange Act, the Plan shall be administered in compliance with the "disinterested administration" requirement of Rule 16b-3. In the case of officers or other Employees or persons who are not directors of the Corporation, grants may be approved by the Committee or by a majority</w:t>
      </w:r>
    </w:p>
    <w:p>
      <w:pPr>
        <w:sectPr>
          <w:pgSz w:w="11900" w:h="16838" w:orient="portrait"/>
          <w:cols w:equalWidth="0" w:num="1">
            <w:col w:w="10219"/>
          </w:cols>
          <w:pgMar w:left="240" w:top="301" w:right="1440" w:bottom="1058" w:gutter="0" w:footer="0" w:header="0"/>
        </w:sectPr>
      </w:pP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1" w:right="1440" w:bottom="1058"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17</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of the members of the Board of Directors. Notwithstanding the above, the Committee, in its sole discretion, may delegate its powers hereunder to grant Stock Options to persons who are not subject to Section 16(b) of the Exchange Act, to certain officers of the Corporation. Any such delegation shall be in writing and shall clearly describe any limitations to which such delegation of authority is subject.</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the event the Corporation is a "publicly held corporation" as defined in paragraph (2) of section 162(m) of the Code, as amended by the Revenue Reconciliation Act of 1993 (P.L. 103-66), and the regulations promulgated thereunder ("Section 162(m)"), the Corporation may establish a committee of outside directors meeting the requirements of Section 162(m) to approve the grant of Stock Options which might reasonably be anticipated to result in the payment of employee remuneration that would otherwise exceed the limit on employee remuneration deductible for income tax purposes pursuant to Section 162(m).</w:t>
      </w:r>
    </w:p>
    <w:p>
      <w:pPr>
        <w:spacing w:after="0" w:line="201" w:lineRule="exact"/>
        <w:rPr>
          <w:sz w:val="20"/>
          <w:szCs w:val="20"/>
          <w:color w:val="auto"/>
        </w:rPr>
      </w:pPr>
    </w:p>
    <w:p>
      <w:pPr>
        <w:ind w:right="2259" w:firstLine="499"/>
        <w:spacing w:after="0" w:line="253" w:lineRule="auto"/>
        <w:tabs>
          <w:tab w:leader="none" w:pos="79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In addition to such other rights of indemnification as they may have as directors or as members of the Committee, members of the Board of Directors of the Corporation, members of the Committee and any officers to whom authority to act for the Committee is delegated shall be indemnified by the Corporation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thereunder, and against all amounts paid by them in settlement thereof (provided such settlement is approved by independent legal counsel selected by the Corporation) or paid by them in satisfaction of a judgment in any such action, suit or proceeding, except in relation to matters as to which it shall be adjudged in such action, suit or proceeding that such person is liable for gross negligence or misconduct in duties; provided, however, that within sixty (60) days after the institution of such action, suit or proceeding, such person shall offer to the Corporation, in writing, the opportunity at its own expense to handle and defend the same.</w:t>
      </w:r>
    </w:p>
    <w:p>
      <w:pPr>
        <w:spacing w:after="0" w:line="194" w:lineRule="exact"/>
        <w:rPr>
          <w:rFonts w:ascii="Courier New" w:cs="Courier New" w:eastAsia="Courier New" w:hAnsi="Courier New"/>
          <w:sz w:val="16"/>
          <w:szCs w:val="16"/>
          <w:color w:val="auto"/>
        </w:rPr>
      </w:pPr>
    </w:p>
    <w:p>
      <w:pPr>
        <w:ind w:right="2259" w:firstLine="499"/>
        <w:spacing w:after="0" w:line="253" w:lineRule="auto"/>
        <w:tabs>
          <w:tab w:leader="none" w:pos="79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The granting of a Stock Option shall be evidenced by a stock option agreement ("Stock Option Agreement"), in such form and not inconsistent with this Plan, as the Committee shall approve from time to time. The Committee shall determine for each Stock Option (which need not be identical), the exercise price of the Stock Option, the timing and terms of exercisability and vesting of the Stock Option, the time of expiration of the Stock Option, the effect of the Holder's termination of employment or service, whether the Stock Option is to be treated as an Incentive Stock Option or as a Nonqualified Stock Option, the method for satisfaction of any tax withholding obligation arising in connection with the Stock Option, including by the withholding or delivery of shares of Common Stock, and all other terms and conditions of the Stock Option not inconsistent with the Plan. Each Stock Option Agreement shall contain in substance the following terms and conditions:</w:t>
      </w:r>
    </w:p>
    <w:p>
      <w:pPr>
        <w:spacing w:after="0" w:line="194" w:lineRule="exact"/>
        <w:rPr>
          <w:sz w:val="20"/>
          <w:szCs w:val="20"/>
          <w:color w:val="auto"/>
        </w:rPr>
      </w:pPr>
    </w:p>
    <w:p>
      <w:pPr>
        <w:ind w:left="500" w:right="2259" w:firstLine="497"/>
        <w:spacing w:after="0" w:line="253" w:lineRule="auto"/>
        <w:rPr>
          <w:sz w:val="20"/>
          <w:szCs w:val="20"/>
          <w:color w:val="auto"/>
        </w:rPr>
      </w:pPr>
      <w:r>
        <w:rPr>
          <w:rFonts w:ascii="Courier New" w:cs="Courier New" w:eastAsia="Courier New" w:hAnsi="Courier New"/>
          <w:sz w:val="16"/>
          <w:szCs w:val="16"/>
          <w:color w:val="auto"/>
        </w:rPr>
        <w:t>8.1 Price. The Stock Option Agreement shall specify the Purchase Price per Share. The Purchase Price per Share deliverable upon the exercise of an Incentive Stock Option shall not be less than the Fair Market Value of a Share on the Date of Grant of the Incentive Stock Option. In the case of a grant of an Incentive Stock Option to an Employee who, at the time the Incentive Stock Option is granted, owns stock possessing more than ten percent (10%) of the total combined voting power of all classes of stock of the Corporation, or of any parent or subsidiary corporation, the Purchase Price per Share deliverable upon the exercise of the Incentive Stock Option shall not be less than one hundred ten percent (110%) of the Fair Market Value of such Share on the Date of Grant of the Incentive Stock Option. Notwithstanding the foregoing, an Incentive Stock Option may be granted with a Purchase Price lower than the minimum price set forth above if such Stock Option is granted pursuant to an assumption or substitution for another Stock Option in a manner qualifying with the provisions of Section 424(a) of the Code. The Purchase Price per Share deliverable upon exercise of a Nonqualified Stock Option shall be not less than the Fair Market Value of a Share on the Date of Grant of the Nonqualified Stock Option except that the purchase price for no more than 5% of the shares under the plan can be determined by the Committee in its sole discretion.</w:t>
      </w:r>
    </w:p>
    <w:p>
      <w:pPr>
        <w:spacing w:after="0" w:line="195" w:lineRule="exact"/>
        <w:rPr>
          <w:sz w:val="20"/>
          <w:szCs w:val="20"/>
          <w:color w:val="auto"/>
        </w:rPr>
      </w:pPr>
    </w:p>
    <w:p>
      <w:pPr>
        <w:ind w:left="500" w:right="2559" w:firstLine="497"/>
        <w:spacing w:after="0" w:line="235" w:lineRule="auto"/>
        <w:rPr>
          <w:sz w:val="20"/>
          <w:szCs w:val="20"/>
          <w:color w:val="auto"/>
        </w:rPr>
      </w:pPr>
      <w:r>
        <w:rPr>
          <w:rFonts w:ascii="Courier New" w:cs="Courier New" w:eastAsia="Courier New" w:hAnsi="Courier New"/>
          <w:sz w:val="17"/>
          <w:szCs w:val="17"/>
          <w:color w:val="auto"/>
        </w:rPr>
        <w:t>8.2 Number of Shares. The Stock Option Agreement shall specify the number of Shares subject to the Stock Option.</w:t>
      </w:r>
    </w:p>
    <w:p>
      <w:pPr>
        <w:sectPr>
          <w:pgSz w:w="11900" w:h="16838" w:orient="portrait"/>
          <w:cols w:equalWidth="0" w:num="1">
            <w:col w:w="10219"/>
          </w:cols>
          <w:pgMar w:left="240" w:top="301" w:right="1440" w:bottom="1440" w:gutter="0" w:footer="0" w:header="0"/>
        </w:sectPr>
      </w:pP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1"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18</w:t>
      </w:r>
    </w:p>
    <w:p>
      <w:pPr>
        <w:spacing w:after="0" w:line="196" w:lineRule="exact"/>
        <w:rPr>
          <w:sz w:val="20"/>
          <w:szCs w:val="20"/>
          <w:color w:val="auto"/>
        </w:rPr>
      </w:pPr>
    </w:p>
    <w:p>
      <w:pPr>
        <w:ind w:left="200" w:right="2259" w:firstLine="497"/>
        <w:spacing w:after="0" w:line="237" w:lineRule="auto"/>
        <w:rPr>
          <w:sz w:val="20"/>
          <w:szCs w:val="20"/>
          <w:color w:val="auto"/>
        </w:rPr>
      </w:pPr>
      <w:r>
        <w:rPr>
          <w:rFonts w:ascii="Courier New" w:cs="Courier New" w:eastAsia="Courier New" w:hAnsi="Courier New"/>
          <w:sz w:val="17"/>
          <w:szCs w:val="17"/>
          <w:color w:val="auto"/>
        </w:rPr>
        <w:t>8.3 Exercisability of Stock Options. A Stock Option may be exercisable, in part or in full, at any time and from time to time during an exercise period, and subject to such performance criteria, conditions and restrictions as determined by the Committee on a case-by-case basis for each Stock Option, and as set forth in the Stock Option Agreement. In no event shall the exercise period of any Incentive Stock Option granted hereunder exceed ten (10) years from the Date of Grant of such Option; provided, however, that in the case of a grant of an Incentive Stock Option to an Employee, who, at the time the Incentive Stock Option is granted, owns stock possessing more than ten percent (10%) of the total combined voting stock of the Corporation or of any parent or subsidiary corporation, such Incentive Stock Option shall not be exercisable after the expiration of five (5) years from its Date of Grant.</w:t>
      </w:r>
    </w:p>
    <w:p>
      <w:pPr>
        <w:spacing w:after="0" w:line="205" w:lineRule="exact"/>
        <w:rPr>
          <w:sz w:val="20"/>
          <w:szCs w:val="20"/>
          <w:color w:val="auto"/>
        </w:rPr>
      </w:pPr>
    </w:p>
    <w:p>
      <w:pPr>
        <w:ind w:left="200" w:right="2259" w:firstLine="497"/>
        <w:spacing w:after="0" w:line="237" w:lineRule="auto"/>
        <w:rPr>
          <w:sz w:val="20"/>
          <w:szCs w:val="20"/>
          <w:color w:val="auto"/>
        </w:rPr>
      </w:pPr>
      <w:r>
        <w:rPr>
          <w:rFonts w:ascii="Courier New" w:cs="Courier New" w:eastAsia="Courier New" w:hAnsi="Courier New"/>
          <w:sz w:val="17"/>
          <w:szCs w:val="17"/>
          <w:color w:val="auto"/>
        </w:rPr>
        <w:t>In the event that the aggregate Fair Market Value (determined as of the Date of Grant) of stock with respect to which Incentive Stock Options are exercisable for the first time by an Employee during any calendar year (under all stock option plans of the Corporation and its parent or subsidiary corporations) exceeds $100,000, the excess shall be treated as a Nonqualified Stock Option. This paragraph shall be applied by taking Incentive Stock Options into account in the order in which they were granted.</w:t>
      </w:r>
    </w:p>
    <w:p>
      <w:pPr>
        <w:spacing w:after="0" w:line="19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8.4 Payment of Purchase Price.</w:t>
      </w:r>
    </w:p>
    <w:p>
      <w:pPr>
        <w:spacing w:after="0" w:line="196" w:lineRule="exact"/>
        <w:rPr>
          <w:sz w:val="20"/>
          <w:szCs w:val="20"/>
          <w:color w:val="auto"/>
        </w:rPr>
      </w:pPr>
    </w:p>
    <w:p>
      <w:pPr>
        <w:ind w:left="500" w:right="2259" w:firstLine="495"/>
        <w:spacing w:after="0" w:line="253" w:lineRule="auto"/>
        <w:tabs>
          <w:tab w:leader="none" w:pos="1395"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Forms of Payment Authorized. Payment of the Purchase Price for the number of Shares being purchased pursuant to any Stock Option shall be made (1) in cash, by check, or cash equivalent, (2) by tender to the Corporation of shares of the Corporation's Common Stock owned by the Holder having a value, as determined by the Committee (but without regard to any restrictions on transferability applicable to such stock by reason of federal or state securities laws or agreements with an underwriter for the Corporation), not less than the option price, (3) if specifically permitted by the Committee and set forth in the Holder's Stock Option Agreement, by the Holder's recourse promissory note, (4) by the assignment of the proceeds of a sale of some or all of the shares being acquired upon the exercise of a Stock Option (including, without limitation, through an exercise complying with the provisions of Regulation T as promulgated from time to time by the Committee of Governors of the Federal Reserve System), or (5) by any combination thereof. The Committee may at any time or from time to time, grant Stock Options which do not permit all of the foregoing forms of consideration to be used in payment of the option price and/or which otherwise restrict one (1) or more forms of consideration.</w:t>
      </w:r>
    </w:p>
    <w:p>
      <w:pPr>
        <w:spacing w:after="0" w:line="385" w:lineRule="exact"/>
        <w:rPr>
          <w:rFonts w:ascii="Courier New" w:cs="Courier New" w:eastAsia="Courier New" w:hAnsi="Courier New"/>
          <w:sz w:val="16"/>
          <w:szCs w:val="16"/>
          <w:color w:val="auto"/>
        </w:rPr>
      </w:pPr>
    </w:p>
    <w:p>
      <w:pPr>
        <w:ind w:left="500" w:right="2259" w:firstLine="495"/>
        <w:spacing w:after="0" w:line="253" w:lineRule="auto"/>
        <w:tabs>
          <w:tab w:leader="none" w:pos="1395"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Tender of Corporation Stock. Notwithstanding the foregoing, a Stock Option may not be exercised by tender to the Corporation of shares of the Corporation's Common Stock to the extent such tender of stock would constitute a violation of the provisions of any law, regulation and/or agreement restricting the redemption of the Corporation's stock or result in the recognition of compensation expense to the Corporation under generally accepted accounting principles. Unless otherwise provided by the Committee, a Stock Option may not be exercised by tender to the Corporation of shares of the Corporation's Common Stock unless such shares of the Corporation's common stock either have been owned by the Holder for more than six (6) months or were not acquired, directly or indirectly, from the Corporation.</w:t>
      </w:r>
    </w:p>
    <w:p>
      <w:pPr>
        <w:spacing w:after="0" w:line="193" w:lineRule="exact"/>
        <w:rPr>
          <w:rFonts w:ascii="Courier New" w:cs="Courier New" w:eastAsia="Courier New" w:hAnsi="Courier New"/>
          <w:sz w:val="16"/>
          <w:szCs w:val="16"/>
          <w:color w:val="auto"/>
        </w:rPr>
      </w:pPr>
    </w:p>
    <w:p>
      <w:pPr>
        <w:ind w:left="500" w:right="2359" w:firstLine="495"/>
        <w:spacing w:after="0" w:line="253" w:lineRule="auto"/>
        <w:tabs>
          <w:tab w:leader="none" w:pos="1395"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Notes. No promissory note shall be permitted if an exercise using a promissory note would be a violation of any law. Any permitted promissory note shall be due and payable not more than five</w:t>
      </w:r>
    </w:p>
    <w:p>
      <w:pPr>
        <w:ind w:left="500" w:right="2259" w:hanging="2"/>
        <w:spacing w:after="0" w:line="237" w:lineRule="auto"/>
        <w:tabs>
          <w:tab w:leader="none" w:pos="89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after the Stock Option is exercised, and interest shall be payable at least annually and be at least equal to the minimum interest rate necessary to avoid imputed interest pursuant to all applicable sections of the Code. The Committee shall have the authority to permit or require the Holder to secure any promissory note used to exercise a Stock Option with the Shares acquired on exercise of the Stock Option and/or with other collateral acceptable to the Corporation. Unless otherwise provided by the Committee, in the event the Corporation at any time becomes subject to the regulations promulgated by the Board of Governors of the Federal Reserve System or any other governmental entity affecting the extension of credit in connection with the Corporation's securities, any promissory note shall comply with such applicable regulations, and the Holder shall</w:t>
      </w:r>
    </w:p>
    <w:p>
      <w:pPr>
        <w:sectPr>
          <w:pgSz w:w="11900" w:h="16838" w:orient="portrait"/>
          <w:cols w:equalWidth="0" w:num="1">
            <w:col w:w="9919"/>
          </w:cols>
          <w:pgMar w:left="540" w:top="301" w:right="1440" w:bottom="1058" w:gutter="0" w:footer="0" w:header="0"/>
        </w:sect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919"/>
          </w:cols>
          <w:pgMar w:left="540" w:top="301" w:right="1440" w:bottom="1058"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19</w:t>
      </w:r>
    </w:p>
    <w:p>
      <w:pPr>
        <w:spacing w:after="0" w:line="196" w:lineRule="exact"/>
        <w:rPr>
          <w:sz w:val="20"/>
          <w:szCs w:val="20"/>
          <w:color w:val="auto"/>
        </w:rPr>
      </w:pPr>
    </w:p>
    <w:p>
      <w:pPr>
        <w:ind w:left="800" w:right="2659"/>
        <w:spacing w:after="0" w:line="235" w:lineRule="auto"/>
        <w:rPr>
          <w:sz w:val="20"/>
          <w:szCs w:val="20"/>
          <w:color w:val="auto"/>
        </w:rPr>
      </w:pPr>
      <w:r>
        <w:rPr>
          <w:rFonts w:ascii="Courier New" w:cs="Courier New" w:eastAsia="Courier New" w:hAnsi="Courier New"/>
          <w:sz w:val="17"/>
          <w:szCs w:val="17"/>
          <w:color w:val="auto"/>
        </w:rPr>
        <w:t>pay the unpaid principal and accrued interest, if any, to the extent necessary to comply with such applicable regulations.</w:t>
      </w:r>
    </w:p>
    <w:p>
      <w:pPr>
        <w:spacing w:after="0" w:line="197" w:lineRule="exact"/>
        <w:rPr>
          <w:sz w:val="20"/>
          <w:szCs w:val="20"/>
          <w:color w:val="auto"/>
        </w:rPr>
      </w:pPr>
    </w:p>
    <w:p>
      <w:pPr>
        <w:ind w:left="800" w:right="2359" w:firstLine="495"/>
        <w:spacing w:after="0" w:line="237" w:lineRule="auto"/>
        <w:tabs>
          <w:tab w:leader="none" w:pos="1695"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of Proceeds of Sale. The Corporation reserves, at any and all times, the right, in the Corporation's sole and absolute discretion, to establish, decline to approve and/or terminate any program and/or procedures for the exercise of Stock Options by means of an assignment of the proceeds of a sale of some or all of the Shares to be acquired upon such exercise.</w:t>
      </w:r>
    </w:p>
    <w:p>
      <w:pPr>
        <w:spacing w:after="0" w:line="197" w:lineRule="exact"/>
        <w:rPr>
          <w:rFonts w:ascii="Courier New" w:cs="Courier New" w:eastAsia="Courier New" w:hAnsi="Courier New"/>
          <w:sz w:val="17"/>
          <w:szCs w:val="17"/>
          <w:color w:val="auto"/>
        </w:rPr>
      </w:pPr>
    </w:p>
    <w:p>
      <w:pPr>
        <w:ind w:right="2459" w:firstLine="499"/>
        <w:spacing w:after="0" w:line="254" w:lineRule="auto"/>
        <w:tabs>
          <w:tab w:leader="none" w:pos="79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Recapitalization. Appropriate adjustments shall be made in the number and class of Shares subject to the Plan, and to any outstanding Stock Options and in the Purchase Price per Share of any outstanding Stock Options in the event of a stock dividend, stock split, reverse stock split, combination, reclassification, or like change in the capital structure of the Corporation.</w:t>
      </w:r>
    </w:p>
    <w:p>
      <w:pPr>
        <w:spacing w:after="0" w:line="188"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Reorganization. A "Reorganization" shall be deemed to have occurred in the event any of the following occurs with respect to the Corporation: (a) the direct or indirect sale or exchange by the stockholders of the Corporation of all or substantially all of the stock of the Corporation where the stockholders of the Corporation before such sale or exchange do not retain, directly or indirectly, at least a majority of the beneficial interest in the voting stock of the Corporation after such sale or exchange; (b) a merger or consolidation in which the Corporation is not the surviving corporation; (c) a merger or consolidation in which the Corporation is the surviving corporation where the stockholders of the Corporation before such merger or consolidation do not retain, directly or indirectly, at least a majority of the beneficial interest in the voting stock of the Corporation after such merger or consolidation; (d) the sale, exchange, or transfer of all or substantially all of the assets of the Corporation (other than a sale, exchange, or transfer to one (1) or more subsidiary corporations (as defined in paragraph 2.2 above) of the Corporation); or (e) a liquidation or dissolution of the Corporation.</w:t>
      </w:r>
    </w:p>
    <w:p>
      <w:pPr>
        <w:spacing w:after="0" w:line="20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the event of a Reorganization, the surviving, continuing, successor, or purchasing corporation or parent corporation thereof, as the case may be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 (30) days prior to the date of the Reorganization. The exercise and/or vesting of any Stock Option that was permissible solely by reason of this paragraph 10 shall be conditioned upon the consummation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209" w:lineRule="exact"/>
        <w:rPr>
          <w:sz w:val="20"/>
          <w:szCs w:val="20"/>
          <w:color w:val="auto"/>
        </w:rPr>
      </w:pPr>
    </w:p>
    <w:p>
      <w:pPr>
        <w:ind w:right="2259" w:firstLine="499"/>
        <w:spacing w:after="0" w:line="237" w:lineRule="auto"/>
        <w:tabs>
          <w:tab w:leader="none" w:pos="895"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Representations. The Committee may require a Holder to whom a Stock Option is granted, as a condition of receipt and/or exercise of the Stock Option, to give written assurances in substance and form satisfactory to the Committee to the effect that the Holder is acquiring the Stock Option granted hereunder or the Shares issuable upon exercise thereof for the Holder's own account and not with any present intention of selling or otherwise distributing the same, and to such other effects as the Committee deems necessary or appropriate in order to comply with federal and applicable state securities laws. Appropriate legends may be placed on any Shares issued under the Plan evidencing such representations.</w:t>
      </w:r>
    </w:p>
    <w:p>
      <w:pPr>
        <w:spacing w:after="0" w:line="202"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Securities Laws. Each Stock Option granted hereunder shall be subject to the requirement that, if at any time the Committee, in its discretion, shall determine that the listing, registration or qualification of the Shares subject to such Stock Option upon any securities exchange or under any state or federal law, or the consent or approval of any government or regulatory body, is necessary or desirable as a condition of, or in connection with, the granting of such Stock Option granted hereunder or the issue of Shares, such Stock Option may not be granted or exercised in whole or in part unless such listing, registration, qualification, consent or approval shall have been effected or obtained free of any conditions not acceptable to the Committee. Nothing in the Plan or related Stock Option Agreements shall be deemed to require the Corporation to apply for or obtain such listing, registration or qualification.</w:t>
      </w:r>
    </w:p>
    <w:p>
      <w:pPr>
        <w:sectPr>
          <w:pgSz w:w="11900" w:h="16838" w:orient="portrait"/>
          <w:cols w:equalWidth="0" w:num="1">
            <w:col w:w="10219"/>
          </w:cols>
          <w:pgMar w:left="240" w:top="301" w:right="1440" w:bottom="1058" w:gutter="0" w:footer="0" w:header="0"/>
        </w:sectPr>
      </w:pPr>
    </w:p>
    <w:p>
      <w:pPr>
        <w:spacing w:after="0" w:line="20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1" w:right="1440" w:bottom="1058"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20</w:t>
      </w:r>
    </w:p>
    <w:p>
      <w:pPr>
        <w:spacing w:after="0" w:line="196" w:lineRule="exact"/>
        <w:rPr>
          <w:sz w:val="20"/>
          <w:szCs w:val="20"/>
          <w:color w:val="auto"/>
        </w:rPr>
      </w:pPr>
    </w:p>
    <w:p>
      <w:pPr>
        <w:ind w:right="2259" w:firstLine="499"/>
        <w:spacing w:after="0" w:line="237" w:lineRule="auto"/>
        <w:tabs>
          <w:tab w:leader="none" w:pos="895"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as a Stockholder. A Holder shall have no rights as a stockholder of the Corporation with respect to any Shares covered by a Stock Option granted hereunder until said Holder tenders an effective and unconditional notice of exercise of the Stock Option to the Corporation, complies with all other terms and conditions of exercise and, if applicable, pays the Purchase Price. Except as otherwise expressly provided in the Plan, no adjustment shall be made for dividends or other rights for which the record date is prior to the date on which the Holder tenders notice of exercise, complies with all other terms and conditions of exercise, and pays any applicable Purchase Price. The Committee shall use its best efforts to secure prompt issuance of stock certificates following full performance of exercise by any Holder.</w:t>
      </w:r>
    </w:p>
    <w:p>
      <w:pPr>
        <w:spacing w:after="0" w:line="204"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Non-Assignability of Options. No Incentive Stock Option shall be assignable or transferable by the Holder except by will or by the laws of descent and distribution. During the life of the Holder, an Incentive Stock Option shall be exercisable only by the Holder or by the duly appointed legal representative of an incompetent Holder. A Nonqualified Stock Option may be assignable or transferable to the extent set forth in the Stock Option Agreement governing such Stock Option.</w:t>
      </w:r>
    </w:p>
    <w:p>
      <w:pPr>
        <w:spacing w:after="0" w:line="198"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Taxes. The Corporation shall have the right to deduct from amounts otherwise due Holder under a Stock Option granted hereunder or from any wages or other compensation to be paid to Holder any sums required by federal, state and local tax law to be withheld with respect to the exercise of any Stock Option or with respect to the disposition of Shares issued hereunder or, in the alternative, to require the Holder to pay such sums to the Corporation. The Corporation may, in its discretion and upon request by Holder, withhold from the Shares to be issued to Holder under this Plan a number of Shares (based on the Fair Market Value of the Shares on the date of exercise of the Stock Option) necessary to satisfy any tax withholding requirements.</w:t>
      </w:r>
    </w:p>
    <w:p>
      <w:pPr>
        <w:spacing w:after="0" w:line="193" w:lineRule="exact"/>
        <w:rPr>
          <w:rFonts w:ascii="Courier New" w:cs="Courier New" w:eastAsia="Courier New" w:hAnsi="Courier New"/>
          <w:sz w:val="16"/>
          <w:szCs w:val="16"/>
          <w:color w:val="auto"/>
        </w:rPr>
      </w:pPr>
    </w:p>
    <w:p>
      <w:pPr>
        <w:ind w:right="2259" w:firstLine="499"/>
        <w:spacing w:after="0" w:line="237" w:lineRule="auto"/>
        <w:tabs>
          <w:tab w:leader="none" w:pos="895"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or Amendment of the Plan and Stock Options. The Committee may terminate or amend the Plan or any Stock Option at any time; except that, without stockholder approval, the Committee may not increase the number of Shares which may be issued under the Plan (except by operation of paragraph 9) or modify the requirements as to eligibility for participation in the Plan. In addition, the approval of the Corporation's stockholders shall be sought for any amendment to the Plan or a Stock Option for which the Committee deems stockholder approval necessary in order to comply with Rule 16b-3. In any event, no amendment may adversely affect any then outstanding Stock Option or any unexercised portion thereof, without the consent of the Holder, unless such amendment is required to enable a Stock Option designated as an Incentive Stock Option to qualify as an Incentive Stock Option.</w:t>
      </w:r>
    </w:p>
    <w:p>
      <w:pPr>
        <w:spacing w:after="0" w:line="204" w:lineRule="exact"/>
        <w:rPr>
          <w:rFonts w:ascii="Courier New" w:cs="Courier New" w:eastAsia="Courier New" w:hAnsi="Courier New"/>
          <w:sz w:val="17"/>
          <w:szCs w:val="17"/>
          <w:color w:val="auto"/>
        </w:rPr>
      </w:pPr>
    </w:p>
    <w:p>
      <w:pPr>
        <w:ind w:right="2259" w:firstLine="499"/>
        <w:spacing w:after="0" w:line="237" w:lineRule="auto"/>
        <w:tabs>
          <w:tab w:leader="none" w:pos="895"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Special Employment Rights. Nothing contained in this Plan or in any Stock Option granted hereunder shall confer upon any Holder any right with respect to continued employment or engagement with the Corporation or interfere in any way with the right of the Corporation, subject to the terms of any separate agreement with the Holder to the contrary, at any time to terminate such employment or engagement or to increase or decrease the compensation or other benefits paid to the Holder.</w:t>
      </w:r>
    </w:p>
    <w:p>
      <w:pPr>
        <w:spacing w:after="0" w:line="198" w:lineRule="exact"/>
        <w:rPr>
          <w:rFonts w:ascii="Courier New" w:cs="Courier New" w:eastAsia="Courier New" w:hAnsi="Courier New"/>
          <w:sz w:val="17"/>
          <w:szCs w:val="17"/>
          <w:color w:val="auto"/>
        </w:rPr>
      </w:pPr>
    </w:p>
    <w:p>
      <w:pPr>
        <w:ind w:right="2359" w:firstLine="499"/>
        <w:spacing w:after="0" w:line="236" w:lineRule="auto"/>
        <w:tabs>
          <w:tab w:leader="none" w:pos="895"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Plan and any Stock Options issued hereunder shall be governed by and construed in accordance with the laws of the State of California.</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WITNESS WHEREOF, the undersigned Secretary of the Corporation certifies that the foregoing Cohu, Inc. 1996 Stock Option Plan was duly adopted by the Board of Directors of the Corporation on February 15, 1996.</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John H. Allen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01"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21</w:t>
      </w:r>
    </w:p>
    <w:p>
      <w:pPr>
        <w:spacing w:after="0" w:line="381"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COHU, INC.</w:t>
      </w:r>
    </w:p>
    <w:p>
      <w:pPr>
        <w:ind w:left="800"/>
        <w:spacing w:after="0" w:line="238" w:lineRule="auto"/>
        <w:rPr>
          <w:sz w:val="20"/>
          <w:szCs w:val="20"/>
          <w:color w:val="auto"/>
        </w:rPr>
      </w:pPr>
      <w:r>
        <w:rPr>
          <w:rFonts w:ascii="Courier New" w:cs="Courier New" w:eastAsia="Courier New" w:hAnsi="Courier New"/>
          <w:sz w:val="17"/>
          <w:szCs w:val="17"/>
          <w:color w:val="auto"/>
        </w:rPr>
        <w:t>THIS PROXY IS SOLICITED BY THE BOARD OF DIRECTORS OF THE COMPANY</w:t>
      </w:r>
    </w:p>
    <w:p>
      <w:pPr>
        <w:ind w:left="1000"/>
        <w:spacing w:after="0" w:line="238" w:lineRule="auto"/>
        <w:rPr>
          <w:sz w:val="20"/>
          <w:szCs w:val="20"/>
          <w:color w:val="auto"/>
        </w:rPr>
      </w:pPr>
      <w:r>
        <w:rPr>
          <w:rFonts w:ascii="Courier New" w:cs="Courier New" w:eastAsia="Courier New" w:hAnsi="Courier New"/>
          <w:sz w:val="17"/>
          <w:szCs w:val="17"/>
          <w:color w:val="auto"/>
        </w:rPr>
        <w:t>FOR THE ANNUAL MEETING OF STOCKHOLDERS TO BE HELD MAY 7, 1996</w:t>
      </w:r>
    </w:p>
    <w:p>
      <w:pPr>
        <w:spacing w:after="0" w:line="197" w:lineRule="exact"/>
        <w:rPr>
          <w:sz w:val="20"/>
          <w:szCs w:val="20"/>
          <w:color w:val="auto"/>
        </w:rPr>
      </w:pPr>
    </w:p>
    <w:p>
      <w:pPr>
        <w:ind w:right="3560" w:firstLine="398"/>
        <w:spacing w:after="0" w:line="237" w:lineRule="auto"/>
        <w:rPr>
          <w:sz w:val="20"/>
          <w:szCs w:val="20"/>
          <w:color w:val="auto"/>
        </w:rPr>
      </w:pPr>
      <w:r>
        <w:rPr>
          <w:rFonts w:ascii="Courier New" w:cs="Courier New" w:eastAsia="Courier New" w:hAnsi="Courier New"/>
          <w:sz w:val="17"/>
          <w:szCs w:val="17"/>
          <w:color w:val="auto"/>
        </w:rPr>
        <w:t>The undersigned hereby (i) acknowledge(s) receipt of the Notice and Proxy Statement dated April 1, 1996 relating to the Annual Meeting of Stockholders of Cohu, Inc. (the "Company") to be held May 7, 1996 and (ii) appoint(s) WILLIAM S. IVANS, CHARLES A. SCHWAN and JOHN H. ALLEN as proxies, with full power of substitution, and authorizes them, or any of them, to vote all the shares of common stock of the Company standing in the name of the undersigned at said meeting or any adjournment thereof upon the matter specified below and upon such other matters as may be properly brought before the meeting, conferring discretionary authority upon such proxies as to such other matters.</w:t>
      </w:r>
    </w:p>
    <w:p>
      <w:pPr>
        <w:spacing w:after="0" w:line="201" w:lineRule="exact"/>
        <w:rPr>
          <w:sz w:val="20"/>
          <w:szCs w:val="20"/>
          <w:color w:val="auto"/>
        </w:rPr>
      </w:pPr>
    </w:p>
    <w:p>
      <w:pPr>
        <w:ind w:right="3660" w:firstLine="398"/>
        <w:spacing w:after="0" w:line="236" w:lineRule="auto"/>
        <w:rPr>
          <w:sz w:val="20"/>
          <w:szCs w:val="20"/>
          <w:color w:val="auto"/>
        </w:rPr>
      </w:pPr>
      <w:r>
        <w:rPr>
          <w:rFonts w:ascii="Courier New" w:cs="Courier New" w:eastAsia="Courier New" w:hAnsi="Courier New"/>
          <w:sz w:val="17"/>
          <w:szCs w:val="17"/>
          <w:color w:val="auto"/>
        </w:rPr>
        <w:t>THIS PROXY, WHEN PROPERLY EXECUTED, WILL BE VOTED IN THE MANNER DIRECTED HEREIN BY THE UNDERSIGNED STOCKHOLDER. IF NO DIRECTION IS MADE, THIS PROXY WILL BE VOTED FOR PROPOSAL 1, 2, 3 AND 4.</w:t>
      </w:r>
    </w:p>
    <w:p>
      <w:pPr>
        <w:sectPr>
          <w:pgSz w:w="11900" w:h="16838" w:orient="portrait"/>
          <w:cols w:equalWidth="0" w:num="1">
            <w:col w:w="11520"/>
          </w:cols>
          <w:pgMar w:left="240" w:top="301" w:right="1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all nominees listed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WITHHOLD AUTHORITY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for all nominees listed</w:t>
      </w:r>
    </w:p>
    <w:p>
      <w:pPr>
        <w:spacing w:after="0" w:line="200" w:lineRule="exact"/>
        <w:rPr>
          <w:sz w:val="20"/>
          <w:szCs w:val="20"/>
          <w:color w:val="auto"/>
        </w:rPr>
      </w:pPr>
    </w:p>
    <w:p>
      <w:pPr>
        <w:sectPr>
          <w:pgSz w:w="11900" w:h="16838" w:orient="portrait"/>
          <w:cols w:equalWidth="0" w:num="5">
            <w:col w:w="2480" w:space="400"/>
            <w:col w:w="300" w:space="200"/>
            <w:col w:w="3980" w:space="500"/>
            <w:col w:w="300" w:space="300"/>
            <w:col w:w="3060"/>
          </w:cols>
          <w:pgMar w:left="240" w:top="301" w:right="139" w:bottom="1440" w:gutter="0" w:footer="0" w:header="0"/>
          <w:type w:val="continuous"/>
        </w:sectPr>
      </w:pPr>
    </w:p>
    <w:p>
      <w:pPr>
        <w:spacing w:after="0" w:line="193"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CHARLES A. SCHWAN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 E. LEARY</w:t>
      </w:r>
    </w:p>
    <w:p>
      <w:pPr>
        <w:spacing w:after="0" w:line="200" w:lineRule="exact"/>
        <w:rPr>
          <w:sz w:val="20"/>
          <w:szCs w:val="20"/>
          <w:color w:val="auto"/>
        </w:rPr>
      </w:pPr>
    </w:p>
    <w:p>
      <w:pPr>
        <w:sectPr>
          <w:pgSz w:w="11900" w:h="16838" w:orient="portrait"/>
          <w:cols w:equalWidth="0" w:num="2">
            <w:col w:w="4760" w:space="720"/>
            <w:col w:w="6040"/>
          </w:cols>
          <w:pgMar w:left="240" w:top="301" w:right="139" w:bottom="1440" w:gutter="0" w:footer="0" w:header="0"/>
          <w:type w:val="continuous"/>
        </w:sectPr>
      </w:pPr>
    </w:p>
    <w:p>
      <w:pPr>
        <w:spacing w:after="0" w:line="1" w:lineRule="exact"/>
        <w:rPr>
          <w:sz w:val="20"/>
          <w:szCs w:val="20"/>
          <w:color w:val="auto"/>
        </w:rPr>
      </w:pPr>
    </w:p>
    <w:p>
      <w:pPr>
        <w:ind w:right="3860"/>
        <w:spacing w:after="0" w:line="235" w:lineRule="auto"/>
        <w:rPr>
          <w:sz w:val="20"/>
          <w:szCs w:val="20"/>
          <w:color w:val="auto"/>
        </w:rPr>
      </w:pPr>
      <w:r>
        <w:rPr>
          <w:rFonts w:ascii="Courier New" w:cs="Courier New" w:eastAsia="Courier New" w:hAnsi="Courier New"/>
          <w:sz w:val="17"/>
          <w:szCs w:val="17"/>
          <w:color w:val="auto"/>
        </w:rPr>
        <w:t>(INSTRUCTION: To withhold authority to vote for any individual nominee, write that nominee's name on the space provided below.)</w:t>
      </w:r>
    </w:p>
    <w:p>
      <w:pPr>
        <w:spacing w:after="0" w:line="19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(Please sign and date on the reverse side)</w:t>
      </w:r>
    </w:p>
    <w:p>
      <w:pPr>
        <w:sectPr>
          <w:pgSz w:w="11900" w:h="16838" w:orient="portrait"/>
          <w:cols w:equalWidth="0" w:num="1">
            <w:col w:w="11520"/>
          </w:cols>
          <w:pgMar w:left="240" w:top="301" w:right="139" w:bottom="1440" w:gutter="0" w:footer="0" w:header="0"/>
          <w:type w:val="continuous"/>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22</w:t>
      </w:r>
    </w:p>
    <w:p>
      <w:pPr>
        <w:spacing w:after="0" w:line="200" w:lineRule="exact"/>
        <w:rPr>
          <w:sz w:val="20"/>
          <w:szCs w:val="20"/>
          <w:color w:val="auto"/>
        </w:rPr>
      </w:pPr>
    </w:p>
    <w:p>
      <w:pPr>
        <w:spacing w:after="0" w:line="372" w:lineRule="exact"/>
        <w:rPr>
          <w:sz w:val="20"/>
          <w:szCs w:val="20"/>
          <w:color w:val="auto"/>
        </w:rPr>
      </w:pPr>
    </w:p>
    <w:p>
      <w:pPr>
        <w:ind w:left="400" w:hanging="398"/>
        <w:spacing w:after="0"/>
        <w:tabs>
          <w:tab w:leader="none" w:pos="4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TO INCREASE THE COMPANY'S AUTHORIZED SHARES OF COMMON STOCK.</w:t>
      </w:r>
    </w:p>
    <w:p>
      <w:pPr>
        <w:spacing w:after="0" w:line="190" w:lineRule="exact"/>
        <w:rPr>
          <w:sz w:val="20"/>
          <w:szCs w:val="20"/>
          <w:color w:val="auto"/>
        </w:rPr>
      </w:pPr>
    </w:p>
    <w:p>
      <w:pPr>
        <w:ind w:left="1100"/>
        <w:spacing w:after="0"/>
        <w:tabs>
          <w:tab w:leader="none" w:pos="3160" w:val="left"/>
          <w:tab w:leader="none" w:pos="5760" w:val="left"/>
        </w:tabs>
        <w:rPr>
          <w:sz w:val="20"/>
          <w:szCs w:val="20"/>
          <w:color w:val="auto"/>
        </w:rPr>
      </w:pPr>
      <w:r>
        <w:rPr>
          <w:rFonts w:ascii="Courier New" w:cs="Courier New" w:eastAsia="Courier New" w:hAnsi="Courier New"/>
          <w:sz w:val="17"/>
          <w:szCs w:val="17"/>
          <w:color w:val="auto"/>
        </w:rPr>
        <w:t>FOR / /</w:t>
      </w:r>
      <w:r>
        <w:rPr>
          <w:sz w:val="20"/>
          <w:szCs w:val="20"/>
          <w:color w:val="auto"/>
        </w:rPr>
        <w:tab/>
      </w:r>
      <w:r>
        <w:rPr>
          <w:rFonts w:ascii="Courier New" w:cs="Courier New" w:eastAsia="Courier New" w:hAnsi="Courier New"/>
          <w:sz w:val="17"/>
          <w:szCs w:val="17"/>
          <w:color w:val="auto"/>
        </w:rPr>
        <w:t>AGAINST / /</w:t>
      </w:r>
      <w:r>
        <w:rPr>
          <w:sz w:val="20"/>
          <w:szCs w:val="20"/>
          <w:color w:val="auto"/>
        </w:rPr>
        <w:tab/>
      </w:r>
      <w:r>
        <w:rPr>
          <w:rFonts w:ascii="Courier New" w:cs="Courier New" w:eastAsia="Courier New" w:hAnsi="Courier New"/>
          <w:sz w:val="16"/>
          <w:szCs w:val="16"/>
          <w:color w:val="auto"/>
        </w:rPr>
        <w:t>ABSTAIN /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APPROVAL OF THE COHU, INC. 1996 STOCK OPTION PLAN.</w:t>
      </w:r>
    </w:p>
    <w:p>
      <w:pPr>
        <w:spacing w:after="0" w:line="190" w:lineRule="exact"/>
        <w:rPr>
          <w:sz w:val="20"/>
          <w:szCs w:val="20"/>
          <w:color w:val="auto"/>
        </w:rPr>
      </w:pPr>
    </w:p>
    <w:p>
      <w:pPr>
        <w:ind w:left="1100"/>
        <w:spacing w:after="0"/>
        <w:tabs>
          <w:tab w:leader="none" w:pos="3160" w:val="left"/>
          <w:tab w:leader="none" w:pos="5760" w:val="left"/>
        </w:tabs>
        <w:rPr>
          <w:sz w:val="20"/>
          <w:szCs w:val="20"/>
          <w:color w:val="auto"/>
        </w:rPr>
      </w:pPr>
      <w:r>
        <w:rPr>
          <w:rFonts w:ascii="Courier New" w:cs="Courier New" w:eastAsia="Courier New" w:hAnsi="Courier New"/>
          <w:sz w:val="17"/>
          <w:szCs w:val="17"/>
          <w:color w:val="auto"/>
        </w:rPr>
        <w:t>FOR / /</w:t>
      </w:r>
      <w:r>
        <w:rPr>
          <w:sz w:val="20"/>
          <w:szCs w:val="20"/>
          <w:color w:val="auto"/>
        </w:rPr>
        <w:tab/>
      </w:r>
      <w:r>
        <w:rPr>
          <w:rFonts w:ascii="Courier New" w:cs="Courier New" w:eastAsia="Courier New" w:hAnsi="Courier New"/>
          <w:sz w:val="17"/>
          <w:szCs w:val="17"/>
          <w:color w:val="auto"/>
        </w:rPr>
        <w:t>AGAINST / /</w:t>
      </w:r>
      <w:r>
        <w:rPr>
          <w:sz w:val="20"/>
          <w:szCs w:val="20"/>
          <w:color w:val="auto"/>
        </w:rPr>
        <w:tab/>
      </w:r>
      <w:r>
        <w:rPr>
          <w:rFonts w:ascii="Courier New" w:cs="Courier New" w:eastAsia="Courier New" w:hAnsi="Courier New"/>
          <w:sz w:val="16"/>
          <w:szCs w:val="16"/>
          <w:color w:val="auto"/>
        </w:rPr>
        <w:t>ABSTAIN / /</w:t>
      </w:r>
    </w:p>
    <w:p>
      <w:pPr>
        <w:spacing w:after="0" w:line="196" w:lineRule="exact"/>
        <w:rPr>
          <w:sz w:val="20"/>
          <w:szCs w:val="20"/>
          <w:color w:val="auto"/>
        </w:rPr>
      </w:pPr>
    </w:p>
    <w:p>
      <w:pPr>
        <w:ind w:left="400" w:hanging="398"/>
        <w:spacing w:after="0"/>
        <w:tabs>
          <w:tab w:leader="none" w:pos="4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UPON SUCH OTHER MATTERS AS MAY COME BEFORE THE MEETING.</w:t>
      </w:r>
    </w:p>
    <w:p>
      <w:pPr>
        <w:spacing w:after="0" w:line="201" w:lineRule="exact"/>
        <w:rPr>
          <w:sz w:val="20"/>
          <w:szCs w:val="20"/>
          <w:color w:val="auto"/>
        </w:rPr>
      </w:pPr>
    </w:p>
    <w:p>
      <w:pPr>
        <w:ind w:right="2359" w:firstLine="298"/>
        <w:spacing w:after="0" w:line="235" w:lineRule="auto"/>
        <w:rPr>
          <w:sz w:val="20"/>
          <w:szCs w:val="20"/>
          <w:color w:val="auto"/>
        </w:rPr>
      </w:pPr>
      <w:r>
        <w:rPr>
          <w:rFonts w:ascii="Courier New" w:cs="Courier New" w:eastAsia="Courier New" w:hAnsi="Courier New"/>
          <w:sz w:val="17"/>
          <w:szCs w:val="17"/>
          <w:color w:val="auto"/>
        </w:rPr>
        <w:t>STOCKHOLDERS WHO ATTEND THE MEETING MAY VOTE IN PERSON EVEN THOUGH THEY HAVE PREVIOUSLY MAILED THIS PROXY.</w:t>
      </w:r>
    </w:p>
    <w:p>
      <w:pPr>
        <w:spacing w:after="0" w:line="190" w:lineRule="exact"/>
        <w:rPr>
          <w:sz w:val="20"/>
          <w:szCs w:val="20"/>
          <w:color w:val="auto"/>
        </w:rPr>
      </w:pPr>
    </w:p>
    <w:p>
      <w:pPr>
        <w:spacing w:after="0"/>
        <w:tabs>
          <w:tab w:leader="none" w:pos="31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1996</w:t>
      </w:r>
    </w:p>
    <w:p>
      <w:pPr>
        <w:ind w:left="700"/>
        <w:spacing w:after="0" w:line="238" w:lineRule="auto"/>
        <w:tabs>
          <w:tab w:leader="none" w:pos="39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ind w:left="4780"/>
        <w:spacing w:after="0" w:line="238" w:lineRule="auto"/>
        <w:rPr>
          <w:sz w:val="20"/>
          <w:szCs w:val="20"/>
          <w:color w:val="auto"/>
        </w:rPr>
      </w:pPr>
      <w:r>
        <w:rPr>
          <w:rFonts w:ascii="Courier New" w:cs="Courier New" w:eastAsia="Courier New" w:hAnsi="Courier New"/>
          <w:sz w:val="17"/>
          <w:szCs w:val="17"/>
          <w:color w:val="auto"/>
        </w:rPr>
        <w:t>Signature of Stockholder</w:t>
      </w:r>
    </w:p>
    <w:p>
      <w:pPr>
        <w:spacing w:after="0" w:line="38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t>
      </w:r>
    </w:p>
    <w:p>
      <w:pPr>
        <w:ind w:left="4780"/>
        <w:spacing w:after="0" w:line="238" w:lineRule="auto"/>
        <w:rPr>
          <w:sz w:val="20"/>
          <w:szCs w:val="20"/>
          <w:color w:val="auto"/>
        </w:rPr>
      </w:pPr>
      <w:r>
        <w:rPr>
          <w:rFonts w:ascii="Courier New" w:cs="Courier New" w:eastAsia="Courier New" w:hAnsi="Courier New"/>
          <w:sz w:val="17"/>
          <w:szCs w:val="17"/>
          <w:color w:val="auto"/>
        </w:rPr>
        <w:t>Signature of Stockholder</w:t>
      </w:r>
    </w:p>
    <w:p>
      <w:pPr>
        <w:spacing w:after="0" w:line="19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IMPORTANT: Please date this Proxy and</w:t>
      </w:r>
    </w:p>
    <w:p>
      <w:pPr>
        <w:ind w:left="4080"/>
        <w:spacing w:after="0" w:line="238" w:lineRule="auto"/>
        <w:rPr>
          <w:sz w:val="20"/>
          <w:szCs w:val="20"/>
          <w:color w:val="auto"/>
        </w:rPr>
      </w:pPr>
      <w:r>
        <w:rPr>
          <w:rFonts w:ascii="Courier New" w:cs="Courier New" w:eastAsia="Courier New" w:hAnsi="Courier New"/>
          <w:sz w:val="17"/>
          <w:szCs w:val="17"/>
          <w:color w:val="auto"/>
        </w:rPr>
        <w:t>sign exactly as your name(s) appears</w:t>
      </w:r>
    </w:p>
    <w:p>
      <w:pPr>
        <w:ind w:left="4080"/>
        <w:spacing w:after="0" w:line="238" w:lineRule="auto"/>
        <w:rPr>
          <w:sz w:val="20"/>
          <w:szCs w:val="20"/>
          <w:color w:val="auto"/>
        </w:rPr>
      </w:pPr>
      <w:r>
        <w:rPr>
          <w:rFonts w:ascii="Courier New" w:cs="Courier New" w:eastAsia="Courier New" w:hAnsi="Courier New"/>
          <w:sz w:val="17"/>
          <w:szCs w:val="17"/>
          <w:color w:val="auto"/>
        </w:rPr>
        <w:t>hereon. When signing as a fiduciary,</w:t>
      </w:r>
    </w:p>
    <w:p>
      <w:pPr>
        <w:ind w:left="4080"/>
        <w:spacing w:after="0"/>
        <w:rPr>
          <w:sz w:val="20"/>
          <w:szCs w:val="20"/>
          <w:color w:val="auto"/>
        </w:rPr>
      </w:pPr>
      <w:r>
        <w:rPr>
          <w:rFonts w:ascii="Courier New" w:cs="Courier New" w:eastAsia="Courier New" w:hAnsi="Courier New"/>
          <w:sz w:val="17"/>
          <w:szCs w:val="17"/>
          <w:color w:val="auto"/>
        </w:rPr>
        <w:t>please give your full title. If shares</w:t>
      </w:r>
    </w:p>
    <w:p>
      <w:pPr>
        <w:ind w:left="4080"/>
        <w:spacing w:after="0" w:line="237" w:lineRule="auto"/>
        <w:rPr>
          <w:sz w:val="20"/>
          <w:szCs w:val="20"/>
          <w:color w:val="auto"/>
        </w:rPr>
      </w:pPr>
      <w:r>
        <w:rPr>
          <w:rFonts w:ascii="Courier New" w:cs="Courier New" w:eastAsia="Courier New" w:hAnsi="Courier New"/>
          <w:sz w:val="17"/>
          <w:szCs w:val="17"/>
          <w:color w:val="auto"/>
        </w:rPr>
        <w:t>are held in the names of two or more</w:t>
      </w:r>
    </w:p>
    <w:p>
      <w:pPr>
        <w:ind w:left="4080"/>
        <w:spacing w:after="0" w:line="238" w:lineRule="auto"/>
        <w:rPr>
          <w:sz w:val="20"/>
          <w:szCs w:val="20"/>
          <w:color w:val="auto"/>
        </w:rPr>
      </w:pPr>
      <w:r>
        <w:rPr>
          <w:rFonts w:ascii="Courier New" w:cs="Courier New" w:eastAsia="Courier New" w:hAnsi="Courier New"/>
          <w:sz w:val="17"/>
          <w:szCs w:val="17"/>
          <w:color w:val="auto"/>
        </w:rPr>
        <w:t>persons, any one may sign.</w:t>
      </w:r>
    </w:p>
    <w:p>
      <w:pPr>
        <w:spacing w:after="0" w:line="19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PLEASE DATE, SIGN AND MAIL THIS PROXY CARD IN THE ENVELOPE. NO POSTAGE IS REQUIRED FOR DOMESTIC MAILING.</w:t>
      </w:r>
    </w:p>
    <w:sectPr>
      <w:pgSz w:w="11900" w:h="16838" w:orient="portrait"/>
      <w:cols w:equalWidth="0" w:num="1">
        <w:col w:w="10219"/>
      </w:cols>
      <w:pgMar w:left="240" w:top="3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2)"/>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30"/>
    </w:lvl>
  </w:abstractNum>
  <w:abstractNum w:abstractNumId="11">
    <w:nsid w:val="25E45D32"/>
    <w:multiLevelType w:val="hybridMultilevel"/>
    <w:lvl w:ilvl="0">
      <w:lvlJc w:val="left"/>
      <w:lvlText w:val="%1."/>
      <w:numFmt w:val="decimal"/>
      <w:start w:val="2"/>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1."/>
      <w:numFmt w:val="decimal"/>
      <w:start w:val="7"/>
    </w:lvl>
  </w:abstractNum>
  <w:abstractNum w:abstractNumId="14">
    <w:nsid w:val="3F2DBA31"/>
    <w:multiLevelType w:val="hybridMultilevel"/>
    <w:lvl w:ilvl="0">
      <w:lvlJc w:val="left"/>
      <w:lvlText w:val="%1"/>
      <w:numFmt w:val="decimal"/>
      <w:start w:val="1"/>
    </w:lvl>
    <w:lvl w:ilvl="1">
      <w:lvlJc w:val="left"/>
      <w:lvlText w:val="(%2)"/>
      <w:numFmt w:val="lowerLetter"/>
      <w:start w:val="1"/>
    </w:lvl>
  </w:abstractNum>
  <w:abstractNum w:abstractNumId="15">
    <w:nsid w:val="7C83E458"/>
    <w:multiLevelType w:val="hybridMultilevel"/>
    <w:lvl w:ilvl="0">
      <w:lvlJc w:val="left"/>
      <w:lvlText w:val="(%1)"/>
      <w:numFmt w:val="decimal"/>
      <w:start w:val="5"/>
    </w:lvl>
    <w:lvl w:ilvl="1">
      <w:lvlJc w:val="left"/>
      <w:lvlText w:val="%2"/>
      <w:numFmt w:val="lowerLetter"/>
      <w:start w:val="1"/>
    </w:lvl>
  </w:abstractNum>
  <w:abstractNum w:abstractNumId="16">
    <w:nsid w:val="257130A3"/>
    <w:multiLevelType w:val="hybridMultilevel"/>
    <w:lvl w:ilvl="0">
      <w:lvlJc w:val="left"/>
      <w:lvlText w:val="%1"/>
      <w:numFmt w:val="decimal"/>
      <w:start w:val="1"/>
    </w:lvl>
    <w:lvl w:ilvl="1">
      <w:lvlJc w:val="left"/>
      <w:lvlText w:val="(%2)"/>
      <w:numFmt w:val="lowerLetter"/>
      <w:start w:val="4"/>
    </w:lvl>
  </w:abstractNum>
  <w:abstractNum w:abstractNumId="17">
    <w:nsid w:val="62BBD95A"/>
    <w:multiLevelType w:val="hybridMultilevel"/>
    <w:lvl w:ilvl="0">
      <w:lvlJc w:val="left"/>
      <w:lvlText w:val="%1."/>
      <w:numFmt w:val="decimal"/>
      <w:start w:val="9"/>
    </w:lvl>
    <w:lvl w:ilvl="1">
      <w:lvlJc w:val="left"/>
      <w:lvlText w:val="%2"/>
      <w:numFmt w:val="lowerLetter"/>
      <w:start w:val="1"/>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3"/>
    </w:lvl>
  </w:abstractNum>
  <w:abstractNum w:abstractNumId="20">
    <w:nsid w:val="333AB105"/>
    <w:multiLevelType w:val="hybridMultilevel"/>
    <w:lvl w:ilvl="0">
      <w:lvlJc w:val="left"/>
      <w:lvlText w:val="%1."/>
      <w:numFmt w:val="decimal"/>
      <w:start w:val="2"/>
    </w:lvl>
  </w:abstractNum>
  <w:abstractNum w:abstractNumId="21">
    <w:nsid w:val="721DA31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2019-12-20T01:30:22Z</dcterms:created>
  <dcterms:modified xsi:type="dcterms:W3CDTF">2019-12-20T01:30:22Z</dcterms:modified>
</cp:coreProperties>
</file>