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960"/>
        <w:spacing w:after="0"/>
        <w:tabs>
          <w:tab w:leader="none" w:pos="4940" w:val="left"/>
        </w:tabs>
        <w:rPr>
          <w:sz w:val="20"/>
          <w:szCs w:val="20"/>
          <w:color w:val="auto"/>
        </w:rPr>
      </w:pPr>
      <w:r>
        <w:rPr>
          <w:rFonts w:ascii="Courier New" w:cs="Courier New" w:eastAsia="Courier New" w:hAnsi="Courier New"/>
          <w:sz w:val="18"/>
          <w:szCs w:val="18"/>
          <w:color w:val="auto"/>
        </w:rPr>
        <w:t>WASHINGTON, D. 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420" w:hanging="307"/>
        <w:spacing w:after="0"/>
        <w:tabs>
          <w:tab w:leader="none" w:pos="4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 (d) OF THE SECURITIES EXCHANGE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ACT OF 1934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quarterly period ended June 30, 1995</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right="2619" w:firstLine="421"/>
        <w:spacing w:after="0" w:line="235" w:lineRule="auto"/>
        <w:rPr>
          <w:sz w:val="20"/>
          <w:szCs w:val="20"/>
          <w:color w:val="auto"/>
        </w:rPr>
      </w:pPr>
      <w:r>
        <w:rPr>
          <w:rFonts w:ascii="Courier New" w:cs="Courier New" w:eastAsia="Courier New" w:hAnsi="Courier New"/>
          <w:sz w:val="18"/>
          <w:szCs w:val="18"/>
          <w:color w:val="auto"/>
        </w:rPr>
        <w:t>TRANSITION REPORT PURSUANT TO SECTION 13 OR 15 (d) OF THE SECURITIES ---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1-4298</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7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6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6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jc w:val="center"/>
        <w:ind w:right="5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95-1934119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38" w:orient="portrait"/>
          <w:cols w:equalWidth="0" w:num="2">
            <w:col w:w="3920" w:space="720"/>
            <w:col w:w="557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5755 Kearny Villa Road, San Diego, California</w:t>
      </w:r>
      <w:r>
        <w:rPr>
          <w:sz w:val="20"/>
          <w:szCs w:val="20"/>
          <w:color w:val="auto"/>
        </w:rPr>
        <w:tab/>
      </w:r>
      <w:r>
        <w:rPr>
          <w:rFonts w:ascii="Courier New" w:cs="Courier New" w:eastAsia="Courier New" w:hAnsi="Courier New"/>
          <w:sz w:val="16"/>
          <w:szCs w:val="16"/>
          <w:color w:val="auto"/>
        </w:rPr>
        <w:t>92123</w:t>
      </w:r>
    </w:p>
    <w:p>
      <w:pPr>
        <w:spacing w:after="0"/>
        <w:tabs>
          <w:tab w:leader="none" w:pos="6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tabs>
          <w:tab w:leader="none" w:pos="6940" w:val="left"/>
        </w:tabs>
        <w:rPr>
          <w:sz w:val="20"/>
          <w:szCs w:val="20"/>
          <w:color w:val="auto"/>
        </w:rPr>
      </w:pPr>
      <w:r>
        <w:rPr>
          <w:rFonts w:ascii="Courier New" w:cs="Courier New" w:eastAsia="Courier New" w:hAnsi="Courier New"/>
          <w:sz w:val="18"/>
          <w:szCs w:val="18"/>
          <w:color w:val="auto"/>
        </w:rPr>
        <w:t>(Address of principal executive office)</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(619) 277-6700</w:t>
      </w:r>
    </w:p>
    <w:p>
      <w:pPr>
        <w:ind w:left="6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244" w:right="1440" w:bottom="1440" w:gutter="0" w:footer="0" w:header="0"/>
          <w:type w:val="continuous"/>
        </w:sectPr>
      </w:pPr>
    </w:p>
    <w:p>
      <w:pPr>
        <w:spacing w:after="0" w:line="209" w:lineRule="exact"/>
        <w:rPr>
          <w:sz w:val="24"/>
          <w:szCs w:val="24"/>
          <w:color w:val="auto"/>
        </w:rPr>
      </w:pPr>
    </w:p>
    <w:p>
      <w:pPr>
        <w:ind w:left="590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1" w:lineRule="exact"/>
        <w:rPr>
          <w:sz w:val="24"/>
          <w:szCs w:val="24"/>
          <w:color w:val="auto"/>
        </w:rPr>
      </w:pPr>
    </w:p>
    <w:p>
      <w:pPr>
        <w:sectPr>
          <w:pgSz w:w="11900" w:h="16838" w:orient="portrait"/>
          <w:cols w:equalWidth="0" w:num="3">
            <w:col w:w="6220" w:space="320"/>
            <w:col w:w="100" w:space="640"/>
            <w:col w:w="2939"/>
          </w:cols>
          <w:pgMar w:left="240" w:top="244" w:right="1440" w:bottom="1440" w:gutter="0" w:footer="0" w:header="0"/>
          <w:type w:val="continuous"/>
        </w:sect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6880" w:space="720"/>
            <w:col w:w="2619"/>
          </w:cols>
          <w:pgMar w:left="240" w:top="244" w:right="1440" w:bottom="1440" w:gutter="0" w:footer="0" w:header="0"/>
          <w:type w:val="continuous"/>
        </w:sectPr>
      </w:pPr>
    </w:p>
    <w:p>
      <w:pPr>
        <w:spacing w:after="0" w:line="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8,977,330</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(Number of shares of common stock outstanding as of June 30, 1995)</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tbl>
      <w:tblPr>
        <w:tblLayout w:type="fixed"/>
        <w:tblInd w:w="0" w:type="dxa"/>
        <w:tblCellMar>
          <w:top w:w="0" w:type="dxa"/>
          <w:left w:w="0" w:type="dxa"/>
          <w:bottom w:w="0" w:type="dxa"/>
          <w:right w:w="0" w:type="dxa"/>
        </w:tblCellMar>
      </w:tblPr>
      <w:tr>
        <w:trPr>
          <w:trHeight w:val="203"/>
        </w:trPr>
        <w:tc>
          <w:tcPr>
            <w:tcW w:w="11020" w:type="dxa"/>
            <w:vAlign w:val="bottom"/>
          </w:tcPr>
          <w:p>
            <w:pPr>
              <w:ind w:left="3900"/>
              <w:spacing w:after="0" w:line="203" w:lineRule="exact"/>
              <w:rPr>
                <w:sz w:val="20"/>
                <w:szCs w:val="20"/>
                <w:color w:val="auto"/>
              </w:rPr>
            </w:pPr>
            <w:r>
              <w:rPr>
                <w:rFonts w:ascii="Courier New" w:cs="Courier New" w:eastAsia="Courier New" w:hAnsi="Courier New"/>
                <w:sz w:val="18"/>
                <w:szCs w:val="18"/>
                <w:color w:val="auto"/>
              </w:rPr>
              <w:t>INDEX</w:t>
            </w:r>
          </w:p>
        </w:tc>
        <w:tc>
          <w:tcPr>
            <w:tcW w:w="260" w:type="dxa"/>
            <w:vAlign w:val="bottom"/>
          </w:tcPr>
          <w:p>
            <w:pPr>
              <w:spacing w:after="0"/>
              <w:rPr>
                <w:sz w:val="17"/>
                <w:szCs w:val="17"/>
                <w:color w:val="auto"/>
              </w:rPr>
            </w:pPr>
          </w:p>
        </w:tc>
      </w:tr>
      <w:tr>
        <w:trPr>
          <w:trHeight w:val="608"/>
        </w:trPr>
        <w:tc>
          <w:tcPr>
            <w:tcW w:w="1102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260" w:type="dxa"/>
            <w:vAlign w:val="bottom"/>
          </w:tcPr>
          <w:p>
            <w:pPr>
              <w:spacing w:after="0"/>
              <w:rPr>
                <w:sz w:val="24"/>
                <w:szCs w:val="24"/>
                <w:color w:val="auto"/>
              </w:rPr>
            </w:pPr>
          </w:p>
        </w:tc>
      </w:tr>
      <w:tr>
        <w:trPr>
          <w:trHeight w:val="203"/>
        </w:trPr>
        <w:tc>
          <w:tcPr>
            <w:tcW w:w="110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r>
      <w:tr>
        <w:trPr>
          <w:trHeight w:val="608"/>
        </w:trPr>
        <w:tc>
          <w:tcPr>
            <w:tcW w:w="11020" w:type="dxa"/>
            <w:vAlign w:val="bottom"/>
          </w:tcPr>
          <w:p>
            <w:pPr>
              <w:ind w:left="120"/>
              <w:spacing w:after="0"/>
              <w:rPr>
                <w:sz w:val="20"/>
                <w:szCs w:val="20"/>
                <w:color w:val="auto"/>
              </w:rPr>
            </w:pPr>
            <w:r>
              <w:rPr>
                <w:rFonts w:ascii="Courier New" w:cs="Courier New" w:eastAsia="Courier New" w:hAnsi="Courier New"/>
                <w:sz w:val="18"/>
                <w:szCs w:val="18"/>
                <w:color w:val="auto"/>
              </w:rPr>
              <w:t>Financial Information:</w:t>
            </w:r>
          </w:p>
        </w:tc>
        <w:tc>
          <w:tcPr>
            <w:tcW w:w="260" w:type="dxa"/>
            <w:vAlign w:val="bottom"/>
          </w:tcPr>
          <w:p>
            <w:pPr>
              <w:spacing w:after="0"/>
              <w:rPr>
                <w:sz w:val="24"/>
                <w:szCs w:val="24"/>
                <w:color w:val="auto"/>
              </w:rPr>
            </w:pPr>
          </w:p>
        </w:tc>
      </w:tr>
      <w:tr>
        <w:trPr>
          <w:trHeight w:val="405"/>
        </w:trPr>
        <w:tc>
          <w:tcPr>
            <w:tcW w:w="11020" w:type="dxa"/>
            <w:vAlign w:val="bottom"/>
          </w:tcPr>
          <w:p>
            <w:pPr>
              <w:ind w:left="740"/>
              <w:spacing w:after="0"/>
              <w:rPr>
                <w:sz w:val="20"/>
                <w:szCs w:val="20"/>
                <w:color w:val="auto"/>
              </w:rPr>
            </w:pPr>
            <w:r>
              <w:rPr>
                <w:rFonts w:ascii="Courier New" w:cs="Courier New" w:eastAsia="Courier New" w:hAnsi="Courier New"/>
                <w:sz w:val="18"/>
                <w:szCs w:val="18"/>
                <w:color w:val="auto"/>
              </w:rPr>
              <w:t>Consolidated Balance Sheets (Unaudited)</w:t>
            </w:r>
          </w:p>
        </w:tc>
        <w:tc>
          <w:tcPr>
            <w:tcW w:w="260" w:type="dxa"/>
            <w:vAlign w:val="bottom"/>
          </w:tcPr>
          <w:p>
            <w:pPr>
              <w:spacing w:after="0"/>
              <w:rPr>
                <w:sz w:val="24"/>
                <w:szCs w:val="24"/>
                <w:color w:val="auto"/>
              </w:rPr>
            </w:pPr>
          </w:p>
        </w:tc>
      </w:tr>
      <w:tr>
        <w:trPr>
          <w:trHeight w:val="203"/>
        </w:trPr>
        <w:tc>
          <w:tcPr>
            <w:tcW w:w="11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8"/>
              </w:rPr>
              <w:t>June 30, 1995 and December 31, 1994  . . . . . . . . . . . . . . . . . . .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608"/>
        </w:trPr>
        <w:tc>
          <w:tcPr>
            <w:tcW w:w="11020" w:type="dxa"/>
            <w:vAlign w:val="bottom"/>
          </w:tcPr>
          <w:p>
            <w:pPr>
              <w:ind w:left="740"/>
              <w:spacing w:after="0"/>
              <w:rPr>
                <w:sz w:val="20"/>
                <w:szCs w:val="20"/>
                <w:color w:val="auto"/>
              </w:rPr>
            </w:pPr>
            <w:r>
              <w:rPr>
                <w:rFonts w:ascii="Courier New" w:cs="Courier New" w:eastAsia="Courier New" w:hAnsi="Courier New"/>
                <w:sz w:val="18"/>
                <w:szCs w:val="18"/>
                <w:color w:val="auto"/>
              </w:rPr>
              <w:t>Consolidated Statements of Income (Unaudited)</w:t>
            </w:r>
          </w:p>
        </w:tc>
        <w:tc>
          <w:tcPr>
            <w:tcW w:w="260" w:type="dxa"/>
            <w:vAlign w:val="bottom"/>
          </w:tcPr>
          <w:p>
            <w:pPr>
              <w:spacing w:after="0"/>
              <w:rPr>
                <w:sz w:val="24"/>
                <w:szCs w:val="24"/>
                <w:color w:val="auto"/>
              </w:rPr>
            </w:pPr>
          </w:p>
        </w:tc>
      </w:tr>
      <w:tr>
        <w:trPr>
          <w:trHeight w:val="203"/>
        </w:trPr>
        <w:tc>
          <w:tcPr>
            <w:tcW w:w="11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8"/>
              </w:rPr>
              <w:t>Three and Six Months Ended June 30, 1995 and 1994  . . . . . . . . . . . .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608"/>
        </w:trPr>
        <w:tc>
          <w:tcPr>
            <w:tcW w:w="11020" w:type="dxa"/>
            <w:vAlign w:val="bottom"/>
          </w:tcPr>
          <w:p>
            <w:pPr>
              <w:ind w:left="740"/>
              <w:spacing w:after="0"/>
              <w:rPr>
                <w:sz w:val="20"/>
                <w:szCs w:val="20"/>
                <w:color w:val="auto"/>
              </w:rPr>
            </w:pPr>
            <w:r>
              <w:rPr>
                <w:rFonts w:ascii="Courier New" w:cs="Courier New" w:eastAsia="Courier New" w:hAnsi="Courier New"/>
                <w:sz w:val="18"/>
                <w:szCs w:val="18"/>
                <w:color w:val="auto"/>
              </w:rPr>
              <w:t>Consolidated Statements of Cash Flows (Unaudited)</w:t>
            </w:r>
          </w:p>
        </w:tc>
        <w:tc>
          <w:tcPr>
            <w:tcW w:w="260" w:type="dxa"/>
            <w:vAlign w:val="bottom"/>
          </w:tcPr>
          <w:p>
            <w:pPr>
              <w:spacing w:after="0"/>
              <w:rPr>
                <w:sz w:val="24"/>
                <w:szCs w:val="24"/>
                <w:color w:val="auto"/>
              </w:rPr>
            </w:pPr>
          </w:p>
        </w:tc>
      </w:tr>
      <w:tr>
        <w:trPr>
          <w:trHeight w:val="203"/>
        </w:trPr>
        <w:tc>
          <w:tcPr>
            <w:tcW w:w="11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8"/>
              </w:rPr>
              <w:t>Six Months Ended June 30, 1995 and 1994  . . . . . . . . . . . . . . . . .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608"/>
        </w:trPr>
        <w:tc>
          <w:tcPr>
            <w:tcW w:w="11020" w:type="dxa"/>
            <w:vAlign w:val="bottom"/>
          </w:tcPr>
          <w:p>
            <w:pPr>
              <w:ind w:left="740"/>
              <w:spacing w:after="0"/>
              <w:rPr>
                <w:sz w:val="20"/>
                <w:szCs w:val="20"/>
                <w:color w:val="auto"/>
              </w:rPr>
            </w:pPr>
            <w:r>
              <w:rPr>
                <w:rFonts w:ascii="Courier New" w:cs="Courier New" w:eastAsia="Courier New" w:hAnsi="Courier New"/>
                <w:sz w:val="18"/>
                <w:szCs w:val="18"/>
                <w:color w:val="auto"/>
                <w:w w:val="98"/>
              </w:rPr>
              <w:t>Notes to Unaudited Consolidated Financial Statements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608"/>
        </w:trPr>
        <w:tc>
          <w:tcPr>
            <w:tcW w:w="11020" w:type="dxa"/>
            <w:vAlign w:val="bottom"/>
          </w:tcPr>
          <w:p>
            <w:pPr>
              <w:ind w:left="740"/>
              <w:spacing w:after="0"/>
              <w:rPr>
                <w:sz w:val="20"/>
                <w:szCs w:val="20"/>
                <w:color w:val="auto"/>
              </w:rPr>
            </w:pPr>
            <w:r>
              <w:rPr>
                <w:rFonts w:ascii="Courier New" w:cs="Courier New" w:eastAsia="Courier New" w:hAnsi="Courier New"/>
                <w:sz w:val="18"/>
                <w:szCs w:val="18"/>
                <w:color w:val="auto"/>
              </w:rPr>
              <w:t>Management's Discussion and Analysis of</w:t>
            </w:r>
          </w:p>
        </w:tc>
        <w:tc>
          <w:tcPr>
            <w:tcW w:w="260" w:type="dxa"/>
            <w:vAlign w:val="bottom"/>
          </w:tcPr>
          <w:p>
            <w:pPr>
              <w:spacing w:after="0"/>
              <w:rPr>
                <w:sz w:val="24"/>
                <w:szCs w:val="24"/>
                <w:color w:val="auto"/>
              </w:rPr>
            </w:pPr>
          </w:p>
        </w:tc>
      </w:tr>
      <w:tr>
        <w:trPr>
          <w:trHeight w:val="203"/>
        </w:trPr>
        <w:tc>
          <w:tcPr>
            <w:tcW w:w="11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8"/>
              </w:rPr>
              <w:t>Financial Condition and Results of Operations  . . . . . . . . . . . . . .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tabs>
          <w:tab w:leader="none" w:pos="2100" w:val="left"/>
          <w:tab w:leader="none" w:pos="11160" w:val="left"/>
        </w:tabs>
        <w:rPr>
          <w:sz w:val="20"/>
          <w:szCs w:val="20"/>
          <w:color w:val="auto"/>
        </w:rPr>
      </w:pPr>
      <w:r>
        <w:rPr>
          <w:rFonts w:ascii="Courier New" w:cs="Courier New" w:eastAsia="Courier New" w:hAnsi="Courier New"/>
          <w:sz w:val="18"/>
          <w:szCs w:val="18"/>
          <w:color w:val="auto"/>
        </w:rPr>
        <w:t>Other Information</w:t>
        <w:tab/>
        <w:t>. . . . . . . . . . . . . . . . . . . . . . . . . . . . . . . . . . . . . . . . . .</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1280"/>
          </w:cols>
          <w:pgMar w:left="240" w:top="312" w:right="379"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6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8"/>
              </w:rPr>
              <w:t>June 30, 1995</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December 31, 1994</w:t>
            </w:r>
          </w:p>
        </w:tc>
      </w:tr>
      <w:tr>
        <w:trPr>
          <w:trHeight w:val="203"/>
        </w:trPr>
        <w:tc>
          <w:tcPr>
            <w:tcW w:w="5120" w:type="dxa"/>
            <w:vAlign w:val="bottom"/>
          </w:tcPr>
          <w:p>
            <w:pPr>
              <w:spacing w:after="0"/>
              <w:rPr>
                <w:sz w:val="17"/>
                <w:szCs w:val="17"/>
                <w:color w:val="auto"/>
              </w:rPr>
            </w:pPr>
          </w:p>
        </w:tc>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6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2060" w:type="dxa"/>
            <w:vAlign w:val="bottom"/>
          </w:tcPr>
          <w:p>
            <w:pPr>
              <w:spacing w:after="0"/>
              <w:rPr>
                <w:sz w:val="17"/>
                <w:szCs w:val="17"/>
                <w:color w:val="auto"/>
              </w:rPr>
            </w:pP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6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$11,719</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$ 3,096</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less allowance</w:t>
            </w:r>
          </w:p>
        </w:tc>
        <w:tc>
          <w:tcPr>
            <w:tcW w:w="1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doubtful accounts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24,959</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20,487</w:t>
            </w:r>
          </w:p>
        </w:tc>
      </w:tr>
      <w:tr>
        <w:trPr>
          <w:trHeight w:val="203"/>
        </w:trPr>
        <w:tc>
          <w:tcPr>
            <w:tcW w:w="6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Inventories, at lower of average cost or market:</w:t>
            </w:r>
          </w:p>
        </w:tc>
        <w:tc>
          <w:tcPr>
            <w:tcW w:w="2060" w:type="dxa"/>
            <w:vAlign w:val="bottom"/>
          </w:tcPr>
          <w:p>
            <w:pPr>
              <w:spacing w:after="0"/>
              <w:rPr>
                <w:sz w:val="17"/>
                <w:szCs w:val="17"/>
                <w:color w:val="auto"/>
              </w:rPr>
            </w:pP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goods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2,501</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3,920</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 in process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11,113</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8,800</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Material and parts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13,830</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15,721</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27,444</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28,441</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3,250</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3,250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614</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638</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67,986</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55,912</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16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150</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 and building improvements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7,779</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7,721</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electronic test equipment</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7,447</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7,314</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 furniture and fixtures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3,430</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3,251</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18,806</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18,436</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Less accumulated depreciation and amortization</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9,879</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9,357</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property, plant and equipment</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8,927</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9,079</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2,979</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3,315</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61</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$79,953</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$68,368</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6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$11,772</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$ 6,382</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988</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1,930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9,793</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9,520</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22,553</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17,832</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note payable to bank</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1,400</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retiree medical benefits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830</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801</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964</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964</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6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8,977</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8,810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Paid in excess of par</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2,425</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2,105</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44,204</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36,456</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55,606</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47,371</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$79,953</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$68,368</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rPr>
          <w:sz w:val="20"/>
          <w:szCs w:val="20"/>
          <w:color w:val="auto"/>
        </w:rPr>
      </w:pPr>
      <w:r>
        <w:rPr>
          <w:rFonts w:ascii="Courier New" w:cs="Courier New" w:eastAsia="Courier New" w:hAnsi="Courier New"/>
          <w:sz w:val="18"/>
          <w:szCs w:val="18"/>
          <w:color w:val="auto"/>
        </w:rPr>
        <w:t>CONSOLIDATED STATEMENTS OF INCOME</w:t>
      </w:r>
    </w:p>
    <w:p>
      <w:pPr>
        <w:spacing w:after="0" w:line="237"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326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8"/>
              </w:rPr>
              <w:t>Three Months Ended June 30,</w:t>
            </w:r>
          </w:p>
        </w:tc>
        <w:tc>
          <w:tcPr>
            <w:tcW w:w="3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Six Months Ended June 30,</w:t>
            </w:r>
          </w:p>
        </w:tc>
      </w:tr>
      <w:tr>
        <w:trPr>
          <w:trHeight w:val="203"/>
        </w:trPr>
        <w:tc>
          <w:tcPr>
            <w:tcW w:w="3860" w:type="dxa"/>
            <w:vAlign w:val="bottom"/>
          </w:tcPr>
          <w:p>
            <w:pPr>
              <w:spacing w:after="0"/>
              <w:rPr>
                <w:sz w:val="17"/>
                <w:szCs w:val="17"/>
                <w:color w:val="auto"/>
              </w:rPr>
            </w:pPr>
          </w:p>
        </w:tc>
        <w:tc>
          <w:tcPr>
            <w:tcW w:w="32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8"/>
              </w:rPr>
              <w:t>---------------------------</w:t>
            </w:r>
          </w:p>
        </w:tc>
        <w:tc>
          <w:tcPr>
            <w:tcW w:w="3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c>
          <w:tcPr>
            <w:tcW w:w="2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21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1995</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86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8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(Unaudited)</w:t>
            </w:r>
          </w:p>
        </w:tc>
        <w:tc>
          <w:tcPr>
            <w:tcW w:w="900" w:type="dxa"/>
            <w:vAlign w:val="bottom"/>
          </w:tcPr>
          <w:p>
            <w:pPr>
              <w:spacing w:after="0"/>
              <w:rPr>
                <w:sz w:val="17"/>
                <w:szCs w:val="17"/>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$45,212</w:t>
            </w:r>
          </w:p>
        </w:tc>
        <w:tc>
          <w:tcPr>
            <w:tcW w:w="2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$22,612</w:t>
            </w:r>
          </w:p>
        </w:tc>
        <w:tc>
          <w:tcPr>
            <w:tcW w:w="21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$77,394</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$40,130</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8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 of sales</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27,317</w:t>
            </w:r>
          </w:p>
        </w:tc>
        <w:tc>
          <w:tcPr>
            <w:tcW w:w="2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14,010</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46,676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24,462</w:t>
            </w: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2,690</w:t>
            </w:r>
          </w:p>
        </w:tc>
        <w:tc>
          <w:tcPr>
            <w:tcW w:w="2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1,715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4,925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3,249</w:t>
            </w: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Selling, general and administrative</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7,156</w:t>
            </w:r>
          </w:p>
        </w:tc>
        <w:tc>
          <w:tcPr>
            <w:tcW w:w="2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3,400</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12,088</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6,370</w:t>
            </w:r>
          </w:p>
        </w:tc>
      </w:tr>
      <w:tr>
        <w:trPr>
          <w:trHeight w:val="203"/>
        </w:trPr>
        <w:tc>
          <w:tcPr>
            <w:tcW w:w="386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8,049</w:t>
            </w:r>
          </w:p>
        </w:tc>
        <w:tc>
          <w:tcPr>
            <w:tcW w:w="2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3,487</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13,705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6,049</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w:t>
            </w:r>
          </w:p>
        </w:tc>
        <w:tc>
          <w:tcPr>
            <w:tcW w:w="2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127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2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w:t>
            </w:r>
          </w:p>
        </w:tc>
        <w:tc>
          <w:tcPr>
            <w:tcW w:w="21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386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8,140</w:t>
            </w:r>
          </w:p>
        </w:tc>
        <w:tc>
          <w:tcPr>
            <w:tcW w:w="2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3,463</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13,820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6,044</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3,200</w:t>
            </w:r>
          </w:p>
        </w:tc>
        <w:tc>
          <w:tcPr>
            <w:tcW w:w="2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1,290</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5,400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2,240</w:t>
            </w:r>
          </w:p>
        </w:tc>
      </w:tr>
      <w:tr>
        <w:trPr>
          <w:trHeight w:val="203"/>
        </w:trPr>
        <w:tc>
          <w:tcPr>
            <w:tcW w:w="386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$ 4,940</w:t>
            </w:r>
          </w:p>
        </w:tc>
        <w:tc>
          <w:tcPr>
            <w:tcW w:w="2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$ 2,173</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$ 8,420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$ 3,804</w:t>
            </w:r>
          </w:p>
        </w:tc>
      </w:tr>
      <w:tr>
        <w:trPr>
          <w:trHeight w:val="203"/>
        </w:trPr>
        <w:tc>
          <w:tcPr>
            <w:tcW w:w="386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share</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w:t>
            </w:r>
          </w:p>
        </w:tc>
        <w:tc>
          <w:tcPr>
            <w:tcW w:w="2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$.89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386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17"/>
                <w:szCs w:val="17"/>
                <w:color w:val="auto"/>
              </w:rPr>
            </w:pPr>
          </w:p>
        </w:tc>
        <w:tc>
          <w:tcPr>
            <w:tcW w:w="28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Six Months Ended June 30,</w:t>
            </w:r>
          </w:p>
        </w:tc>
      </w:tr>
      <w:tr>
        <w:trPr>
          <w:trHeight w:val="203"/>
        </w:trPr>
        <w:tc>
          <w:tcPr>
            <w:tcW w:w="6020" w:type="dxa"/>
            <w:vAlign w:val="bottom"/>
          </w:tcPr>
          <w:p>
            <w:pPr>
              <w:spacing w:after="0"/>
              <w:rPr>
                <w:sz w:val="17"/>
                <w:szCs w:val="17"/>
                <w:color w:val="auto"/>
              </w:rPr>
            </w:pPr>
          </w:p>
        </w:tc>
        <w:tc>
          <w:tcPr>
            <w:tcW w:w="28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rPr>
                <w:sz w:val="17"/>
                <w:szCs w:val="17"/>
                <w:color w:val="auto"/>
              </w:rPr>
            </w:pPr>
          </w:p>
        </w:tc>
        <w:tc>
          <w:tcPr>
            <w:tcW w:w="20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1995</w:t>
            </w:r>
          </w:p>
        </w:tc>
        <w:tc>
          <w:tcPr>
            <w:tcW w:w="1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1994</w:t>
            </w:r>
          </w:p>
        </w:tc>
      </w:tr>
      <w:tr>
        <w:trPr>
          <w:trHeight w:val="203"/>
        </w:trPr>
        <w:tc>
          <w:tcPr>
            <w:tcW w:w="6020" w:type="dxa"/>
            <w:vAlign w:val="bottom"/>
          </w:tcPr>
          <w:p>
            <w:pPr>
              <w:spacing w:after="0"/>
              <w:rPr>
                <w:sz w:val="17"/>
                <w:szCs w:val="17"/>
                <w:color w:val="auto"/>
              </w:rPr>
            </w:pP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60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$ 8,420</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$ 3,804</w:t>
            </w:r>
          </w:p>
        </w:tc>
      </w:tr>
      <w:tr>
        <w:trPr>
          <w:trHeight w:val="203"/>
        </w:trPr>
        <w:tc>
          <w:tcPr>
            <w:tcW w:w="6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870</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492</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accrued retiree medical benefits</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29</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Changes in assets and liabilities, net of effects from</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of Daymarc:</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20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(4,472)</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(7,907)</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997</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(5,042)</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24</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5,390</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6,241</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0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(942)</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(632)</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273</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w:t>
            </w:r>
          </w:p>
        </w:tc>
      </w:tr>
      <w:tr>
        <w:trPr>
          <w:trHeight w:val="203"/>
        </w:trPr>
        <w:tc>
          <w:tcPr>
            <w:tcW w:w="6020" w:type="dxa"/>
            <w:vAlign w:val="bottom"/>
          </w:tcPr>
          <w:p>
            <w:pPr>
              <w:spacing w:after="0"/>
              <w:rPr>
                <w:sz w:val="17"/>
                <w:szCs w:val="17"/>
                <w:color w:val="auto"/>
              </w:rPr>
            </w:pP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from (used by) operating activities</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10,589</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(2,975)</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Purchase of equipment</w:t>
            </w:r>
          </w:p>
        </w:tc>
        <w:tc>
          <w:tcPr>
            <w:tcW w:w="20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(382)</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w:t>
            </w:r>
          </w:p>
        </w:tc>
      </w:tr>
      <w:tr>
        <w:trPr>
          <w:trHeight w:val="203"/>
        </w:trPr>
        <w:tc>
          <w:tcPr>
            <w:tcW w:w="6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assets</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6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Purchase of Daymarc, net of cash acquired</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(3,506)</w:t>
            </w:r>
          </w:p>
        </w:tc>
      </w:tr>
      <w:tr>
        <w:trPr>
          <w:trHeight w:val="203"/>
        </w:trPr>
        <w:tc>
          <w:tcPr>
            <w:tcW w:w="6020" w:type="dxa"/>
            <w:vAlign w:val="bottom"/>
          </w:tcPr>
          <w:p>
            <w:pPr>
              <w:spacing w:after="0"/>
              <w:rPr>
                <w:sz w:val="17"/>
                <w:szCs w:val="17"/>
                <w:color w:val="auto"/>
              </w:rPr>
            </w:pP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20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(381)</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(3,953)</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long-term borrowings</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6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Reduction in long-term borrowings</w:t>
            </w:r>
          </w:p>
        </w:tc>
        <w:tc>
          <w:tcPr>
            <w:tcW w:w="20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(1,400)</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Issuance of stock</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487</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w:t>
            </w:r>
          </w:p>
        </w:tc>
      </w:tr>
      <w:tr>
        <w:trPr>
          <w:trHeight w:val="203"/>
        </w:trPr>
        <w:tc>
          <w:tcPr>
            <w:tcW w:w="6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Dividends paid</w:t>
            </w:r>
          </w:p>
        </w:tc>
        <w:tc>
          <w:tcPr>
            <w:tcW w:w="20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(672)</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w:t>
            </w:r>
          </w:p>
        </w:tc>
      </w:tr>
      <w:tr>
        <w:trPr>
          <w:trHeight w:val="203"/>
        </w:trPr>
        <w:tc>
          <w:tcPr>
            <w:tcW w:w="6020" w:type="dxa"/>
            <w:vAlign w:val="bottom"/>
          </w:tcPr>
          <w:p>
            <w:pPr>
              <w:spacing w:after="0"/>
              <w:rPr>
                <w:sz w:val="17"/>
                <w:szCs w:val="17"/>
                <w:color w:val="auto"/>
              </w:rPr>
            </w:pP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for) financing activities</w:t>
            </w:r>
          </w:p>
        </w:tc>
        <w:tc>
          <w:tcPr>
            <w:tcW w:w="20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(1,585)</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3,666</w:t>
            </w:r>
          </w:p>
        </w:tc>
      </w:tr>
      <w:tr>
        <w:trPr>
          <w:trHeight w:val="203"/>
        </w:trPr>
        <w:tc>
          <w:tcPr>
            <w:tcW w:w="6020" w:type="dxa"/>
            <w:vAlign w:val="bottom"/>
          </w:tcPr>
          <w:p>
            <w:pPr>
              <w:spacing w:after="0"/>
              <w:rPr>
                <w:sz w:val="17"/>
                <w:szCs w:val="17"/>
                <w:color w:val="auto"/>
              </w:rPr>
            </w:pP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8,623</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(3,262)</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period</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3,096</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3,911</w:t>
            </w:r>
          </w:p>
        </w:tc>
      </w:tr>
      <w:tr>
        <w:trPr>
          <w:trHeight w:val="203"/>
        </w:trPr>
        <w:tc>
          <w:tcPr>
            <w:tcW w:w="6020" w:type="dxa"/>
            <w:vAlign w:val="bottom"/>
          </w:tcPr>
          <w:p>
            <w:pPr>
              <w:spacing w:after="0"/>
              <w:rPr>
                <w:sz w:val="17"/>
                <w:szCs w:val="17"/>
                <w:color w:val="auto"/>
              </w:rPr>
            </w:pP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$11,719</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649</w:t>
            </w:r>
          </w:p>
        </w:tc>
      </w:tr>
      <w:tr>
        <w:trPr>
          <w:trHeight w:val="203"/>
        </w:trPr>
        <w:tc>
          <w:tcPr>
            <w:tcW w:w="6020" w:type="dxa"/>
            <w:vAlign w:val="bottom"/>
          </w:tcPr>
          <w:p>
            <w:pPr>
              <w:spacing w:after="0"/>
              <w:rPr>
                <w:sz w:val="17"/>
                <w:szCs w:val="17"/>
                <w:color w:val="auto"/>
              </w:rPr>
            </w:pP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rPr>
          <w:sz w:val="20"/>
          <w:szCs w:val="20"/>
          <w:color w:val="auto"/>
        </w:rPr>
      </w:pPr>
      <w:r>
        <w:rPr>
          <w:rFonts w:ascii="Courier New" w:cs="Courier New" w:eastAsia="Courier New" w:hAnsi="Courier New"/>
          <w:sz w:val="18"/>
          <w:szCs w:val="18"/>
          <w:color w:val="auto"/>
        </w:rPr>
        <w:t>NOTES TO UNAUDITED CONSOLIDATED FINANCIAL STATEMENTS</w:t>
      </w:r>
    </w:p>
    <w:p>
      <w:pPr>
        <w:spacing w:after="0" w:line="206" w:lineRule="exact"/>
        <w:rPr>
          <w:sz w:val="20"/>
          <w:szCs w:val="20"/>
          <w:color w:val="auto"/>
        </w:rPr>
      </w:pPr>
    </w:p>
    <w:p>
      <w:pPr>
        <w:ind w:left="740" w:right="199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1 -</w:t>
      </w:r>
      <w:r>
        <w:rPr>
          <w:sz w:val="20"/>
          <w:szCs w:val="20"/>
          <w:color w:val="auto"/>
        </w:rPr>
        <w:tab/>
      </w:r>
      <w:r>
        <w:rPr>
          <w:rFonts w:ascii="Courier New" w:cs="Courier New" w:eastAsia="Courier New" w:hAnsi="Courier New"/>
          <w:sz w:val="18"/>
          <w:szCs w:val="18"/>
          <w:color w:val="auto"/>
        </w:rPr>
        <w:t>The accompanying financial information is unaudited but includes all adjustments (consisting of normal recurring adjustments) which the Company considers necessary for a fair statement of the results for the period. The operating results for the three and six months ended June 30, 1995 are not necessarily indicative of the operating results to be expected for the entire year.</w:t>
      </w:r>
    </w:p>
    <w:p>
      <w:pPr>
        <w:spacing w:after="0" w:line="210" w:lineRule="exact"/>
        <w:rPr>
          <w:sz w:val="20"/>
          <w:szCs w:val="20"/>
          <w:color w:val="auto"/>
        </w:rPr>
      </w:pPr>
    </w:p>
    <w:p>
      <w:pPr>
        <w:ind w:left="740" w:right="18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2 -</w:t>
      </w:r>
      <w:r>
        <w:rPr>
          <w:sz w:val="20"/>
          <w:szCs w:val="20"/>
          <w:color w:val="auto"/>
        </w:rPr>
        <w:tab/>
      </w:r>
      <w:r>
        <w:rPr>
          <w:rFonts w:ascii="Courier New" w:cs="Courier New" w:eastAsia="Courier New" w:hAnsi="Courier New"/>
          <w:sz w:val="18"/>
          <w:szCs w:val="18"/>
          <w:color w:val="auto"/>
        </w:rPr>
        <w:t>Per share information is based on the weighted average common and common equivalent shares outstanding during each period. All share and per share amounts have been retroactively restated for a two-for-one stock split effective June 6, 1995. Shares used in the calculation of net income per share for the three and six month periods ended June 30, 1995 were 9,538,000 and 9,467,000 shares, respectively.</w:t>
      </w:r>
    </w:p>
    <w:p>
      <w:pPr>
        <w:spacing w:after="0" w:line="210" w:lineRule="exact"/>
        <w:rPr>
          <w:sz w:val="20"/>
          <w:szCs w:val="20"/>
          <w:color w:val="auto"/>
        </w:rPr>
      </w:pPr>
    </w:p>
    <w:p>
      <w:pPr>
        <w:ind w:left="740" w:right="1999" w:hanging="736"/>
        <w:spacing w:after="0" w:line="273" w:lineRule="auto"/>
        <w:tabs>
          <w:tab w:leader="none" w:pos="720" w:val="left"/>
        </w:tabs>
        <w:rPr>
          <w:sz w:val="20"/>
          <w:szCs w:val="20"/>
          <w:color w:val="auto"/>
        </w:rPr>
      </w:pPr>
      <w:r>
        <w:rPr>
          <w:rFonts w:ascii="Courier New" w:cs="Courier New" w:eastAsia="Courier New" w:hAnsi="Courier New"/>
          <w:sz w:val="18"/>
          <w:szCs w:val="18"/>
          <w:color w:val="auto"/>
        </w:rPr>
        <w:t>3 -</w:t>
      </w:r>
      <w:r>
        <w:rPr>
          <w:sz w:val="20"/>
          <w:szCs w:val="20"/>
          <w:color w:val="auto"/>
        </w:rPr>
        <w:tab/>
      </w:r>
      <w:r>
        <w:rPr>
          <w:rFonts w:ascii="Courier New" w:cs="Courier New" w:eastAsia="Courier New" w:hAnsi="Courier New"/>
          <w:sz w:val="16"/>
          <w:szCs w:val="16"/>
          <w:color w:val="auto"/>
        </w:rPr>
        <w:t>On June 22, 1994 the Company acquired Daymarc Corporation, a privately-held manufacturer of gravity feed semiconductor test handling equipment that complements the pick and place test handling equipment manufactured by Delta Design. The Company's consolidated financial statements include the results of Daymarc from June 22, 1994 forward.</w:t>
      </w:r>
    </w:p>
    <w:p>
      <w:pPr>
        <w:spacing w:after="0" w:line="185" w:lineRule="exact"/>
        <w:rPr>
          <w:sz w:val="20"/>
          <w:szCs w:val="20"/>
          <w:color w:val="auto"/>
        </w:rPr>
      </w:pPr>
    </w:p>
    <w:p>
      <w:pPr>
        <w:ind w:left="740" w:right="2099"/>
        <w:spacing w:after="0" w:line="279" w:lineRule="auto"/>
        <w:rPr>
          <w:sz w:val="20"/>
          <w:szCs w:val="20"/>
          <w:color w:val="auto"/>
        </w:rPr>
      </w:pPr>
      <w:r>
        <w:rPr>
          <w:rFonts w:ascii="Courier New" w:cs="Courier New" w:eastAsia="Courier New" w:hAnsi="Courier New"/>
          <w:sz w:val="16"/>
          <w:szCs w:val="16"/>
          <w:color w:val="auto"/>
        </w:rPr>
        <w:t>Assuming that the acquisition of Daymarc had occurred on the first day of the Company's year ended December 31, 1994, pro forma condensed consolidated results of operations for 1994 would be as follows:</w:t>
      </w:r>
    </w:p>
    <w:p>
      <w:pPr>
        <w:spacing w:after="0" w:line="37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 Forma Results of Operations</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Six Months Ended</w:t>
      </w:r>
    </w:p>
    <w:p>
      <w:pPr>
        <w:ind w:left="5160"/>
        <w:spacing w:after="0" w:line="238" w:lineRule="auto"/>
        <w:rPr>
          <w:sz w:val="20"/>
          <w:szCs w:val="20"/>
          <w:color w:val="auto"/>
        </w:rPr>
      </w:pPr>
      <w:r>
        <w:rPr>
          <w:rFonts w:ascii="Courier New" w:cs="Courier New" w:eastAsia="Courier New" w:hAnsi="Courier New"/>
          <w:sz w:val="18"/>
          <w:szCs w:val="18"/>
          <w:color w:val="auto"/>
        </w:rPr>
        <w:t>June 30, 1994</w:t>
      </w:r>
    </w:p>
    <w:p>
      <w:pPr>
        <w:ind w:left="50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Net sales</w:t>
      </w:r>
    </w:p>
    <w:p>
      <w:pPr>
        <w:ind w:left="740"/>
        <w:spacing w:after="0" w:line="238" w:lineRule="auto"/>
        <w:rPr>
          <w:sz w:val="20"/>
          <w:szCs w:val="20"/>
          <w:color w:val="auto"/>
        </w:rPr>
      </w:pPr>
      <w:r>
        <w:rPr>
          <w:rFonts w:ascii="Courier New" w:cs="Courier New" w:eastAsia="Courier New" w:hAnsi="Courier New"/>
          <w:sz w:val="18"/>
          <w:szCs w:val="18"/>
          <w:color w:val="auto"/>
        </w:rPr>
        <w:t>Net income</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Net income per share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6"/>
          <w:szCs w:val="16"/>
          <w:color w:val="auto"/>
        </w:rPr>
        <w:t>$52,392</w:t>
      </w:r>
    </w:p>
    <w:p>
      <w:pPr>
        <w:spacing w:after="0" w:line="16"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8"/>
          <w:szCs w:val="18"/>
          <w:color w:val="auto"/>
        </w:rPr>
        <w:t>5,374</w:t>
      </w:r>
    </w:p>
    <w:p>
      <w:pPr>
        <w:jc w:val="right"/>
        <w:ind w:right="3999"/>
        <w:spacing w:after="0" w:line="238" w:lineRule="auto"/>
        <w:rPr>
          <w:sz w:val="20"/>
          <w:szCs w:val="20"/>
          <w:color w:val="auto"/>
        </w:rPr>
      </w:pPr>
      <w:r>
        <w:rPr>
          <w:rFonts w:ascii="Courier New" w:cs="Courier New" w:eastAsia="Courier New" w:hAnsi="Courier New"/>
          <w:sz w:val="18"/>
          <w:szCs w:val="18"/>
          <w:color w:val="auto"/>
        </w:rPr>
        <w:t>.59</w:t>
      </w:r>
    </w:p>
    <w:p>
      <w:pPr>
        <w:spacing w:after="0" w:line="200" w:lineRule="exact"/>
        <w:rPr>
          <w:sz w:val="20"/>
          <w:szCs w:val="20"/>
          <w:color w:val="auto"/>
        </w:rPr>
      </w:pPr>
    </w:p>
    <w:p>
      <w:pPr>
        <w:sectPr>
          <w:pgSz w:w="11900" w:h="16838" w:orient="portrait"/>
          <w:cols w:equalWidth="0" w:num="2">
            <w:col w:w="4760" w:space="720"/>
            <w:col w:w="4739"/>
          </w:cols>
          <w:pgMar w:left="2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220" w:right="2739"/>
        <w:spacing w:after="0" w:line="236" w:lineRule="auto"/>
        <w:rPr>
          <w:sz w:val="20"/>
          <w:szCs w:val="20"/>
          <w:color w:val="auto"/>
        </w:rPr>
      </w:pPr>
      <w:r>
        <w:rPr>
          <w:rFonts w:ascii="Courier New" w:cs="Courier New" w:eastAsia="Courier New" w:hAnsi="Courier New"/>
          <w:sz w:val="18"/>
          <w:szCs w:val="18"/>
          <w:color w:val="auto"/>
        </w:rPr>
        <w:t>These results give effect to pro forma adjustments that include the amortization of goodwill, issuance of shares of Cohu common stock and interest expense on long-term debt.</w:t>
      </w:r>
    </w:p>
    <w:p>
      <w:pPr>
        <w:spacing w:after="0" w:line="209"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This pro forma information is not necessarily indicative of the actual results that would have been achieved had Daymarc been acquired the first day of the Company's year ended December 31, 1994.</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Company's results are substantially dependent on the operations of the semiconductor test handling equipment business conducted by its wholly-owned subsidiaries, Delta Design and Daymarc. This capital equipment business is in turn highly dependent on the overall strength of the semiconductor industry. Worldwide demand for semiconductors has historically been subject to substantial cyclical swings of varying duration and magnitude, and is currently in a period of relative strength. The Company's favorable results in recent periods are in part reflective of this current strength in the semiconductor industry. The Company cannot predict how long the current period of relative strength will continue. The Company's backlog can be expected to decline concurrently with or possibly in advance of the next period of relative weakness in worldwide demand for semiconductors. The Company attempts to keep its production capacity, labor force and other aspects of its cost structure in line with expected demand.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SECOND QUARTER 1995 COMPARED TO SECOND QUARTER 1994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sales increased 100% to $45,212,000 in 1995 compared to sales of</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$22,612,000 in 1994. Sales of semiconductor test handling equipment increased 142% in 1995 due to increased sales of pick and place handling equipment by Delta Design and the addition of Daymarc's operating results for the entire</w:t>
      </w:r>
    </w:p>
    <w:p>
      <w:pPr>
        <w:spacing w:after="0" w:line="6"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1995 period. Sales of this equipment accounted for 82% of consolidated sales. Sales of television cameras and equipment increased 14% while the combined sales of metal detection and microwave equipment increased slightly in 1995. Gross Margin as a percentage of sales increased to 40% for 1995 compared to 38% for 1994, due to a larger percentage of total sales derived from test handling equipment that has a higher gross margin than other products. Research and development expense increased from $1,715,000 to $2,690,000, however, as a percentage of net sales, decreased to 6% in 1995 from 8% in 1994. Selling, general and administrative expense increased to 16% in 1995 from 15% in 1994 due to higher commissions and selling expenses on semiconductor test handling equipment. The provision for income taxes expressed as a percentage of pre-tax income was 39% in 1995 and for the year ended December 31, 1994. Net income increased 127% to $4,940,000 in 1995 from $2,173,000 in 1994.</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SIX MONTHS 1995 COMPARED TO SIX MONTHS 1994</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Net sales increased 93% to $77,394,000 in 1995 compared to sales of $40,130,000 in 1994. The increase in sales was primarily attributable to increased shipments of semiconductor test handling equipment at Delta Design and the addition of Daymarc's operating results for the entire 1995 period. Sales of this equipment accounted for 79% of consolidated sales and increased 137% over the 1994 period. Sales of television cameras and equipment increased 19%, while the combined sales of metal detection and microwave equipment increased slightly in 1995. Gross margin increased to 40% of sales in 1995 from 39% of sales in 1994 due to a larger percentage of total sales derived from test handling equipment that has a higher gross margin than other products.</w:t>
      </w:r>
    </w:p>
    <w:p>
      <w:pPr>
        <w:spacing w:after="0" w:line="18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Research and development expense increased from $3,249,000 to $4,925,000, however, as a percentage of sales decreased to 6% in 1995 from 8% in 1994. Selling, general and administrative expense as a percentage of sales remained constant at 16%. The provision for income taxes as a percentage of pre-tax income was 39% in 1995 and for the year ended December 31, 1994. Net income increased 121% to $8,420,000 in 1995 from $3,804,000 in 1994.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LIQUIDITY - The Company's net cash flows generated from operating activities</w:t>
      </w:r>
    </w:p>
    <w:p>
      <w:pPr>
        <w:spacing w:after="0"/>
        <w:tabs>
          <w:tab w:leader="none" w:pos="6520" w:val="left"/>
        </w:tabs>
        <w:rPr>
          <w:sz w:val="20"/>
          <w:szCs w:val="20"/>
          <w:color w:val="auto"/>
        </w:rPr>
      </w:pPr>
      <w:r>
        <w:rPr>
          <w:rFonts w:ascii="Courier New" w:cs="Courier New" w:eastAsia="Courier New" w:hAnsi="Courier New"/>
          <w:sz w:val="18"/>
          <w:szCs w:val="18"/>
          <w:color w:val="auto"/>
        </w:rPr>
        <w:t>totalled $10,589,000 for the six months ended June 30, 1995.</w:t>
      </w:r>
      <w:r>
        <w:rPr>
          <w:sz w:val="20"/>
          <w:szCs w:val="20"/>
          <w:color w:val="auto"/>
        </w:rPr>
        <w:tab/>
      </w:r>
      <w:r>
        <w:rPr>
          <w:rFonts w:ascii="Courier New" w:cs="Courier New" w:eastAsia="Courier New" w:hAnsi="Courier New"/>
          <w:sz w:val="16"/>
          <w:szCs w:val="16"/>
          <w:color w:val="auto"/>
        </w:rPr>
        <w:t>Accounts</w:t>
      </w:r>
    </w:p>
    <w:p>
      <w:pPr>
        <w:spacing w:after="0"/>
        <w:tabs>
          <w:tab w:leader="none" w:pos="5680" w:val="left"/>
        </w:tabs>
        <w:rPr>
          <w:sz w:val="20"/>
          <w:szCs w:val="20"/>
          <w:color w:val="auto"/>
        </w:rPr>
      </w:pPr>
      <w:r>
        <w:rPr>
          <w:rFonts w:ascii="Courier New" w:cs="Courier New" w:eastAsia="Courier New" w:hAnsi="Courier New"/>
          <w:sz w:val="18"/>
          <w:szCs w:val="18"/>
          <w:color w:val="auto"/>
        </w:rPr>
        <w:t>receivable increased $4,472,000 due to higher sales.</w:t>
      </w:r>
      <w:r>
        <w:rPr>
          <w:sz w:val="20"/>
          <w:szCs w:val="20"/>
          <w:color w:val="auto"/>
        </w:rPr>
        <w:tab/>
      </w:r>
      <w:r>
        <w:rPr>
          <w:rFonts w:ascii="Courier New" w:cs="Courier New" w:eastAsia="Courier New" w:hAnsi="Courier New"/>
          <w:sz w:val="16"/>
          <w:szCs w:val="16"/>
          <w:color w:val="auto"/>
        </w:rPr>
        <w:t>Inventory decreased</w:t>
      </w:r>
    </w:p>
    <w:p>
      <w:pPr>
        <w:spacing w:after="0"/>
        <w:tabs>
          <w:tab w:leader="none" w:pos="6520" w:val="left"/>
        </w:tabs>
        <w:rPr>
          <w:sz w:val="20"/>
          <w:szCs w:val="20"/>
          <w:color w:val="auto"/>
        </w:rPr>
      </w:pPr>
      <w:r>
        <w:rPr>
          <w:rFonts w:ascii="Courier New" w:cs="Courier New" w:eastAsia="Courier New" w:hAnsi="Courier New"/>
          <w:sz w:val="18"/>
          <w:szCs w:val="18"/>
          <w:color w:val="auto"/>
        </w:rPr>
        <w:t>$997,000 as inventory turnover increased over prior periods.</w:t>
      </w:r>
      <w:r>
        <w:rPr>
          <w:sz w:val="20"/>
          <w:szCs w:val="20"/>
          <w:color w:val="auto"/>
        </w:rPr>
        <w:tab/>
      </w:r>
      <w:r>
        <w:rPr>
          <w:rFonts w:ascii="Courier New" w:cs="Courier New" w:eastAsia="Courier New" w:hAnsi="Courier New"/>
          <w:sz w:val="16"/>
          <w:szCs w:val="16"/>
          <w:color w:val="auto"/>
        </w:rPr>
        <w:t>Accounts payable</w:t>
      </w:r>
    </w:p>
    <w:p>
      <w:pPr>
        <w:spacing w:after="0"/>
        <w:tabs>
          <w:tab w:leader="none" w:pos="7160" w:val="left"/>
        </w:tabs>
        <w:rPr>
          <w:sz w:val="20"/>
          <w:szCs w:val="20"/>
          <w:color w:val="auto"/>
        </w:rPr>
      </w:pPr>
      <w:r>
        <w:rPr>
          <w:rFonts w:ascii="Courier New" w:cs="Courier New" w:eastAsia="Courier New" w:hAnsi="Courier New"/>
          <w:sz w:val="18"/>
          <w:szCs w:val="18"/>
          <w:color w:val="auto"/>
        </w:rPr>
        <w:t>increased $5,390,000 mainly due to purchases related to inventory.</w:t>
      </w:r>
      <w:r>
        <w:rPr>
          <w:sz w:val="20"/>
          <w:szCs w:val="20"/>
          <w:color w:val="auto"/>
        </w:rPr>
        <w:tab/>
      </w:r>
      <w:r>
        <w:rPr>
          <w:rFonts w:ascii="Courier New" w:cs="Courier New" w:eastAsia="Courier New" w:hAnsi="Courier New"/>
          <w:sz w:val="16"/>
          <w:szCs w:val="16"/>
          <w:color w:val="auto"/>
        </w:rPr>
        <w:t>Net cash</w:t>
      </w:r>
    </w:p>
    <w:p>
      <w:pPr>
        <w:spacing w:after="0" w:line="237" w:lineRule="auto"/>
        <w:rPr>
          <w:sz w:val="20"/>
          <w:szCs w:val="20"/>
          <w:color w:val="auto"/>
        </w:rPr>
      </w:pPr>
      <w:r>
        <w:rPr>
          <w:rFonts w:ascii="Courier New" w:cs="Courier New" w:eastAsia="Courier New" w:hAnsi="Courier New"/>
          <w:sz w:val="18"/>
          <w:szCs w:val="18"/>
          <w:color w:val="auto"/>
        </w:rPr>
        <w:t>used for investing activities was $381,000 primarily for the purchase of</w:t>
      </w:r>
    </w:p>
    <w:p>
      <w:pPr>
        <w:spacing w:after="0"/>
        <w:tabs>
          <w:tab w:leader="none" w:pos="1260" w:val="left"/>
          <w:tab w:leader="none" w:pos="7160" w:val="left"/>
        </w:tabs>
        <w:rPr>
          <w:sz w:val="20"/>
          <w:szCs w:val="20"/>
          <w:color w:val="auto"/>
        </w:rPr>
      </w:pPr>
      <w:r>
        <w:rPr>
          <w:rFonts w:ascii="Courier New" w:cs="Courier New" w:eastAsia="Courier New" w:hAnsi="Courier New"/>
          <w:sz w:val="18"/>
          <w:szCs w:val="18"/>
          <w:color w:val="auto"/>
        </w:rPr>
        <w:t>equipment.</w:t>
        <w:tab/>
        <w:t>Net cash used for financing activities was $1,585,000.</w:t>
      </w:r>
      <w:r>
        <w:rPr>
          <w:sz w:val="20"/>
          <w:szCs w:val="20"/>
          <w:color w:val="auto"/>
        </w:rPr>
        <w:tab/>
      </w:r>
      <w:r>
        <w:rPr>
          <w:rFonts w:ascii="Courier New" w:cs="Courier New" w:eastAsia="Courier New" w:hAnsi="Courier New"/>
          <w:sz w:val="16"/>
          <w:szCs w:val="16"/>
          <w:color w:val="auto"/>
        </w:rPr>
        <w:t>Cash used</w:t>
      </w:r>
    </w:p>
    <w:p>
      <w:pPr>
        <w:spacing w:after="0" w:line="237" w:lineRule="auto"/>
        <w:rPr>
          <w:sz w:val="20"/>
          <w:szCs w:val="20"/>
          <w:color w:val="auto"/>
        </w:rPr>
      </w:pPr>
      <w:r>
        <w:rPr>
          <w:rFonts w:ascii="Courier New" w:cs="Courier New" w:eastAsia="Courier New" w:hAnsi="Courier New"/>
          <w:sz w:val="18"/>
          <w:szCs w:val="18"/>
          <w:color w:val="auto"/>
        </w:rPr>
        <w:t>by financing activities included a $1,400,000 final payment on long-term</w:t>
      </w:r>
    </w:p>
    <w:p>
      <w:pPr>
        <w:spacing w:after="0"/>
        <w:tabs>
          <w:tab w:leader="none" w:pos="4200" w:val="left"/>
        </w:tabs>
        <w:rPr>
          <w:sz w:val="20"/>
          <w:szCs w:val="20"/>
          <w:color w:val="auto"/>
        </w:rPr>
      </w:pPr>
      <w:r>
        <w:rPr>
          <w:rFonts w:ascii="Courier New" w:cs="Courier New" w:eastAsia="Courier New" w:hAnsi="Courier New"/>
          <w:sz w:val="18"/>
          <w:szCs w:val="18"/>
          <w:color w:val="auto"/>
        </w:rPr>
        <w:t>borrowings and $672,000 for dividends.</w:t>
      </w:r>
      <w:r>
        <w:rPr>
          <w:sz w:val="20"/>
          <w:szCs w:val="20"/>
          <w:color w:val="auto"/>
        </w:rPr>
        <w:tab/>
      </w:r>
      <w:r>
        <w:rPr>
          <w:rFonts w:ascii="Courier New" w:cs="Courier New" w:eastAsia="Courier New" w:hAnsi="Courier New"/>
          <w:sz w:val="16"/>
          <w:szCs w:val="16"/>
          <w:color w:val="auto"/>
        </w:rPr>
        <w:t>The Company has $3,000,000 available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its current short-term line of credit and working capital of $45,433,000.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 is anticipated that present working capital, profitable operations and</w:t>
      </w:r>
    </w:p>
    <w:p>
      <w:pPr>
        <w:spacing w:after="0" w:line="238" w:lineRule="auto"/>
        <w:rPr>
          <w:sz w:val="20"/>
          <w:szCs w:val="20"/>
          <w:color w:val="auto"/>
        </w:rPr>
      </w:pPr>
      <w:r>
        <w:rPr>
          <w:rFonts w:ascii="Courier New" w:cs="Courier New" w:eastAsia="Courier New" w:hAnsi="Courier New"/>
          <w:sz w:val="18"/>
          <w:szCs w:val="18"/>
          <w:color w:val="auto"/>
        </w:rPr>
        <w:t>available borrowings under the credit line will be sufficient to meet the</w:t>
      </w:r>
    </w:p>
    <w:p>
      <w:pPr>
        <w:spacing w:after="0"/>
        <w:rPr>
          <w:sz w:val="20"/>
          <w:szCs w:val="20"/>
          <w:color w:val="auto"/>
        </w:rPr>
      </w:pPr>
      <w:r>
        <w:rPr>
          <w:rFonts w:ascii="Courier New" w:cs="Courier New" w:eastAsia="Courier New" w:hAnsi="Courier New"/>
          <w:sz w:val="18"/>
          <w:szCs w:val="18"/>
          <w:color w:val="auto"/>
        </w:rPr>
        <w:t>Company's normal operating requirements and the anticipated capital</w:t>
      </w:r>
    </w:p>
    <w:p>
      <w:pPr>
        <w:spacing w:after="0" w:line="237" w:lineRule="auto"/>
        <w:rPr>
          <w:sz w:val="20"/>
          <w:szCs w:val="20"/>
          <w:color w:val="auto"/>
        </w:rPr>
      </w:pPr>
      <w:r>
        <w:rPr>
          <w:rFonts w:ascii="Courier New" w:cs="Courier New" w:eastAsia="Courier New" w:hAnsi="Courier New"/>
          <w:sz w:val="18"/>
          <w:szCs w:val="18"/>
          <w:color w:val="auto"/>
        </w:rPr>
        <w:t>expenditures for 1995 of approximately $2,000,000.</w:t>
      </w:r>
    </w:p>
    <w:p>
      <w:pPr>
        <w:spacing w:after="0" w:line="202" w:lineRule="exact"/>
        <w:rPr>
          <w:sz w:val="20"/>
          <w:szCs w:val="20"/>
          <w:color w:val="auto"/>
        </w:rPr>
      </w:pPr>
    </w:p>
    <w:p>
      <w:pPr>
        <w:ind w:left="2860"/>
        <w:spacing w:after="0"/>
        <w:tabs>
          <w:tab w:leader="none" w:pos="37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Annual Meeting of Shareholders was held on May 2, 1995. At the meeting, the following directors were elected: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5200" w:type="dxa"/>
            <w:vAlign w:val="bottom"/>
            <w:gridSpan w:val="3"/>
          </w:tcPr>
          <w:p>
            <w:pPr>
              <w:ind w:left="1720"/>
              <w:spacing w:after="0"/>
              <w:rPr>
                <w:sz w:val="20"/>
                <w:szCs w:val="20"/>
                <w:color w:val="auto"/>
              </w:rPr>
            </w:pPr>
            <w:r>
              <w:rPr>
                <w:rFonts w:ascii="Courier New" w:cs="Courier New" w:eastAsia="Courier New" w:hAnsi="Courier New"/>
                <w:sz w:val="18"/>
                <w:szCs w:val="18"/>
                <w:color w:val="auto"/>
              </w:rPr>
              <w:t>Number of Common Shares Voted</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spacing w:after="0"/>
              <w:rPr>
                <w:sz w:val="17"/>
                <w:szCs w:val="17"/>
                <w:color w:val="auto"/>
              </w:rPr>
            </w:pPr>
          </w:p>
        </w:tc>
        <w:tc>
          <w:tcPr>
            <w:tcW w:w="2580" w:type="dxa"/>
            <w:vAlign w:val="bottom"/>
          </w:tcPr>
          <w:p>
            <w:pPr>
              <w:ind w:left="1720"/>
              <w:spacing w:after="0" w:line="203" w:lineRule="exact"/>
              <w:rPr>
                <w:sz w:val="20"/>
                <w:szCs w:val="20"/>
                <w:color w:val="auto"/>
              </w:rPr>
            </w:pPr>
            <w:r>
              <w:rPr>
                <w:rFonts w:ascii="Courier New" w:cs="Courier New" w:eastAsia="Courier New" w:hAnsi="Courier New"/>
                <w:sz w:val="18"/>
                <w:szCs w:val="18"/>
                <w:color w:val="auto"/>
              </w:rPr>
              <w:t>For</w:t>
            </w:r>
          </w:p>
        </w:tc>
        <w:tc>
          <w:tcPr>
            <w:tcW w:w="14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Against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Abstain</w:t>
            </w:r>
          </w:p>
        </w:tc>
      </w:tr>
      <w:tr>
        <w:trPr>
          <w:trHeight w:val="203"/>
        </w:trPr>
        <w:tc>
          <w:tcPr>
            <w:tcW w:w="3020" w:type="dxa"/>
            <w:vAlign w:val="bottom"/>
          </w:tcPr>
          <w:p>
            <w:pPr>
              <w:spacing w:after="0"/>
              <w:rPr>
                <w:sz w:val="17"/>
                <w:szCs w:val="17"/>
                <w:color w:val="auto"/>
              </w:rPr>
            </w:pPr>
          </w:p>
        </w:tc>
        <w:tc>
          <w:tcPr>
            <w:tcW w:w="2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James W. Barnes</w:t>
            </w:r>
          </w:p>
        </w:tc>
        <w:tc>
          <w:tcPr>
            <w:tcW w:w="2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3,997,849</w:t>
            </w:r>
          </w:p>
        </w:tc>
        <w:tc>
          <w:tcPr>
            <w:tcW w:w="14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6"/>
              </w:rPr>
              <w:t>1,564</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21,411</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S. Ivans</w:t>
            </w:r>
          </w:p>
        </w:tc>
        <w:tc>
          <w:tcPr>
            <w:tcW w:w="2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3,997,849</w:t>
            </w:r>
          </w:p>
        </w:tc>
        <w:tc>
          <w:tcPr>
            <w:tcW w:w="14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1,564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21,411</w:t>
            </w:r>
          </w:p>
        </w:tc>
      </w:tr>
    </w:tbl>
    <w:p>
      <w:pPr>
        <w:spacing w:after="0" w:line="200" w:lineRule="exact"/>
        <w:rPr>
          <w:sz w:val="20"/>
          <w:szCs w:val="20"/>
          <w:color w:val="auto"/>
        </w:rPr>
      </w:pPr>
    </w:p>
    <w:p>
      <w:pPr>
        <w:spacing w:after="0" w:line="20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directors continuing in office until 1996 or 1997 are Harry L. Casari, Frank W. Davis, Gene E. Leary and Charles A. Schwan. In addition, the shareholders approved the following proposal: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Proposal</w:t>
            </w:r>
          </w:p>
        </w:tc>
        <w:tc>
          <w:tcPr>
            <w:tcW w:w="4580" w:type="dxa"/>
            <w:vAlign w:val="bottom"/>
            <w:gridSpan w:val="3"/>
          </w:tcPr>
          <w:p>
            <w:pPr>
              <w:jc w:val="center"/>
              <w:ind w:left="592"/>
              <w:spacing w:after="0"/>
              <w:rPr>
                <w:sz w:val="20"/>
                <w:szCs w:val="20"/>
                <w:color w:val="auto"/>
              </w:rPr>
            </w:pPr>
            <w:r>
              <w:rPr>
                <w:rFonts w:ascii="Courier New" w:cs="Courier New" w:eastAsia="Courier New" w:hAnsi="Courier New"/>
                <w:sz w:val="18"/>
                <w:szCs w:val="18"/>
                <w:color w:val="auto"/>
                <w:w w:val="97"/>
              </w:rPr>
              <w:t>Number of Common Shares Voted</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For</w:t>
            </w:r>
          </w:p>
        </w:tc>
        <w:tc>
          <w:tcPr>
            <w:tcW w:w="14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Against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Abstain</w:t>
            </w:r>
          </w:p>
        </w:tc>
      </w:tr>
      <w:tr>
        <w:trPr>
          <w:trHeight w:val="203"/>
        </w:trPr>
        <w:tc>
          <w:tcPr>
            <w:tcW w:w="3640" w:type="dxa"/>
            <w:vAlign w:val="bottom"/>
          </w:tcPr>
          <w:p>
            <w:pPr>
              <w:spacing w:after="0"/>
              <w:rPr>
                <w:sz w:val="17"/>
                <w:szCs w:val="17"/>
                <w:color w:val="auto"/>
              </w:rPr>
            </w:pPr>
          </w:p>
        </w:tc>
        <w:tc>
          <w:tcPr>
            <w:tcW w:w="1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To adopt the Cohu, Inc. 1994</w:t>
            </w:r>
          </w:p>
        </w:tc>
        <w:tc>
          <w:tcPr>
            <w:tcW w:w="1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3,554,479</w:t>
            </w:r>
          </w:p>
        </w:tc>
        <w:tc>
          <w:tcPr>
            <w:tcW w:w="146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353,266</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123,079</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Stock Option Plan</w:t>
            </w:r>
          </w:p>
        </w:tc>
        <w:tc>
          <w:tcPr>
            <w:tcW w:w="1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27.1 Financial Data Schedule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4" w:lineRule="exact"/>
        <w:rPr>
          <w:rFonts w:ascii="Courier New" w:cs="Courier New" w:eastAsia="Courier New" w:hAnsi="Courier New"/>
          <w:sz w:val="18"/>
          <w:szCs w:val="18"/>
          <w:color w:val="auto"/>
        </w:rPr>
      </w:pPr>
    </w:p>
    <w:p>
      <w:pPr>
        <w:ind w:left="10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did not file any reports on Form 8-K during the quarter ended June 30,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left="220" w:right="2740"/>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5460"/>
        <w:spacing w:after="0"/>
        <w:rPr>
          <w:sz w:val="20"/>
          <w:szCs w:val="20"/>
          <w:color w:val="auto"/>
        </w:rPr>
      </w:pPr>
      <w:r>
        <w:rPr>
          <w:rFonts w:ascii="Courier New" w:cs="Courier New" w:eastAsia="Courier New" w:hAnsi="Courier New"/>
          <w:sz w:val="18"/>
          <w:szCs w:val="18"/>
          <w:color w:val="auto"/>
        </w:rPr>
        <w:t>COHU, INC.</w:t>
      </w:r>
    </w:p>
    <w:p>
      <w:pPr>
        <w:spacing w:after="0" w:line="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540"/>
          </w:cols>
          <w:pgMar w:left="560" w:top="312"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8"/>
          <w:szCs w:val="18"/>
          <w:color w:val="auto"/>
        </w:rPr>
        <w:t>August 10, 1995</w:t>
      </w:r>
    </w:p>
    <w:p>
      <w:pPr>
        <w:spacing w:after="0" w:line="4"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/s/ J.W. Barnes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W. Barnes</w:t>
      </w:r>
    </w:p>
    <w:p>
      <w:pPr>
        <w:spacing w:after="0" w:line="238" w:lineRule="auto"/>
        <w:rPr>
          <w:sz w:val="20"/>
          <w:szCs w:val="20"/>
          <w:color w:val="auto"/>
        </w:rPr>
      </w:pPr>
      <w:r>
        <w:rPr>
          <w:rFonts w:ascii="Courier New" w:cs="Courier New" w:eastAsia="Courier New" w:hAnsi="Courier New"/>
          <w:sz w:val="18"/>
          <w:szCs w:val="18"/>
          <w:color w:val="auto"/>
        </w:rPr>
        <w:t>President &amp; Chief Executive Officer</w:t>
      </w:r>
    </w:p>
    <w:p>
      <w:pPr>
        <w:spacing w:after="0" w:line="200" w:lineRule="exact"/>
        <w:rPr>
          <w:sz w:val="20"/>
          <w:szCs w:val="20"/>
          <w:color w:val="auto"/>
        </w:rPr>
      </w:pPr>
    </w:p>
    <w:p>
      <w:pPr>
        <w:sectPr>
          <w:pgSz w:w="11900" w:h="16838" w:orient="portrait"/>
          <w:cols w:equalWidth="0" w:num="3">
            <w:col w:w="960" w:space="0"/>
            <w:col w:w="4120" w:space="720"/>
            <w:col w:w="4740"/>
          </w:cols>
          <w:pgMar w:left="560" w:top="312"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8"/>
          <w:szCs w:val="18"/>
          <w:color w:val="auto"/>
        </w:rPr>
        <w:t>August 10, 1995</w:t>
      </w:r>
    </w:p>
    <w:p>
      <w:pPr>
        <w:spacing w:after="0" w:line="4"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A. Schwan</w:t>
      </w:r>
    </w:p>
    <w:p>
      <w:pPr>
        <w:spacing w:after="0" w:line="238" w:lineRule="auto"/>
        <w:rPr>
          <w:sz w:val="20"/>
          <w:szCs w:val="20"/>
          <w:color w:val="auto"/>
        </w:rPr>
      </w:pPr>
      <w:r>
        <w:rPr>
          <w:rFonts w:ascii="Courier New" w:cs="Courier New" w:eastAsia="Courier New" w:hAnsi="Courier New"/>
          <w:sz w:val="18"/>
          <w:szCs w:val="18"/>
          <w:color w:val="auto"/>
        </w:rPr>
        <w:t>Vice President, Finance</w:t>
      </w:r>
    </w:p>
    <w:p>
      <w:pPr>
        <w:spacing w:after="0" w:line="200" w:lineRule="exact"/>
        <w:rPr>
          <w:sz w:val="20"/>
          <w:szCs w:val="20"/>
          <w:color w:val="auto"/>
        </w:rPr>
      </w:pPr>
    </w:p>
    <w:p>
      <w:pPr>
        <w:sectPr>
          <w:pgSz w:w="11900" w:h="16838" w:orient="portrait"/>
          <w:cols w:equalWidth="0" w:num="3">
            <w:col w:w="960" w:space="0"/>
            <w:col w:w="4120" w:space="720"/>
            <w:col w:w="4740"/>
          </w:cols>
          <w:pgMar w:left="560" w:top="312"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540"/>
          </w:cols>
          <w:pgMar w:left="560" w:top="312" w:right="799" w:bottom="1440" w:gutter="0" w:footer="0" w:header="0"/>
          <w:type w:val="continuous"/>
        </w:sectPr>
      </w:pPr>
    </w:p>
    <w:bookmarkStart w:id="9" w:name="page10"/>
    <w:bookmarkEnd w:id="9"/>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95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COMPANY'S CONSOLIDATED BALANCE SHEET AT JUNE 30, 1995 AND THE CONSOLIDATED STATEMENT OF INCOME FOR THE SIX MONTHS ENDED JUNE 30, 1995 AND IS QUALIFIED IN ITS ENTIRETY BY REFERENCE TO SUCH FINANCIAL STATEMENTS</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ind w:left="2700"/>
        <w:spacing w:after="0" w:line="238" w:lineRule="auto"/>
        <w:rPr>
          <w:sz w:val="20"/>
          <w:szCs w:val="20"/>
          <w:color w:val="auto"/>
        </w:rPr>
      </w:pPr>
      <w:r>
        <w:rPr>
          <w:rFonts w:ascii="Courier New" w:cs="Courier New" w:eastAsia="Courier New" w:hAnsi="Courier New"/>
          <w:sz w:val="18"/>
          <w:szCs w:val="18"/>
          <w:color w:val="auto"/>
        </w:rPr>
        <w:t>DEC-31-1994</w:t>
      </w:r>
    </w:p>
    <w:p>
      <w:pPr>
        <w:ind w:left="3240"/>
        <w:spacing w:after="0"/>
        <w:rPr>
          <w:sz w:val="20"/>
          <w:szCs w:val="20"/>
          <w:color w:val="auto"/>
        </w:rPr>
      </w:pPr>
      <w:r>
        <w:rPr>
          <w:rFonts w:ascii="Courier New" w:cs="Courier New" w:eastAsia="Courier New" w:hAnsi="Courier New"/>
          <w:sz w:val="18"/>
          <w:szCs w:val="18"/>
          <w:color w:val="auto"/>
        </w:rPr>
        <w:t>JUN-30-1995</w:t>
      </w:r>
    </w:p>
    <w:p>
      <w:pPr>
        <w:ind w:left="4400"/>
        <w:spacing w:after="0" w:line="237" w:lineRule="auto"/>
        <w:rPr>
          <w:sz w:val="20"/>
          <w:szCs w:val="20"/>
          <w:color w:val="auto"/>
        </w:rPr>
      </w:pPr>
      <w:r>
        <w:rPr>
          <w:rFonts w:ascii="Courier New" w:cs="Courier New" w:eastAsia="Courier New" w:hAnsi="Courier New"/>
          <w:sz w:val="18"/>
          <w:szCs w:val="18"/>
          <w:color w:val="auto"/>
        </w:rPr>
        <w:t>11,719</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660"/>
        <w:spacing w:after="0"/>
        <w:rPr>
          <w:sz w:val="20"/>
          <w:szCs w:val="20"/>
          <w:color w:val="auto"/>
        </w:rPr>
      </w:pPr>
      <w:r>
        <w:rPr>
          <w:rFonts w:ascii="Courier New" w:cs="Courier New" w:eastAsia="Courier New" w:hAnsi="Courier New"/>
          <w:sz w:val="18"/>
          <w:szCs w:val="18"/>
          <w:color w:val="auto"/>
        </w:rPr>
        <w:t>24,959</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27,444</w:t>
      </w:r>
    </w:p>
    <w:p>
      <w:pPr>
        <w:ind w:left="3340"/>
        <w:spacing w:after="0" w:line="237" w:lineRule="auto"/>
        <w:rPr>
          <w:sz w:val="20"/>
          <w:szCs w:val="20"/>
          <w:color w:val="auto"/>
        </w:rPr>
      </w:pPr>
      <w:r>
        <w:rPr>
          <w:rFonts w:ascii="Courier New" w:cs="Courier New" w:eastAsia="Courier New" w:hAnsi="Courier New"/>
          <w:sz w:val="18"/>
          <w:szCs w:val="18"/>
          <w:color w:val="auto"/>
        </w:rPr>
        <w:t>67,986</w:t>
      </w:r>
    </w:p>
    <w:p>
      <w:pPr>
        <w:ind w:left="4400"/>
        <w:spacing w:after="0"/>
        <w:rPr>
          <w:sz w:val="20"/>
          <w:szCs w:val="20"/>
          <w:color w:val="auto"/>
        </w:rPr>
      </w:pPr>
      <w:r>
        <w:rPr>
          <w:rFonts w:ascii="Courier New" w:cs="Courier New" w:eastAsia="Courier New" w:hAnsi="Courier New"/>
          <w:sz w:val="18"/>
          <w:szCs w:val="18"/>
          <w:color w:val="auto"/>
        </w:rPr>
        <w:t>18,806</w:t>
      </w:r>
    </w:p>
    <w:p>
      <w:pPr>
        <w:ind w:left="3660"/>
        <w:spacing w:after="0" w:line="237" w:lineRule="auto"/>
        <w:rPr>
          <w:sz w:val="20"/>
          <w:szCs w:val="20"/>
          <w:color w:val="auto"/>
        </w:rPr>
      </w:pPr>
      <w:r>
        <w:rPr>
          <w:rFonts w:ascii="Courier New" w:cs="Courier New" w:eastAsia="Courier New" w:hAnsi="Courier New"/>
          <w:sz w:val="18"/>
          <w:szCs w:val="18"/>
          <w:color w:val="auto"/>
        </w:rPr>
        <w:t>9,879</w:t>
      </w:r>
    </w:p>
    <w:p>
      <w:pPr>
        <w:ind w:left="3540"/>
        <w:spacing w:after="0" w:line="238" w:lineRule="auto"/>
        <w:rPr>
          <w:sz w:val="20"/>
          <w:szCs w:val="20"/>
          <w:color w:val="auto"/>
        </w:rPr>
      </w:pPr>
      <w:r>
        <w:rPr>
          <w:rFonts w:ascii="Courier New" w:cs="Courier New" w:eastAsia="Courier New" w:hAnsi="Courier New"/>
          <w:sz w:val="18"/>
          <w:szCs w:val="18"/>
          <w:color w:val="auto"/>
        </w:rPr>
        <w:t>79,953</w:t>
      </w:r>
    </w:p>
    <w:p>
      <w:pPr>
        <w:ind w:left="2820"/>
        <w:spacing w:after="0"/>
        <w:rPr>
          <w:sz w:val="20"/>
          <w:szCs w:val="20"/>
          <w:color w:val="auto"/>
        </w:rPr>
      </w:pPr>
      <w:r>
        <w:rPr>
          <w:rFonts w:ascii="Courier New" w:cs="Courier New" w:eastAsia="Courier New" w:hAnsi="Courier New"/>
          <w:sz w:val="18"/>
          <w:szCs w:val="18"/>
          <w:color w:val="auto"/>
        </w:rPr>
        <w:t>22,553</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4280"/>
        <w:spacing w:after="0"/>
        <w:rPr>
          <w:sz w:val="20"/>
          <w:szCs w:val="20"/>
          <w:color w:val="auto"/>
        </w:rPr>
      </w:pPr>
      <w:r>
        <w:rPr>
          <w:rFonts w:ascii="Courier New" w:cs="Courier New" w:eastAsia="Courier New" w:hAnsi="Courier New"/>
          <w:sz w:val="18"/>
          <w:szCs w:val="18"/>
          <w:color w:val="auto"/>
        </w:rPr>
        <w:t>8,977</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46,629</w:t>
      </w:r>
    </w:p>
    <w:p>
      <w:pPr>
        <w:ind w:left="2080"/>
        <w:spacing w:after="0" w:line="238" w:lineRule="auto"/>
        <w:rPr>
          <w:sz w:val="20"/>
          <w:szCs w:val="20"/>
          <w:color w:val="auto"/>
        </w:rPr>
      </w:pPr>
      <w:r>
        <w:rPr>
          <w:rFonts w:ascii="Courier New" w:cs="Courier New" w:eastAsia="Courier New" w:hAnsi="Courier New"/>
          <w:sz w:val="18"/>
          <w:szCs w:val="18"/>
          <w:color w:val="auto"/>
        </w:rPr>
        <w:t>79,953</w:t>
      </w:r>
    </w:p>
    <w:p>
      <w:pPr>
        <w:ind w:left="4280"/>
        <w:spacing w:after="0"/>
        <w:rPr>
          <w:sz w:val="20"/>
          <w:szCs w:val="20"/>
          <w:color w:val="auto"/>
        </w:rPr>
      </w:pPr>
      <w:r>
        <w:rPr>
          <w:rFonts w:ascii="Courier New" w:cs="Courier New" w:eastAsia="Courier New" w:hAnsi="Courier New"/>
          <w:sz w:val="18"/>
          <w:szCs w:val="18"/>
          <w:color w:val="auto"/>
        </w:rPr>
        <w:t>77,394</w:t>
      </w:r>
    </w:p>
    <w:p>
      <w:pPr>
        <w:ind w:left="3340"/>
        <w:spacing w:after="0" w:line="237" w:lineRule="auto"/>
        <w:rPr>
          <w:sz w:val="20"/>
          <w:szCs w:val="20"/>
          <w:color w:val="auto"/>
        </w:rPr>
      </w:pPr>
      <w:r>
        <w:rPr>
          <w:rFonts w:ascii="Courier New" w:cs="Courier New" w:eastAsia="Courier New" w:hAnsi="Courier New"/>
          <w:sz w:val="18"/>
          <w:szCs w:val="18"/>
          <w:color w:val="auto"/>
        </w:rPr>
        <w:t>77,394</w:t>
      </w:r>
    </w:p>
    <w:p>
      <w:pPr>
        <w:ind w:left="4500"/>
        <w:spacing w:after="0"/>
        <w:rPr>
          <w:sz w:val="20"/>
          <w:szCs w:val="20"/>
          <w:color w:val="auto"/>
        </w:rPr>
      </w:pPr>
      <w:r>
        <w:rPr>
          <w:rFonts w:ascii="Courier New" w:cs="Courier New" w:eastAsia="Courier New" w:hAnsi="Courier New"/>
          <w:sz w:val="18"/>
          <w:szCs w:val="18"/>
          <w:color w:val="auto"/>
        </w:rPr>
        <w:t>46,676</w:t>
      </w:r>
    </w:p>
    <w:p>
      <w:pPr>
        <w:ind w:left="3660"/>
        <w:spacing w:after="0" w:line="237" w:lineRule="auto"/>
        <w:rPr>
          <w:sz w:val="20"/>
          <w:szCs w:val="20"/>
          <w:color w:val="auto"/>
        </w:rPr>
      </w:pPr>
      <w:r>
        <w:rPr>
          <w:rFonts w:ascii="Courier New" w:cs="Courier New" w:eastAsia="Courier New" w:hAnsi="Courier New"/>
          <w:sz w:val="18"/>
          <w:szCs w:val="18"/>
          <w:color w:val="auto"/>
        </w:rPr>
        <w:t>63,689</w:t>
      </w:r>
    </w:p>
    <w:p>
      <w:pPr>
        <w:ind w:left="386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12</w:t>
      </w:r>
    </w:p>
    <w:p>
      <w:pPr>
        <w:ind w:left="3440"/>
        <w:spacing w:after="0" w:line="237" w:lineRule="auto"/>
        <w:rPr>
          <w:sz w:val="20"/>
          <w:szCs w:val="20"/>
          <w:color w:val="auto"/>
        </w:rPr>
      </w:pPr>
      <w:r>
        <w:rPr>
          <w:rFonts w:ascii="Courier New" w:cs="Courier New" w:eastAsia="Courier New" w:hAnsi="Courier New"/>
          <w:sz w:val="18"/>
          <w:szCs w:val="18"/>
          <w:color w:val="auto"/>
        </w:rPr>
        <w:t>13,820</w:t>
      </w:r>
    </w:p>
    <w:p>
      <w:pPr>
        <w:ind w:left="3860"/>
        <w:spacing w:after="0" w:line="238" w:lineRule="auto"/>
        <w:rPr>
          <w:sz w:val="20"/>
          <w:szCs w:val="20"/>
          <w:color w:val="auto"/>
        </w:rPr>
      </w:pPr>
      <w:r>
        <w:rPr>
          <w:rFonts w:ascii="Courier New" w:cs="Courier New" w:eastAsia="Courier New" w:hAnsi="Courier New"/>
          <w:sz w:val="18"/>
          <w:szCs w:val="18"/>
          <w:color w:val="auto"/>
        </w:rPr>
        <w:t>5,400</w:t>
      </w:r>
    </w:p>
    <w:p>
      <w:pPr>
        <w:ind w:left="3120"/>
        <w:spacing w:after="0"/>
        <w:rPr>
          <w:sz w:val="20"/>
          <w:szCs w:val="20"/>
          <w:color w:val="auto"/>
        </w:rPr>
      </w:pPr>
      <w:r>
        <w:rPr>
          <w:rFonts w:ascii="Courier New" w:cs="Courier New" w:eastAsia="Courier New" w:hAnsi="Courier New"/>
          <w:sz w:val="18"/>
          <w:szCs w:val="18"/>
          <w:color w:val="auto"/>
        </w:rPr>
        <w:t>8,420</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jc w:val="center"/>
        <w:ind w:right="1919"/>
        <w:spacing w:after="0"/>
        <w:rPr>
          <w:sz w:val="20"/>
          <w:szCs w:val="20"/>
          <w:color w:val="auto"/>
        </w:rPr>
      </w:pPr>
      <w:r>
        <w:rPr>
          <w:rFonts w:ascii="Courier New" w:cs="Courier New" w:eastAsia="Courier New" w:hAnsi="Courier New"/>
          <w:sz w:val="18"/>
          <w:szCs w:val="18"/>
          <w:color w:val="auto"/>
        </w:rPr>
        <w:t>8,420</w:t>
      </w:r>
    </w:p>
    <w:p>
      <w:pPr>
        <w:jc w:val="center"/>
        <w:ind w:right="1919"/>
        <w:spacing w:after="0" w:line="237" w:lineRule="auto"/>
        <w:rPr>
          <w:sz w:val="20"/>
          <w:szCs w:val="20"/>
          <w:color w:val="auto"/>
        </w:rPr>
      </w:pPr>
      <w:r>
        <w:rPr>
          <w:rFonts w:ascii="Courier New" w:cs="Courier New" w:eastAsia="Courier New" w:hAnsi="Courier New"/>
          <w:sz w:val="18"/>
          <w:szCs w:val="18"/>
          <w:color w:val="auto"/>
        </w:rPr>
        <w:t>.89</w:t>
      </w:r>
    </w:p>
    <w:p>
      <w:pPr>
        <w:jc w:val="center"/>
        <w:ind w:right="1699"/>
        <w:spacing w:after="0" w:line="238" w:lineRule="auto"/>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2019-12-12T22:41:30Z</dcterms:created>
  <dcterms:modified xsi:type="dcterms:W3CDTF">2019-12-12T22:41:30Z</dcterms:modified>
</cp:coreProperties>
</file>