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16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ind w:left="640" w:hanging="527"/>
        <w:spacing w:after="0"/>
        <w:tabs>
          <w:tab w:leader="none" w:pos="64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 (d) OF THE SECURITIES</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EXCHANGE ACT OF 1934</w:t>
      </w:r>
    </w:p>
    <w:p>
      <w:pPr>
        <w:spacing w:after="0" w:line="16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March 31, 1995</w:t>
      </w:r>
    </w:p>
    <w:p>
      <w:pPr>
        <w:spacing w:after="0" w:line="3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TRANSITION REPORT PURSUANT TO SECTION 13 OR 15 (d) OF THE SECURITIES</w:t>
      </w:r>
    </w:p>
    <w:p>
      <w:pPr>
        <w:spacing w:after="0" w:line="5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 - ---</w:t>
      </w:r>
      <w:r>
        <w:rPr>
          <w:sz w:val="20"/>
          <w:szCs w:val="20"/>
          <w:color w:val="auto"/>
        </w:rPr>
        <w:tab/>
      </w:r>
      <w:r>
        <w:rPr>
          <w:rFonts w:ascii="Courier New" w:cs="Courier New" w:eastAsia="Courier New" w:hAnsi="Courier New"/>
          <w:sz w:val="16"/>
          <w:szCs w:val="16"/>
          <w:color w:val="auto"/>
        </w:rPr>
        <w:t>EXCHANGE ACT OF 1934</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COHU, INC</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95-1934119</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371" w:lineRule="exact"/>
        <w:rPr>
          <w:sz w:val="24"/>
          <w:szCs w:val="24"/>
          <w:color w:val="auto"/>
        </w:rPr>
      </w:pPr>
    </w:p>
    <w:p>
      <w:pPr>
        <w:sectPr>
          <w:pgSz w:w="11900" w:h="16838" w:orient="portrait"/>
          <w:cols w:equalWidth="0" w:num="2">
            <w:col w:w="3920" w:space="720"/>
            <w:col w:w="5579"/>
          </w:cols>
          <w:pgMar w:left="240" w:top="218" w:right="1440" w:bottom="1440" w:gutter="0" w:footer="0" w:header="0"/>
          <w:type w:val="continuous"/>
        </w:sectPr>
      </w:pPr>
    </w:p>
    <w:p>
      <w:pPr>
        <w:spacing w:after="0"/>
        <w:tabs>
          <w:tab w:leader="none" w:pos="736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6"/>
          <w:szCs w:val="16"/>
          <w:color w:val="auto"/>
        </w:rPr>
        <w:t>92123</w:t>
      </w:r>
    </w:p>
    <w:p>
      <w:pPr>
        <w:sectPr>
          <w:pgSz w:w="11900" w:h="16838" w:orient="portrait"/>
          <w:cols w:equalWidth="0" w:num="1">
            <w:col w:w="10219"/>
          </w:cols>
          <w:pgMar w:left="240" w:top="218" w:right="1440" w:bottom="1440" w:gutter="0" w:footer="0" w:header="0"/>
          <w:type w:val="continuous"/>
        </w:sectPr>
      </w:pPr>
    </w:p>
    <w:p>
      <w:pPr>
        <w:spacing w:after="0" w:line="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90" w:lineRule="exact"/>
        <w:rPr>
          <w:sz w:val="24"/>
          <w:szCs w:val="24"/>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18" w:right="1440" w:bottom="1440" w:gutter="0" w:footer="0" w:header="0"/>
          <w:type w:val="continuous"/>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619-277-6700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5280" w:space="0"/>
            <w:col w:w="4939"/>
          </w:cols>
          <w:pgMar w:left="240" w:top="218" w:right="1440" w:bottom="1440" w:gutter="0" w:footer="0" w:header="0"/>
          <w:type w:val="continuous"/>
        </w:sectPr>
      </w:pPr>
    </w:p>
    <w:p>
      <w:pPr>
        <w:ind w:right="1779"/>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18" w:right="1440" w:bottom="1440" w:gutter="0" w:footer="0" w:header="0"/>
          <w:type w:val="continuous"/>
        </w:sectPr>
      </w:pPr>
    </w:p>
    <w:p>
      <w:pPr>
        <w:spacing w:after="0" w:line="90" w:lineRule="exact"/>
        <w:rPr>
          <w:sz w:val="24"/>
          <w:szCs w:val="24"/>
          <w:color w:val="auto"/>
        </w:rPr>
      </w:pPr>
    </w:p>
    <w:p>
      <w:pPr>
        <w:ind w:left="61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X</w:t>
      </w:r>
    </w:p>
    <w:p>
      <w:pPr>
        <w:spacing w:after="0" w:line="31"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ectPr>
          <w:pgSz w:w="11900" w:h="16838" w:orient="portrait"/>
          <w:cols w:equalWidth="0" w:num="4">
            <w:col w:w="6440" w:space="0"/>
            <w:col w:w="520" w:space="320"/>
            <w:col w:w="200" w:space="0"/>
            <w:col w:w="2739"/>
          </w:cols>
          <w:pgMar w:left="240" w:top="218" w:right="1440" w:bottom="1440" w:gutter="0" w:footer="0" w:header="0"/>
          <w:type w:val="continuous"/>
        </w:sectPr>
      </w:pPr>
    </w:p>
    <w:p>
      <w:pPr>
        <w:jc w:val="center"/>
        <w:ind w:right="1679"/>
        <w:spacing w:after="0"/>
        <w:rPr>
          <w:sz w:val="20"/>
          <w:szCs w:val="20"/>
          <w:color w:val="auto"/>
        </w:rPr>
      </w:pPr>
      <w:r>
        <w:rPr>
          <w:rFonts w:ascii="Courier New" w:cs="Courier New" w:eastAsia="Courier New" w:hAnsi="Courier New"/>
          <w:sz w:val="18"/>
          <w:szCs w:val="18"/>
          <w:color w:val="auto"/>
        </w:rPr>
        <w:t>4,470,722</w:t>
      </w:r>
    </w:p>
    <w:p>
      <w:pPr>
        <w:spacing w:after="0" w:line="3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(Number of shares of common stock outstanding as of March 31, 1995)</w:t>
      </w:r>
    </w:p>
    <w:p>
      <w:pPr>
        <w:spacing w:after="0" w:line="19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320" w:type="dxa"/>
            <w:vAlign w:val="bottom"/>
          </w:tcPr>
          <w:p>
            <w:pPr>
              <w:ind w:left="4020"/>
              <w:spacing w:after="0"/>
              <w:rPr>
                <w:sz w:val="20"/>
                <w:szCs w:val="20"/>
                <w:color w:val="auto"/>
              </w:rPr>
            </w:pPr>
            <w:r>
              <w:rPr>
                <w:rFonts w:ascii="Courier New" w:cs="Courier New" w:eastAsia="Courier New" w:hAnsi="Courier New"/>
                <w:sz w:val="18"/>
                <w:szCs w:val="18"/>
                <w:color w:val="auto"/>
              </w:rPr>
              <w:t>INDEX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32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320" w:type="dxa"/>
            <w:vAlign w:val="bottom"/>
          </w:tcPr>
          <w:p>
            <w:pPr>
              <w:spacing w:after="0"/>
              <w:rPr>
                <w:sz w:val="20"/>
                <w:szCs w:val="20"/>
                <w:color w:val="auto"/>
              </w:rPr>
            </w:pPr>
            <w:r>
              <w:rPr>
                <w:rFonts w:ascii="Courier New" w:cs="Courier New" w:eastAsia="Courier New" w:hAnsi="Courier New"/>
                <w:sz w:val="18"/>
                <w:szCs w:val="18"/>
                <w:color w:val="auto"/>
              </w:rPr>
              <w:t>- -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20" w:type="dxa"/>
            <w:vAlign w:val="bottom"/>
          </w:tcPr>
          <w:p>
            <w:pPr>
              <w:ind w:left="120"/>
              <w:spacing w:after="0"/>
              <w:rPr>
                <w:sz w:val="20"/>
                <w:szCs w:val="20"/>
                <w:color w:val="auto"/>
              </w:rPr>
            </w:pPr>
            <w:r>
              <w:rPr>
                <w:rFonts w:ascii="Courier New" w:cs="Courier New" w:eastAsia="Courier New" w:hAnsi="Courier New"/>
                <w:sz w:val="18"/>
                <w:szCs w:val="18"/>
                <w:color w:val="auto"/>
              </w:rPr>
              <w:t>Financial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Consolidated Balance Sheets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March 31, 1995 and December 31, 1994 .......................</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Consolidated Statements of Income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Three and Nine Months Ended March 31, 1995 and 1994 ........</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Consolidated Statements of Cash Flows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Nine Months Ended March 31, 1995 and 1994 ..................</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Notes to Consolidated Financial Statements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311"/>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Management's Discussion and Analysis of the</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96"/>
        </w:trPr>
        <w:tc>
          <w:tcPr>
            <w:tcW w:w="7320" w:type="dxa"/>
            <w:vAlign w:val="bottom"/>
          </w:tcPr>
          <w:p>
            <w:pPr>
              <w:ind w:left="740"/>
              <w:spacing w:after="0"/>
              <w:rPr>
                <w:sz w:val="20"/>
                <w:szCs w:val="20"/>
                <w:color w:val="auto"/>
              </w:rPr>
            </w:pPr>
            <w:r>
              <w:rPr>
                <w:rFonts w:ascii="Courier New" w:cs="Courier New" w:eastAsia="Courier New" w:hAnsi="Courier New"/>
                <w:sz w:val="18"/>
                <w:szCs w:val="18"/>
                <w:color w:val="auto"/>
              </w:rPr>
              <w:t>Financial Condition and Results of Operations ..............</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732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320" w:type="dxa"/>
            <w:vAlign w:val="bottom"/>
          </w:tcPr>
          <w:p>
            <w:pPr>
              <w:spacing w:after="0"/>
              <w:rPr>
                <w:sz w:val="20"/>
                <w:szCs w:val="20"/>
                <w:color w:val="auto"/>
              </w:rPr>
            </w:pPr>
            <w:r>
              <w:rPr>
                <w:rFonts w:ascii="Courier New" w:cs="Courier New" w:eastAsia="Courier New" w:hAnsi="Courier New"/>
                <w:sz w:val="18"/>
                <w:szCs w:val="18"/>
                <w:color w:val="auto"/>
              </w:rPr>
              <w:t>- - -------</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20" w:type="dxa"/>
            <w:vAlign w:val="bottom"/>
          </w:tcPr>
          <w:p>
            <w:pPr>
              <w:ind w:left="320"/>
              <w:spacing w:after="0"/>
              <w:rPr>
                <w:sz w:val="20"/>
                <w:szCs w:val="20"/>
                <w:color w:val="auto"/>
              </w:rPr>
            </w:pPr>
            <w:r>
              <w:rPr>
                <w:rFonts w:ascii="Courier New" w:cs="Courier New" w:eastAsia="Courier New" w:hAnsi="Courier New"/>
                <w:sz w:val="18"/>
                <w:szCs w:val="18"/>
                <w:color w:val="auto"/>
              </w:rPr>
              <w:t>Other Information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608"/>
        </w:trPr>
        <w:tc>
          <w:tcPr>
            <w:tcW w:w="7320" w:type="dxa"/>
            <w:vAlign w:val="bottom"/>
          </w:tcPr>
          <w:p>
            <w:pPr>
              <w:ind w:left="4220"/>
              <w:spacing w:after="0"/>
              <w:rPr>
                <w:sz w:val="20"/>
                <w:szCs w:val="20"/>
                <w:color w:val="auto"/>
              </w:rPr>
            </w:pPr>
            <w:r>
              <w:rPr>
                <w:rFonts w:ascii="Courier New" w:cs="Courier New" w:eastAsia="Courier New" w:hAnsi="Courier New"/>
                <w:sz w:val="18"/>
                <w:szCs w:val="18"/>
                <w:color w:val="auto"/>
              </w:rPr>
              <w:t>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2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6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2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March 31, 1995</w:t>
            </w:r>
          </w:p>
        </w:tc>
        <w:tc>
          <w:tcPr>
            <w:tcW w:w="2280" w:type="dxa"/>
            <w:vAlign w:val="bottom"/>
          </w:tcPr>
          <w:p>
            <w:pPr>
              <w:ind w:left="380"/>
              <w:spacing w:after="0"/>
              <w:rPr>
                <w:sz w:val="20"/>
                <w:szCs w:val="20"/>
                <w:color w:val="auto"/>
              </w:rPr>
            </w:pPr>
            <w:r>
              <w:rPr>
                <w:rFonts w:ascii="Courier New" w:cs="Courier New" w:eastAsia="Courier New" w:hAnsi="Courier New"/>
                <w:sz w:val="18"/>
                <w:szCs w:val="18"/>
                <w:color w:val="auto"/>
              </w:rPr>
              <w:t>December 31, 1994</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2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(Unaudited)</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4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$ 4,640,000</w:t>
            </w:r>
          </w:p>
        </w:tc>
        <w:tc>
          <w:tcPr>
            <w:tcW w:w="2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$ 3,096,000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46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w:t>
            </w:r>
          </w:p>
        </w:tc>
        <w:tc>
          <w:tcPr>
            <w:tcW w:w="24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23,038,000</w:t>
            </w:r>
          </w:p>
        </w:tc>
        <w:tc>
          <w:tcPr>
            <w:tcW w:w="2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20,487,000</w:t>
            </w:r>
          </w:p>
        </w:tc>
        <w:tc>
          <w:tcPr>
            <w:tcW w:w="0" w:type="dxa"/>
            <w:vAlign w:val="bottom"/>
          </w:tcPr>
          <w:p>
            <w:pPr>
              <w:spacing w:after="0"/>
              <w:rPr>
                <w:sz w:val="1"/>
                <w:szCs w:val="1"/>
                <w:color w:val="auto"/>
              </w:rPr>
            </w:pPr>
          </w:p>
        </w:tc>
      </w:tr>
      <w:tr>
        <w:trPr>
          <w:trHeight w:val="203"/>
        </w:trPr>
        <w:tc>
          <w:tcPr>
            <w:tcW w:w="60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for doubtful accounts</w:t>
            </w:r>
          </w:p>
        </w:tc>
        <w:tc>
          <w:tcPr>
            <w:tcW w:w="246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 at lower of average cost or market:</w:t>
            </w:r>
          </w:p>
        </w:tc>
        <w:tc>
          <w:tcPr>
            <w:tcW w:w="24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4,621,000</w:t>
            </w:r>
          </w:p>
        </w:tc>
        <w:tc>
          <w:tcPr>
            <w:tcW w:w="2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3,920,000</w:t>
            </w:r>
          </w:p>
        </w:tc>
        <w:tc>
          <w:tcPr>
            <w:tcW w:w="0" w:type="dxa"/>
            <w:vAlign w:val="bottom"/>
          </w:tcPr>
          <w:p>
            <w:pPr>
              <w:spacing w:after="0"/>
              <w:rPr>
                <w:sz w:val="1"/>
                <w:szCs w:val="1"/>
                <w:color w:val="auto"/>
              </w:rPr>
            </w:pPr>
          </w:p>
        </w:tc>
      </w:tr>
      <w:tr>
        <w:trPr>
          <w:trHeight w:val="203"/>
        </w:trPr>
        <w:tc>
          <w:tcPr>
            <w:tcW w:w="6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Finished goods</w:t>
            </w:r>
          </w:p>
        </w:tc>
        <w:tc>
          <w:tcPr>
            <w:tcW w:w="246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Work in process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10,217,000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8,800,000</w:t>
            </w:r>
          </w:p>
        </w:tc>
        <w:tc>
          <w:tcPr>
            <w:tcW w:w="0" w:type="dxa"/>
            <w:vAlign w:val="bottom"/>
          </w:tcPr>
          <w:p>
            <w:pPr>
              <w:spacing w:after="0"/>
              <w:rPr>
                <w:sz w:val="1"/>
                <w:szCs w:val="1"/>
                <w:color w:val="auto"/>
              </w:rPr>
            </w:pPr>
          </w:p>
        </w:tc>
      </w:tr>
      <w:tr>
        <w:trPr>
          <w:trHeight w:val="203"/>
        </w:trPr>
        <w:tc>
          <w:tcPr>
            <w:tcW w:w="6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Material and parts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15,906,000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15,721,000</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Deferred income taxes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30,744,000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28,441,000</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3,250,000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3,250,000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679,000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638,000</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current assets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020" w:type="dxa"/>
            <w:vAlign w:val="bottom"/>
            <w:vMerge w:val="continue"/>
          </w:tcPr>
          <w:p>
            <w:pPr>
              <w:spacing w:after="0"/>
              <w:rPr>
                <w:sz w:val="24"/>
                <w:szCs w:val="24"/>
                <w:color w:val="auto"/>
              </w:rPr>
            </w:pPr>
          </w:p>
        </w:tc>
        <w:tc>
          <w:tcPr>
            <w:tcW w:w="2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62,351,000</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55,912,000</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4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150,000</w:t>
            </w:r>
          </w:p>
        </w:tc>
        <w:tc>
          <w:tcPr>
            <w:tcW w:w="2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150,000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246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7,775,000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7,721,000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electronic test equipment</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7,320,000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7,314,000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Office furniture and fixtures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3,351,000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3,251,000</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18,596,000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18,436,000</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9,612,000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9,357,000</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property, plant and equipment</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8,984,000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9,079,000</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3,190,000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3,315,000</w:t>
            </w:r>
          </w:p>
        </w:tc>
        <w:tc>
          <w:tcPr>
            <w:tcW w:w="0" w:type="dxa"/>
            <w:vAlign w:val="bottom"/>
          </w:tcPr>
          <w:p>
            <w:pPr>
              <w:spacing w:after="0"/>
              <w:rPr>
                <w:sz w:val="1"/>
                <w:szCs w:val="1"/>
                <w:color w:val="auto"/>
              </w:rPr>
            </w:pP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62,000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62,000</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$74,587,000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$68,368,000</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2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6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4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460" w:type="dxa"/>
            <w:vAlign w:val="bottom"/>
            <w:vMerge w:val="restart"/>
          </w:tcPr>
          <w:p>
            <w:pPr>
              <w:jc w:val="right"/>
              <w:ind w:right="592"/>
              <w:spacing w:after="0"/>
              <w:rPr>
                <w:sz w:val="20"/>
                <w:szCs w:val="20"/>
                <w:color w:val="auto"/>
              </w:rPr>
            </w:pPr>
            <w:r>
              <w:rPr>
                <w:rFonts w:ascii="Courier New" w:cs="Courier New" w:eastAsia="Courier New" w:hAnsi="Courier New"/>
                <w:sz w:val="18"/>
                <w:szCs w:val="18"/>
                <w:color w:val="auto"/>
              </w:rPr>
              <w:t>$12,684,000</w:t>
            </w:r>
          </w:p>
        </w:tc>
        <w:tc>
          <w:tcPr>
            <w:tcW w:w="2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$ 8,599,000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and commissions payable</w:t>
            </w:r>
          </w:p>
        </w:tc>
        <w:tc>
          <w:tcPr>
            <w:tcW w:w="246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3,166,000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1,930,000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6,100,000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7,303,000</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current liabilities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21,950,000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17,832,000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Long-term note payable to bank</w:t>
            </w:r>
          </w:p>
        </w:tc>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retiree medical benefits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815,000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801,000</w:t>
            </w:r>
          </w:p>
        </w:tc>
        <w:tc>
          <w:tcPr>
            <w:tcW w:w="0" w:type="dxa"/>
            <w:vAlign w:val="bottom"/>
          </w:tcPr>
          <w:p>
            <w:pPr>
              <w:spacing w:after="0"/>
              <w:rPr>
                <w:sz w:val="1"/>
                <w:szCs w:val="1"/>
                <w:color w:val="auto"/>
              </w:rPr>
            </w:pPr>
          </w:p>
        </w:tc>
      </w:tr>
      <w:tr>
        <w:trPr>
          <w:trHeight w:val="296"/>
        </w:trPr>
        <w:tc>
          <w:tcPr>
            <w:tcW w:w="6020" w:type="dxa"/>
            <w:vAlign w:val="bottom"/>
          </w:tcPr>
          <w:p>
            <w:pPr>
              <w:ind w:left="540"/>
              <w:spacing w:after="0"/>
              <w:rPr>
                <w:sz w:val="20"/>
                <w:szCs w:val="20"/>
                <w:color w:val="auto"/>
              </w:rPr>
            </w:pPr>
            <w:r>
              <w:rPr>
                <w:rFonts w:ascii="Courier New" w:cs="Courier New" w:eastAsia="Courier New" w:hAnsi="Courier New"/>
                <w:sz w:val="18"/>
                <w:szCs w:val="18"/>
                <w:color w:val="auto"/>
              </w:rPr>
              <w:t>Deferred income taxes</w:t>
            </w:r>
          </w:p>
        </w:tc>
        <w:tc>
          <w:tcPr>
            <w:tcW w:w="2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964,000</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964,000</w:t>
            </w:r>
          </w:p>
        </w:tc>
        <w:tc>
          <w:tcPr>
            <w:tcW w:w="0" w:type="dxa"/>
            <w:vAlign w:val="bottom"/>
          </w:tcPr>
          <w:p>
            <w:pPr>
              <w:spacing w:after="0"/>
              <w:rPr>
                <w:sz w:val="1"/>
                <w:szCs w:val="1"/>
                <w:color w:val="auto"/>
              </w:rPr>
            </w:pPr>
          </w:p>
        </w:tc>
      </w:tr>
      <w:tr>
        <w:trPr>
          <w:trHeight w:val="311"/>
        </w:trPr>
        <w:tc>
          <w:tcPr>
            <w:tcW w:w="6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460" w:type="dxa"/>
            <w:vAlign w:val="bottom"/>
            <w:vMerge w:val="restart"/>
          </w:tcPr>
          <w:p>
            <w:pPr>
              <w:jc w:val="right"/>
              <w:ind w:right="792"/>
              <w:spacing w:after="0"/>
              <w:rPr>
                <w:sz w:val="20"/>
                <w:szCs w:val="20"/>
                <w:color w:val="auto"/>
              </w:rPr>
            </w:pPr>
            <w:r>
              <w:rPr>
                <w:rFonts w:ascii="Courier New" w:cs="Courier New" w:eastAsia="Courier New" w:hAnsi="Courier New"/>
                <w:sz w:val="18"/>
                <w:szCs w:val="18"/>
                <w:color w:val="auto"/>
              </w:rPr>
              <w:t>--</w:t>
            </w:r>
          </w:p>
        </w:tc>
        <w:tc>
          <w:tcPr>
            <w:tcW w:w="228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w:t>
            </w:r>
          </w:p>
        </w:tc>
        <w:tc>
          <w:tcPr>
            <w:tcW w:w="246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4,471,000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4,405,000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6,763,000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6,510,000</w:t>
            </w:r>
          </w:p>
        </w:tc>
        <w:tc>
          <w:tcPr>
            <w:tcW w:w="0" w:type="dxa"/>
            <w:vAlign w:val="bottom"/>
          </w:tcPr>
          <w:p>
            <w:pPr>
              <w:spacing w:after="0"/>
              <w:rPr>
                <w:sz w:val="1"/>
                <w:szCs w:val="1"/>
                <w:color w:val="auto"/>
              </w:rPr>
            </w:pPr>
          </w:p>
        </w:tc>
      </w:tr>
      <w:tr>
        <w:trPr>
          <w:trHeight w:val="203"/>
        </w:trPr>
        <w:tc>
          <w:tcPr>
            <w:tcW w:w="6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39,624,000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36,456,000</w:t>
            </w:r>
          </w:p>
        </w:tc>
        <w:tc>
          <w:tcPr>
            <w:tcW w:w="0" w:type="dxa"/>
            <w:vAlign w:val="bottom"/>
          </w:tcPr>
          <w:p>
            <w:pPr>
              <w:spacing w:after="0"/>
              <w:rPr>
                <w:sz w:val="1"/>
                <w:szCs w:val="1"/>
                <w:color w:val="auto"/>
              </w:rPr>
            </w:pPr>
          </w:p>
        </w:tc>
      </w:tr>
      <w:tr>
        <w:trPr>
          <w:trHeight w:val="203"/>
        </w:trPr>
        <w:tc>
          <w:tcPr>
            <w:tcW w:w="602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Total stockholders' equity</w:t>
            </w: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50,858,000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47,371,000</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$74,587,000</w:t>
            </w:r>
          </w:p>
        </w:tc>
        <w:tc>
          <w:tcPr>
            <w:tcW w:w="2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$68,368,000</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2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760"/>
          </w:cols>
          <w:pgMar w:left="240" w:top="285" w:right="89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9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96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$ 32,182,000</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$17,518,000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680" w:type="dxa"/>
            <w:vAlign w:val="bottom"/>
          </w:tcPr>
          <w:p>
            <w:pPr>
              <w:spacing w:after="0"/>
              <w:rPr>
                <w:sz w:val="17"/>
                <w:szCs w:val="17"/>
                <w:color w:val="auto"/>
              </w:rPr>
            </w:pPr>
          </w:p>
        </w:tc>
        <w:tc>
          <w:tcPr>
            <w:tcW w:w="2280" w:type="dxa"/>
            <w:vAlign w:val="bottom"/>
            <w:vMerge w:val="restart"/>
          </w:tcPr>
          <w:p>
            <w:pPr>
              <w:jc w:val="right"/>
              <w:ind w:right="1072"/>
              <w:spacing w:after="0"/>
              <w:rPr>
                <w:sz w:val="20"/>
                <w:szCs w:val="20"/>
                <w:color w:val="auto"/>
              </w:rPr>
            </w:pPr>
            <w:r>
              <w:rPr>
                <w:rFonts w:ascii="Courier New" w:cs="Courier New" w:eastAsia="Courier New" w:hAnsi="Courier New"/>
                <w:sz w:val="18"/>
                <w:szCs w:val="18"/>
                <w:color w:val="auto"/>
              </w:rPr>
              <w:t>19,359,000</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10,452,000</w:t>
            </w:r>
          </w:p>
        </w:tc>
        <w:tc>
          <w:tcPr>
            <w:tcW w:w="0" w:type="dxa"/>
            <w:vAlign w:val="bottom"/>
          </w:tcPr>
          <w:p>
            <w:pPr>
              <w:spacing w:after="0"/>
              <w:rPr>
                <w:sz w:val="1"/>
                <w:szCs w:val="1"/>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 of sales</w:t>
            </w:r>
          </w:p>
        </w:tc>
        <w:tc>
          <w:tcPr>
            <w:tcW w:w="68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80" w:type="dxa"/>
            <w:vAlign w:val="bottom"/>
          </w:tcPr>
          <w:p>
            <w:pPr>
              <w:spacing w:after="0"/>
              <w:rPr>
                <w:sz w:val="17"/>
                <w:szCs w:val="17"/>
                <w:color w:val="auto"/>
              </w:rPr>
            </w:pP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2,235,000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1,534,000</w:t>
            </w:r>
          </w:p>
        </w:tc>
        <w:tc>
          <w:tcPr>
            <w:tcW w:w="0" w:type="dxa"/>
            <w:vAlign w:val="bottom"/>
          </w:tcPr>
          <w:p>
            <w:pPr>
              <w:spacing w:after="0"/>
              <w:rPr>
                <w:sz w:val="1"/>
                <w:szCs w:val="1"/>
                <w:color w:val="auto"/>
              </w:rPr>
            </w:pPr>
          </w:p>
        </w:tc>
      </w:tr>
      <w:tr>
        <w:trPr>
          <w:trHeight w:val="203"/>
        </w:trPr>
        <w:tc>
          <w:tcPr>
            <w:tcW w:w="4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680" w:type="dxa"/>
            <w:vAlign w:val="bottom"/>
          </w:tcPr>
          <w:p>
            <w:pPr>
              <w:spacing w:after="0"/>
              <w:rPr>
                <w:sz w:val="17"/>
                <w:szCs w:val="17"/>
                <w:color w:val="auto"/>
              </w:rPr>
            </w:pP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4,932,000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2,970,000</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29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5,656,000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2,562,000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680" w:type="dxa"/>
            <w:vAlign w:val="bottom"/>
          </w:tcPr>
          <w:p>
            <w:pPr>
              <w:spacing w:after="0"/>
              <w:rPr>
                <w:sz w:val="17"/>
                <w:szCs w:val="17"/>
                <w:color w:val="auto"/>
              </w:rPr>
            </w:pP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34,000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680" w:type="dxa"/>
            <w:vAlign w:val="bottom"/>
          </w:tcPr>
          <w:p>
            <w:pPr>
              <w:spacing w:after="0"/>
              <w:rPr>
                <w:sz w:val="17"/>
                <w:szCs w:val="17"/>
                <w:color w:val="auto"/>
              </w:rPr>
            </w:pPr>
          </w:p>
        </w:tc>
        <w:tc>
          <w:tcPr>
            <w:tcW w:w="2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(10,000)</w:t>
            </w:r>
          </w:p>
        </w:tc>
        <w:tc>
          <w:tcPr>
            <w:tcW w:w="1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 taxes</w:t>
            </w:r>
          </w:p>
        </w:tc>
        <w:tc>
          <w:tcPr>
            <w:tcW w:w="29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5,680,000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2,581,000</w:t>
            </w:r>
          </w:p>
        </w:tc>
        <w:tc>
          <w:tcPr>
            <w:tcW w:w="0" w:type="dxa"/>
            <w:vAlign w:val="bottom"/>
          </w:tcPr>
          <w:p>
            <w:pPr>
              <w:spacing w:after="0"/>
              <w:rPr>
                <w:sz w:val="1"/>
                <w:szCs w:val="1"/>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80" w:type="dxa"/>
            <w:vAlign w:val="bottom"/>
          </w:tcPr>
          <w:p>
            <w:pPr>
              <w:spacing w:after="0"/>
              <w:rPr>
                <w:sz w:val="17"/>
                <w:szCs w:val="17"/>
                <w:color w:val="auto"/>
              </w:rPr>
            </w:pP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2,200,000</w:t>
            </w: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950,000</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9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3,480,000</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$ 1,631,000</w:t>
            </w:r>
          </w:p>
        </w:tc>
        <w:tc>
          <w:tcPr>
            <w:tcW w:w="0" w:type="dxa"/>
            <w:vAlign w:val="bottom"/>
          </w:tcPr>
          <w:p>
            <w:pPr>
              <w:spacing w:after="0"/>
              <w:rPr>
                <w:sz w:val="1"/>
                <w:szCs w:val="1"/>
                <w:color w:val="auto"/>
              </w:rPr>
            </w:pPr>
          </w:p>
        </w:tc>
      </w:tr>
      <w:tr>
        <w:trPr>
          <w:trHeight w:val="203"/>
        </w:trPr>
        <w:tc>
          <w:tcPr>
            <w:tcW w:w="4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share</w:t>
            </w:r>
          </w:p>
        </w:tc>
        <w:tc>
          <w:tcPr>
            <w:tcW w:w="296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96"/>
        </w:trPr>
        <w:tc>
          <w:tcPr>
            <w:tcW w:w="4640" w:type="dxa"/>
            <w:vAlign w:val="bottom"/>
          </w:tcPr>
          <w:p>
            <w:pPr>
              <w:spacing w:after="0"/>
              <w:rPr>
                <w:sz w:val="24"/>
                <w:szCs w:val="24"/>
                <w:color w:val="auto"/>
              </w:rPr>
            </w:pPr>
          </w:p>
        </w:tc>
        <w:tc>
          <w:tcPr>
            <w:tcW w:w="296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1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9"/>
        </w:trPr>
        <w:tc>
          <w:tcPr>
            <w:tcW w:w="7060" w:type="dxa"/>
            <w:vAlign w:val="bottom"/>
          </w:tcPr>
          <w:p>
            <w:pPr>
              <w:spacing w:after="0"/>
              <w:rPr>
                <w:sz w:val="24"/>
                <w:szCs w:val="24"/>
                <w:color w:val="auto"/>
              </w:rPr>
            </w:pPr>
          </w:p>
        </w:tc>
        <w:tc>
          <w:tcPr>
            <w:tcW w:w="41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 March 31,</w:t>
            </w:r>
          </w:p>
        </w:tc>
        <w:tc>
          <w:tcPr>
            <w:tcW w:w="0" w:type="dxa"/>
            <w:vAlign w:val="bottom"/>
          </w:tcPr>
          <w:p>
            <w:pPr>
              <w:spacing w:after="0"/>
              <w:rPr>
                <w:sz w:val="1"/>
                <w:szCs w:val="1"/>
                <w:color w:val="auto"/>
              </w:rPr>
            </w:pPr>
          </w:p>
        </w:tc>
      </w:tr>
      <w:tr>
        <w:trPr>
          <w:trHeight w:val="203"/>
        </w:trPr>
        <w:tc>
          <w:tcPr>
            <w:tcW w:w="7060" w:type="dxa"/>
            <w:vAlign w:val="bottom"/>
          </w:tcPr>
          <w:p>
            <w:pPr>
              <w:spacing w:after="0"/>
              <w:rPr>
                <w:sz w:val="17"/>
                <w:szCs w:val="17"/>
                <w:color w:val="auto"/>
              </w:rPr>
            </w:pPr>
          </w:p>
        </w:tc>
        <w:tc>
          <w:tcPr>
            <w:tcW w:w="184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1995</w:t>
            </w:r>
          </w:p>
        </w:tc>
        <w:tc>
          <w:tcPr>
            <w:tcW w:w="2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03"/>
        </w:trPr>
        <w:tc>
          <w:tcPr>
            <w:tcW w:w="7060" w:type="dxa"/>
            <w:vAlign w:val="bottom"/>
          </w:tcPr>
          <w:p>
            <w:pPr>
              <w:spacing w:after="0"/>
              <w:rPr>
                <w:sz w:val="17"/>
                <w:szCs w:val="17"/>
                <w:color w:val="auto"/>
              </w:rPr>
            </w:pP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(Unaudited)</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84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$ 3,480,000</w:t>
            </w:r>
          </w:p>
        </w:tc>
        <w:tc>
          <w:tcPr>
            <w:tcW w:w="2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$ 1,631,000</w:t>
            </w:r>
          </w:p>
        </w:tc>
        <w:tc>
          <w:tcPr>
            <w:tcW w:w="0" w:type="dxa"/>
            <w:vAlign w:val="bottom"/>
          </w:tcPr>
          <w:p>
            <w:pPr>
              <w:spacing w:after="0"/>
              <w:rPr>
                <w:sz w:val="1"/>
                <w:szCs w:val="1"/>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8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8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84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394,000</w:t>
            </w:r>
          </w:p>
        </w:tc>
        <w:tc>
          <w:tcPr>
            <w:tcW w:w="2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245,000</w:t>
            </w:r>
          </w:p>
        </w:tc>
        <w:tc>
          <w:tcPr>
            <w:tcW w:w="0" w:type="dxa"/>
            <w:vAlign w:val="bottom"/>
          </w:tcPr>
          <w:p>
            <w:pPr>
              <w:spacing w:after="0"/>
              <w:rPr>
                <w:sz w:val="1"/>
                <w:szCs w:val="1"/>
                <w:color w:val="auto"/>
              </w:rPr>
            </w:pPr>
          </w:p>
        </w:tc>
      </w:tr>
      <w:tr>
        <w:trPr>
          <w:trHeight w:val="203"/>
        </w:trPr>
        <w:tc>
          <w:tcPr>
            <w:tcW w:w="7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8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14,000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w:t>
            </w:r>
          </w:p>
        </w:tc>
        <w:tc>
          <w:tcPr>
            <w:tcW w:w="0" w:type="dxa"/>
            <w:vAlign w:val="bottom"/>
          </w:tcPr>
          <w:p>
            <w:pPr>
              <w:spacing w:after="0"/>
              <w:rPr>
                <w:sz w:val="1"/>
                <w:szCs w:val="1"/>
                <w:color w:val="auto"/>
              </w:rPr>
            </w:pPr>
          </w:p>
        </w:tc>
      </w:tr>
      <w:tr>
        <w:trPr>
          <w:trHeight w:val="203"/>
        </w:trPr>
        <w:tc>
          <w:tcPr>
            <w:tcW w:w="7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(2,551,000)</w:t>
            </w:r>
          </w:p>
        </w:tc>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(4,772,000)</w:t>
            </w:r>
          </w:p>
        </w:tc>
        <w:tc>
          <w:tcPr>
            <w:tcW w:w="0" w:type="dxa"/>
            <w:vAlign w:val="bottom"/>
          </w:tcPr>
          <w:p>
            <w:pPr>
              <w:spacing w:after="0"/>
              <w:rPr>
                <w:sz w:val="1"/>
                <w:szCs w:val="1"/>
                <w:color w:val="auto"/>
              </w:rPr>
            </w:pPr>
          </w:p>
        </w:tc>
      </w:tr>
      <w:tr>
        <w:trPr>
          <w:trHeight w:val="203"/>
        </w:trPr>
        <w:tc>
          <w:tcPr>
            <w:tcW w:w="7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8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(2,303,000)</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(2,303,000)</w:t>
            </w:r>
          </w:p>
        </w:tc>
        <w:tc>
          <w:tcPr>
            <w:tcW w:w="0" w:type="dxa"/>
            <w:vAlign w:val="bottom"/>
          </w:tcPr>
          <w:p>
            <w:pPr>
              <w:spacing w:after="0"/>
              <w:rPr>
                <w:sz w:val="1"/>
                <w:szCs w:val="1"/>
                <w:color w:val="auto"/>
              </w:rPr>
            </w:pPr>
          </w:p>
        </w:tc>
      </w:tr>
      <w:tr>
        <w:trPr>
          <w:trHeight w:val="203"/>
        </w:trPr>
        <w:tc>
          <w:tcPr>
            <w:tcW w:w="7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(41,000)</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(29,000)</w:t>
            </w:r>
          </w:p>
        </w:tc>
        <w:tc>
          <w:tcPr>
            <w:tcW w:w="0" w:type="dxa"/>
            <w:vAlign w:val="bottom"/>
          </w:tcPr>
          <w:p>
            <w:pPr>
              <w:spacing w:after="0"/>
              <w:rPr>
                <w:sz w:val="1"/>
                <w:szCs w:val="1"/>
                <w:color w:val="auto"/>
              </w:rPr>
            </w:pPr>
          </w:p>
        </w:tc>
      </w:tr>
      <w:tr>
        <w:trPr>
          <w:trHeight w:val="203"/>
        </w:trPr>
        <w:tc>
          <w:tcPr>
            <w:tcW w:w="7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and commissions payable</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4,085,000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4,010,000</w:t>
            </w:r>
          </w:p>
        </w:tc>
        <w:tc>
          <w:tcPr>
            <w:tcW w:w="0" w:type="dxa"/>
            <w:vAlign w:val="bottom"/>
          </w:tcPr>
          <w:p>
            <w:pPr>
              <w:spacing w:after="0"/>
              <w:rPr>
                <w:sz w:val="1"/>
                <w:szCs w:val="1"/>
                <w:color w:val="auto"/>
              </w:rPr>
            </w:pPr>
          </w:p>
        </w:tc>
      </w:tr>
      <w:tr>
        <w:trPr>
          <w:trHeight w:val="203"/>
        </w:trPr>
        <w:tc>
          <w:tcPr>
            <w:tcW w:w="7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 payable</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1,236,000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w:t>
            </w:r>
          </w:p>
        </w:tc>
        <w:tc>
          <w:tcPr>
            <w:tcW w:w="0" w:type="dxa"/>
            <w:vAlign w:val="bottom"/>
          </w:tcPr>
          <w:p>
            <w:pPr>
              <w:spacing w:after="0"/>
              <w:rPr>
                <w:sz w:val="1"/>
                <w:szCs w:val="1"/>
                <w:color w:val="auto"/>
              </w:rPr>
            </w:pPr>
          </w:p>
        </w:tc>
      </w:tr>
      <w:tr>
        <w:trPr>
          <w:trHeight w:val="203"/>
        </w:trPr>
        <w:tc>
          <w:tcPr>
            <w:tcW w:w="7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(1,203,000)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237,000</w:t>
            </w:r>
          </w:p>
        </w:tc>
        <w:tc>
          <w:tcPr>
            <w:tcW w:w="0" w:type="dxa"/>
            <w:vAlign w:val="bottom"/>
          </w:tcPr>
          <w:p>
            <w:pPr>
              <w:spacing w:after="0"/>
              <w:rPr>
                <w:sz w:val="1"/>
                <w:szCs w:val="1"/>
                <w:color w:val="auto"/>
              </w:rPr>
            </w:pPr>
          </w:p>
        </w:tc>
      </w:tr>
      <w:tr>
        <w:trPr>
          <w:trHeight w:val="203"/>
        </w:trPr>
        <w:tc>
          <w:tcPr>
            <w:tcW w:w="706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Net cash provided from (used by) operating activities</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60" w:type="dxa"/>
            <w:vAlign w:val="bottom"/>
            <w:vMerge w:val="continue"/>
          </w:tcPr>
          <w:p>
            <w:pPr>
              <w:spacing w:after="0"/>
              <w:rPr>
                <w:sz w:val="24"/>
                <w:szCs w:val="24"/>
                <w:color w:val="auto"/>
              </w:rPr>
            </w:pPr>
          </w:p>
        </w:tc>
        <w:tc>
          <w:tcPr>
            <w:tcW w:w="18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3,111,000</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(816,000)</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(174,000)</w:t>
            </w:r>
          </w:p>
        </w:tc>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(90,000)</w:t>
            </w:r>
          </w:p>
        </w:tc>
        <w:tc>
          <w:tcPr>
            <w:tcW w:w="0" w:type="dxa"/>
            <w:vAlign w:val="bottom"/>
          </w:tcPr>
          <w:p>
            <w:pPr>
              <w:spacing w:after="0"/>
              <w:rPr>
                <w:sz w:val="1"/>
                <w:szCs w:val="1"/>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 of equipment</w:t>
            </w:r>
          </w:p>
        </w:tc>
        <w:tc>
          <w:tcPr>
            <w:tcW w:w="18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Net cash used for investing activities</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060" w:type="dxa"/>
            <w:vAlign w:val="bottom"/>
            <w:vMerge w:val="continue"/>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(174,000)</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(90,000)</w:t>
            </w:r>
          </w:p>
        </w:tc>
        <w:tc>
          <w:tcPr>
            <w:tcW w:w="0" w:type="dxa"/>
            <w:vAlign w:val="bottom"/>
          </w:tcPr>
          <w:p>
            <w:pPr>
              <w:spacing w:after="0"/>
              <w:rPr>
                <w:sz w:val="1"/>
                <w:szCs w:val="1"/>
                <w:color w:val="auto"/>
              </w:rPr>
            </w:pPr>
          </w:p>
        </w:tc>
      </w:tr>
      <w:tr>
        <w:trPr>
          <w:trHeight w:val="311"/>
        </w:trPr>
        <w:tc>
          <w:tcPr>
            <w:tcW w:w="70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(1,400,000)</w:t>
            </w:r>
          </w:p>
        </w:tc>
        <w:tc>
          <w:tcPr>
            <w:tcW w:w="22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in long-term borrowings</w:t>
            </w:r>
          </w:p>
        </w:tc>
        <w:tc>
          <w:tcPr>
            <w:tcW w:w="18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 of stock, net</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319,000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56,000</w:t>
            </w:r>
          </w:p>
        </w:tc>
        <w:tc>
          <w:tcPr>
            <w:tcW w:w="0" w:type="dxa"/>
            <w:vAlign w:val="bottom"/>
          </w:tcPr>
          <w:p>
            <w:pPr>
              <w:spacing w:after="0"/>
              <w:rPr>
                <w:sz w:val="1"/>
                <w:szCs w:val="1"/>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paid</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(312,000)</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(245,000)</w:t>
            </w:r>
          </w:p>
        </w:tc>
        <w:tc>
          <w:tcPr>
            <w:tcW w:w="0" w:type="dxa"/>
            <w:vAlign w:val="bottom"/>
          </w:tcPr>
          <w:p>
            <w:pPr>
              <w:spacing w:after="0"/>
              <w:rPr>
                <w:sz w:val="1"/>
                <w:szCs w:val="1"/>
                <w:color w:val="auto"/>
              </w:rPr>
            </w:pPr>
          </w:p>
        </w:tc>
      </w:tr>
      <w:tr>
        <w:trPr>
          <w:trHeight w:val="203"/>
        </w:trPr>
        <w:tc>
          <w:tcPr>
            <w:tcW w:w="706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Net cash used for financing activities</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(1,393,000)</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(189,000)</w:t>
            </w:r>
          </w:p>
        </w:tc>
        <w:tc>
          <w:tcPr>
            <w:tcW w:w="0" w:type="dxa"/>
            <w:vAlign w:val="bottom"/>
          </w:tcPr>
          <w:p>
            <w:pPr>
              <w:spacing w:after="0"/>
              <w:rPr>
                <w:sz w:val="1"/>
                <w:szCs w:val="1"/>
                <w:color w:val="auto"/>
              </w:rPr>
            </w:pPr>
          </w:p>
        </w:tc>
      </w:tr>
      <w:tr>
        <w:trPr>
          <w:trHeight w:val="203"/>
        </w:trPr>
        <w:tc>
          <w:tcPr>
            <w:tcW w:w="7060" w:type="dxa"/>
            <w:vAlign w:val="bottom"/>
            <w:vMerge w:val="restart"/>
          </w:tcPr>
          <w:p>
            <w:pPr>
              <w:spacing w:after="0"/>
              <w:rPr>
                <w:sz w:val="20"/>
                <w:szCs w:val="20"/>
                <w:color w:val="auto"/>
              </w:rPr>
            </w:pPr>
            <w:r>
              <w:rPr>
                <w:rFonts w:ascii="Courier New" w:cs="Courier New" w:eastAsia="Courier New" w:hAnsi="Courier New"/>
                <w:sz w:val="18"/>
                <w:szCs w:val="18"/>
                <w:color w:val="auto"/>
              </w:rPr>
              <w:t>Net increase (decrease) in cash and cash equivalents</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1,544,000</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(1,797,000)</w:t>
            </w:r>
          </w:p>
        </w:tc>
        <w:tc>
          <w:tcPr>
            <w:tcW w:w="0" w:type="dxa"/>
            <w:vAlign w:val="bottom"/>
          </w:tcPr>
          <w:p>
            <w:pPr>
              <w:spacing w:after="0"/>
              <w:rPr>
                <w:sz w:val="1"/>
                <w:szCs w:val="1"/>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3,096,000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3,911,000</w:t>
            </w:r>
          </w:p>
        </w:tc>
        <w:tc>
          <w:tcPr>
            <w:tcW w:w="0" w:type="dxa"/>
            <w:vAlign w:val="bottom"/>
          </w:tcPr>
          <w:p>
            <w:pPr>
              <w:spacing w:after="0"/>
              <w:rPr>
                <w:sz w:val="1"/>
                <w:szCs w:val="1"/>
                <w:color w:val="auto"/>
              </w:rPr>
            </w:pPr>
          </w:p>
        </w:tc>
      </w:tr>
      <w:tr>
        <w:trPr>
          <w:trHeight w:val="203"/>
        </w:trPr>
        <w:tc>
          <w:tcPr>
            <w:tcW w:w="706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18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$ 4,640,000</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$ 2,114,000</w:t>
            </w:r>
          </w:p>
        </w:tc>
        <w:tc>
          <w:tcPr>
            <w:tcW w:w="0" w:type="dxa"/>
            <w:vAlign w:val="bottom"/>
          </w:tcPr>
          <w:p>
            <w:pPr>
              <w:spacing w:after="0"/>
              <w:rPr>
                <w:sz w:val="1"/>
                <w:szCs w:val="1"/>
                <w:color w:val="auto"/>
              </w:rPr>
            </w:pPr>
          </w:p>
        </w:tc>
      </w:tr>
      <w:tr>
        <w:trPr>
          <w:trHeight w:val="296"/>
        </w:trPr>
        <w:tc>
          <w:tcPr>
            <w:tcW w:w="7060" w:type="dxa"/>
            <w:vAlign w:val="bottom"/>
          </w:tcPr>
          <w:p>
            <w:pPr>
              <w:spacing w:after="0"/>
              <w:rPr>
                <w:sz w:val="24"/>
                <w:szCs w:val="24"/>
                <w:color w:val="auto"/>
              </w:rPr>
            </w:pPr>
          </w:p>
        </w:tc>
        <w:tc>
          <w:tcPr>
            <w:tcW w:w="18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180"/>
          </w:cols>
          <w:pgMar w:left="240" w:top="285" w:right="47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420" w:right="1879" w:hanging="420"/>
        <w:spacing w:after="0" w:line="306" w:lineRule="auto"/>
        <w:rPr>
          <w:sz w:val="20"/>
          <w:szCs w:val="20"/>
          <w:color w:val="auto"/>
        </w:rPr>
      </w:pPr>
      <w:r>
        <w:rPr>
          <w:rFonts w:ascii="Courier New" w:cs="Courier New" w:eastAsia="Courier New" w:hAnsi="Courier New"/>
          <w:sz w:val="16"/>
          <w:szCs w:val="16"/>
          <w:color w:val="auto"/>
        </w:rPr>
        <w:t>1 - The accompanying financial information is unaudited but includes all adjustments (consisting of normal recurring adjustments) which the Company considers necessary for a fair statement of the results for the period. The operating results for the three months ended March 31, 1995 are not necessarily indicative of the operating results for the entire year.</w:t>
      </w:r>
    </w:p>
    <w:p>
      <w:pPr>
        <w:spacing w:after="0" w:line="60" w:lineRule="exact"/>
        <w:rPr>
          <w:sz w:val="20"/>
          <w:szCs w:val="20"/>
          <w:color w:val="auto"/>
        </w:rPr>
      </w:pPr>
    </w:p>
    <w:p>
      <w:pPr>
        <w:jc w:val="both"/>
        <w:ind w:left="420" w:right="2099" w:hanging="420"/>
        <w:spacing w:after="0" w:line="318" w:lineRule="auto"/>
        <w:rPr>
          <w:sz w:val="20"/>
          <w:szCs w:val="20"/>
          <w:color w:val="auto"/>
        </w:rPr>
      </w:pPr>
      <w:r>
        <w:rPr>
          <w:rFonts w:ascii="Courier New" w:cs="Courier New" w:eastAsia="Courier New" w:hAnsi="Courier New"/>
          <w:sz w:val="16"/>
          <w:szCs w:val="16"/>
          <w:color w:val="auto"/>
        </w:rPr>
        <w:t>2 - Per share information is based on the weighted average common shares and common share equivalents outstanding during each period. The shares that were used in the calculation of net income per share for the three months ended March 31, 1995 were 4,698,000 and 4,221,000 shares, respectively.</w:t>
      </w:r>
    </w:p>
    <w:p>
      <w:pPr>
        <w:spacing w:after="0" w:line="52" w:lineRule="exact"/>
        <w:rPr>
          <w:sz w:val="20"/>
          <w:szCs w:val="20"/>
          <w:color w:val="auto"/>
        </w:rPr>
      </w:pPr>
    </w:p>
    <w:p>
      <w:pPr>
        <w:ind w:left="420" w:right="1779" w:hanging="420"/>
        <w:spacing w:after="0" w:line="246" w:lineRule="auto"/>
        <w:rPr>
          <w:sz w:val="20"/>
          <w:szCs w:val="20"/>
          <w:color w:val="auto"/>
        </w:rPr>
      </w:pPr>
      <w:r>
        <w:rPr>
          <w:rFonts w:ascii="Courier New" w:cs="Courier New" w:eastAsia="Courier New" w:hAnsi="Courier New"/>
          <w:sz w:val="18"/>
          <w:szCs w:val="18"/>
          <w:color w:val="auto"/>
        </w:rPr>
        <w:t>3 - On June 22, 1994 the Company acquired Daymarc Corporation, a privately-held manufacturer of gravity feed semiconductor test handling equipment that complements the pick and place test handling equipment manufactured by Delta Design. The Company issued 280,000 shares of Cohu common stock, an option to purchase 70,000 shares of Cohu common stock and paid $4,000,000 in cash to the securityholders of Daymarc. In addition, performance-based consideration may be payable in Cohu common stock and cash which could total approximately $8,000,000 over the next four years. The acquisition has been accounted for as a purchase and goodwill will be amortized on a straight-line basis over twenty years. The Company's consolidated financial statements include the results of Daymarc from June 22, 1994 forward. The $4,000,000 payment made to securityholders of Daymarc was funded by borrowing $4,000,000 of long term debt payable over four years.</w:t>
      </w:r>
    </w:p>
    <w:p>
      <w:pPr>
        <w:spacing w:after="0" w:line="113"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Assuming that the acquisition of Daymarc had occurred on the first day of the Company's year ended December 31, 1994, pro forma condensed consolidated results of operations would be as follows:</w:t>
      </w:r>
    </w:p>
    <w:p>
      <w:pPr>
        <w:spacing w:after="0" w:line="65"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80" w:type="dxa"/>
            <w:vAlign w:val="bottom"/>
            <w:gridSpan w:val="2"/>
          </w:tcPr>
          <w:p>
            <w:pPr>
              <w:jc w:val="center"/>
              <w:ind w:left="1492"/>
              <w:spacing w:after="0"/>
              <w:rPr>
                <w:sz w:val="20"/>
                <w:szCs w:val="20"/>
                <w:color w:val="auto"/>
              </w:rPr>
            </w:pPr>
            <w:r>
              <w:rPr>
                <w:rFonts w:ascii="Courier New" w:cs="Courier New" w:eastAsia="Courier New" w:hAnsi="Courier New"/>
                <w:sz w:val="18"/>
                <w:szCs w:val="18"/>
                <w:color w:val="auto"/>
                <w:w w:val="97"/>
              </w:rPr>
              <w:t>Pro Forma Results of Operations</w:t>
            </w:r>
          </w:p>
        </w:tc>
      </w:tr>
      <w:tr>
        <w:trPr>
          <w:trHeight w:val="203"/>
        </w:trPr>
        <w:tc>
          <w:tcPr>
            <w:tcW w:w="5480" w:type="dxa"/>
            <w:vAlign w:val="bottom"/>
            <w:gridSpan w:val="2"/>
          </w:tcPr>
          <w:p>
            <w:pPr>
              <w:jc w:val="center"/>
              <w:ind w:left="1492"/>
              <w:spacing w:after="0" w:line="203" w:lineRule="exact"/>
              <w:rPr>
                <w:sz w:val="20"/>
                <w:szCs w:val="20"/>
                <w:color w:val="auto"/>
              </w:rPr>
            </w:pPr>
            <w:r>
              <w:rPr>
                <w:rFonts w:ascii="Courier New" w:cs="Courier New" w:eastAsia="Courier New" w:hAnsi="Courier New"/>
                <w:sz w:val="18"/>
                <w:szCs w:val="18"/>
                <w:color w:val="auto"/>
                <w:w w:val="97"/>
              </w:rPr>
              <w:t>(in thousands, except per share data)</w:t>
            </w:r>
          </w:p>
        </w:tc>
      </w:tr>
      <w:tr>
        <w:trPr>
          <w:trHeight w:val="296"/>
        </w:trPr>
        <w:tc>
          <w:tcPr>
            <w:tcW w:w="2320" w:type="dxa"/>
            <w:vAlign w:val="bottom"/>
          </w:tcPr>
          <w:p>
            <w:pPr>
              <w:spacing w:after="0"/>
              <w:rPr>
                <w:sz w:val="24"/>
                <w:szCs w:val="24"/>
                <w:color w:val="auto"/>
              </w:rPr>
            </w:pPr>
          </w:p>
        </w:tc>
        <w:tc>
          <w:tcPr>
            <w:tcW w:w="316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(unaudited)</w:t>
            </w:r>
          </w:p>
        </w:tc>
      </w:tr>
      <w:tr>
        <w:trPr>
          <w:trHeight w:val="717"/>
        </w:trPr>
        <w:tc>
          <w:tcPr>
            <w:tcW w:w="2320" w:type="dxa"/>
            <w:vAlign w:val="bottom"/>
          </w:tcPr>
          <w:p>
            <w:pPr>
              <w:spacing w:after="0"/>
              <w:rPr>
                <w:sz w:val="24"/>
                <w:szCs w:val="24"/>
                <w:color w:val="auto"/>
              </w:rPr>
            </w:pPr>
          </w:p>
        </w:tc>
        <w:tc>
          <w:tcPr>
            <w:tcW w:w="316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2320" w:type="dxa"/>
            <w:vAlign w:val="bottom"/>
          </w:tcPr>
          <w:p>
            <w:pPr>
              <w:spacing w:after="0"/>
              <w:rPr>
                <w:sz w:val="17"/>
                <w:szCs w:val="17"/>
                <w:color w:val="auto"/>
              </w:rPr>
            </w:pPr>
          </w:p>
        </w:tc>
        <w:tc>
          <w:tcPr>
            <w:tcW w:w="316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March 31, 1994</w:t>
            </w:r>
          </w:p>
        </w:tc>
      </w:tr>
      <w:tr>
        <w:trPr>
          <w:trHeight w:val="296"/>
        </w:trPr>
        <w:tc>
          <w:tcPr>
            <w:tcW w:w="2320" w:type="dxa"/>
            <w:vAlign w:val="bottom"/>
          </w:tcPr>
          <w:p>
            <w:pPr>
              <w:spacing w:after="0"/>
              <w:rPr>
                <w:sz w:val="24"/>
                <w:szCs w:val="24"/>
                <w:color w:val="auto"/>
              </w:rPr>
            </w:pPr>
          </w:p>
        </w:tc>
        <w:tc>
          <w:tcPr>
            <w:tcW w:w="316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6"/>
              </w:rPr>
              <w:t>------------------</w:t>
            </w: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1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$25,132</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2,653</w:t>
            </w: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31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.59</w:t>
            </w:r>
          </w:p>
        </w:tc>
      </w:tr>
    </w:tbl>
    <w:p>
      <w:pPr>
        <w:spacing w:after="0" w:line="31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These results give effect to pro forma adjustments that include the amortization of goodwill, issuance of 280,000 shares of Cohu common stock and interest expense on long term debt.</w:t>
      </w:r>
    </w:p>
    <w:p>
      <w:pPr>
        <w:spacing w:after="0" w:line="66"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This pro forma information is not necessarily indicative of the actual results that would have been achieved had Daymarc been acquired the first day of the Company's year ended December 31, 1994.</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Quarter 1995 compared to First Quarter 1994</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Net sales increased 84% to $32,182,000 in 1995 compared to sales of $17,518,000 in 1994. Sales of semiconductor test handling equipment increased 129% in 1995 with 67% of the increase due to increased sales of pick and place handling equipment by Delta Design and 62% of the increase attributable to the inclusion of Daymarc's operating results in 1995. Sales of television cameras and equipment increased 25% while the combined sales of metal detection and microwave equipment increased slightly in 1995. Gross Margins as a percentage of sales remained constant at approximately 40% for 1995 and 1994. Research and development expense as a percentage of sales decreased to 7% in 1995 from an abnormally high 9% in 1994. Selling, general and administrative expense decreased to 15% in 1995 from 17% in 1994 due to cost containment measures and lower commissions and selling expenses on semiconductor test handling equipment. The provision for income taxes expressed as a percentage of pre-tax income was 39% in both 1995 and the year ended December 31, 1994. Net income increased 113% to $3,480,000 in 1995 from $1,631,000 in 1994.</w:t>
      </w:r>
    </w:p>
    <w:p>
      <w:pPr>
        <w:spacing w:after="0" w:line="106"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The Company's results are substantially dependent on the results of the semiconductor test handling equipment business conducted by its wholly-owned subsidiaries, Delta Design and Daymarc Corporation. This capital equipment business is in turn highly dependent on the overall strength of the semiconductor industry. Worldwide demand for semiconductors has historically been subject to substantial cyclical swings of varying duration and magnitude, and is currently in a period of relative strength. The Company's favorable results in recent periods are in part reflective of this current strength in the semiconductor industry. The Company cannot predict how long the current period of relative strength will continue. The Company's backlog can be expected to decline concurrently with or possibly in advance of the next period of relative weakness in worldwide demand for semiconductors. The Company attempts to keep its production capacity, labor force and other aspects of its cost structure in line with expected demand.</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 The Company's net cash flows generated from operating activities was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$3,111,000. Accounts receivable increased $2,551,000 due to higher first quarter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Inventory increased $2,303,000 in anticipation of increased future sales.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 and commission payables increased $4,085,000 mainly due to purchases</w:t>
      </w:r>
    </w:p>
    <w:p>
      <w:pPr>
        <w:spacing w:after="0" w:line="238" w:lineRule="auto"/>
        <w:rPr>
          <w:sz w:val="20"/>
          <w:szCs w:val="20"/>
          <w:color w:val="auto"/>
        </w:rPr>
      </w:pPr>
      <w:r>
        <w:rPr>
          <w:rFonts w:ascii="Courier New" w:cs="Courier New" w:eastAsia="Courier New" w:hAnsi="Courier New"/>
          <w:sz w:val="18"/>
          <w:szCs w:val="18"/>
          <w:color w:val="auto"/>
        </w:rPr>
        <w:t>related to the increase in inventory and increased sales. Net cash used for</w:t>
      </w:r>
    </w:p>
    <w:p>
      <w:pPr>
        <w:spacing w:after="0"/>
        <w:rPr>
          <w:sz w:val="20"/>
          <w:szCs w:val="20"/>
          <w:color w:val="auto"/>
        </w:rPr>
      </w:pPr>
      <w:r>
        <w:rPr>
          <w:rFonts w:ascii="Courier New" w:cs="Courier New" w:eastAsia="Courier New" w:hAnsi="Courier New"/>
          <w:sz w:val="16"/>
          <w:szCs w:val="16"/>
          <w:color w:val="auto"/>
        </w:rPr>
        <w:t>investing activities was $174,000 which was used for the purchase of equipment.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cash used for financing activities was $1,393,000. Cash used by financing</w:t>
      </w:r>
    </w:p>
    <w:p>
      <w:pPr>
        <w:spacing w:after="0" w:line="238" w:lineRule="auto"/>
        <w:rPr>
          <w:sz w:val="20"/>
          <w:szCs w:val="20"/>
          <w:color w:val="auto"/>
        </w:rPr>
      </w:pPr>
      <w:r>
        <w:rPr>
          <w:rFonts w:ascii="Courier New" w:cs="Courier New" w:eastAsia="Courier New" w:hAnsi="Courier New"/>
          <w:sz w:val="18"/>
          <w:szCs w:val="18"/>
          <w:color w:val="auto"/>
        </w:rPr>
        <w:t>activities included a $1,400,000 final payment on long-term borrowing and</w:t>
      </w:r>
    </w:p>
    <w:p>
      <w:pPr>
        <w:spacing w:after="0"/>
        <w:rPr>
          <w:sz w:val="20"/>
          <w:szCs w:val="20"/>
          <w:color w:val="auto"/>
        </w:rPr>
      </w:pPr>
      <w:r>
        <w:rPr>
          <w:rFonts w:ascii="Courier New" w:cs="Courier New" w:eastAsia="Courier New" w:hAnsi="Courier New"/>
          <w:sz w:val="16"/>
          <w:szCs w:val="16"/>
          <w:color w:val="auto"/>
        </w:rPr>
        <w:t>$312,000 cash used for dividends. The Company has $3,000,000 available under its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short term line of credit and working capital of $40,401,000. It is</w:t>
      </w:r>
    </w:p>
    <w:p>
      <w:pPr>
        <w:spacing w:after="0" w:line="238" w:lineRule="auto"/>
        <w:rPr>
          <w:sz w:val="20"/>
          <w:szCs w:val="20"/>
          <w:color w:val="auto"/>
        </w:rPr>
      </w:pPr>
      <w:r>
        <w:rPr>
          <w:rFonts w:ascii="Courier New" w:cs="Courier New" w:eastAsia="Courier New" w:hAnsi="Courier New"/>
          <w:sz w:val="18"/>
          <w:szCs w:val="18"/>
          <w:color w:val="auto"/>
        </w:rPr>
        <w:t>anticipated that present working capital, profitable operations and available</w:t>
      </w:r>
    </w:p>
    <w:p>
      <w:pPr>
        <w:spacing w:after="0"/>
        <w:rPr>
          <w:sz w:val="20"/>
          <w:szCs w:val="20"/>
          <w:color w:val="auto"/>
        </w:rPr>
      </w:pPr>
      <w:r>
        <w:rPr>
          <w:rFonts w:ascii="Courier New" w:cs="Courier New" w:eastAsia="Courier New" w:hAnsi="Courier New"/>
          <w:sz w:val="16"/>
          <w:szCs w:val="16"/>
          <w:color w:val="auto"/>
        </w:rPr>
        <w:t>borrowings under the credit line will be sufficient to meet the Company's normal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requirements and the anticipated capital expenditures for 1995 of</w:t>
      </w:r>
    </w:p>
    <w:p>
      <w:pPr>
        <w:spacing w:after="0"/>
        <w:rPr>
          <w:sz w:val="20"/>
          <w:szCs w:val="20"/>
          <w:color w:val="auto"/>
        </w:rPr>
      </w:pPr>
      <w:r>
        <w:rPr>
          <w:rFonts w:ascii="Courier New" w:cs="Courier New" w:eastAsia="Courier New" w:hAnsi="Courier New"/>
          <w:sz w:val="18"/>
          <w:szCs w:val="18"/>
          <w:color w:val="auto"/>
        </w:rPr>
        <w:t>approximately $2,000,000.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 w:name="page8"/>
    <w:bookmarkEnd w:id="7"/>
    <w:p>
      <w:pPr>
        <w:jc w:val="center"/>
        <w:ind w:right="94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not applicable</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The information set forth herein reflects all adjustments which are, in the opinion of management, necessary for a fair statement of the results for the interim period shown.</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1935, the registrant has duly caused this report to be signed on its behalf by the undersigned thereunto duly authorized.</w:t>
      </w:r>
    </w:p>
    <w:p>
      <w:pPr>
        <w:spacing w:after="0" w:line="66" w:lineRule="exact"/>
        <w:rPr>
          <w:sz w:val="20"/>
          <w:szCs w:val="20"/>
          <w:color w:val="auto"/>
        </w:rPr>
      </w:pPr>
    </w:p>
    <w:tbl>
      <w:tblPr>
        <w:tblLayout w:type="fixed"/>
        <w:tblInd w:w="1060" w:type="dxa"/>
        <w:tblCellMar>
          <w:top w:w="0" w:type="dxa"/>
          <w:left w:w="0" w:type="dxa"/>
          <w:bottom w:w="0" w:type="dxa"/>
          <w:right w:w="0" w:type="dxa"/>
        </w:tblCellMar>
      </w:tblPr>
      <w:tr>
        <w:trPr>
          <w:trHeight w:val="296"/>
        </w:trPr>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Courier New" w:cs="Courier New" w:eastAsia="Courier New" w:hAnsi="Courier New"/>
                <w:sz w:val="18"/>
                <w:szCs w:val="18"/>
                <w:color w:val="auto"/>
              </w:rPr>
              <w:t>COHU, INC.</w:t>
            </w:r>
          </w:p>
        </w:tc>
      </w:tr>
      <w:tr>
        <w:trPr>
          <w:trHeight w:val="311"/>
        </w:trPr>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Date:</w:t>
            </w:r>
          </w:p>
        </w:tc>
        <w:tc>
          <w:tcPr>
            <w:tcW w:w="2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5/11/95</w:t>
            </w:r>
          </w:p>
        </w:tc>
        <w:tc>
          <w:tcPr>
            <w:tcW w:w="4640" w:type="dxa"/>
            <w:vAlign w:val="bottom"/>
          </w:tcPr>
          <w:p>
            <w:pPr>
              <w:ind w:left="2200"/>
              <w:spacing w:after="0"/>
              <w:rPr>
                <w:sz w:val="20"/>
                <w:szCs w:val="20"/>
                <w:color w:val="auto"/>
              </w:rPr>
            </w:pPr>
            <w:r>
              <w:rPr>
                <w:rFonts w:ascii="Courier New" w:cs="Courier New" w:eastAsia="Courier New" w:hAnsi="Courier New"/>
                <w:sz w:val="18"/>
                <w:szCs w:val="18"/>
                <w:color w:val="auto"/>
              </w:rPr>
              <w:t>/s/ J.W. BARNES</w:t>
            </w:r>
          </w:p>
        </w:tc>
      </w:tr>
      <w:tr>
        <w:trPr>
          <w:trHeight w:val="203"/>
        </w:trPr>
        <w:tc>
          <w:tcPr>
            <w:tcW w:w="52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46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96"/>
        </w:trPr>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40" w:type="dxa"/>
            <w:vAlign w:val="bottom"/>
          </w:tcPr>
          <w:p>
            <w:pPr>
              <w:ind w:left="1580"/>
              <w:spacing w:after="0"/>
              <w:rPr>
                <w:sz w:val="20"/>
                <w:szCs w:val="20"/>
                <w:color w:val="auto"/>
              </w:rPr>
            </w:pPr>
            <w:r>
              <w:rPr>
                <w:rFonts w:ascii="Courier New" w:cs="Courier New" w:eastAsia="Courier New" w:hAnsi="Courier New"/>
                <w:sz w:val="18"/>
                <w:szCs w:val="18"/>
                <w:color w:val="auto"/>
                <w:w w:val="97"/>
              </w:rPr>
              <w:t>J. W. Barnes, President &amp; CEO</w:t>
            </w:r>
          </w:p>
        </w:tc>
      </w:tr>
      <w:tr>
        <w:trPr>
          <w:trHeight w:val="311"/>
        </w:trPr>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Date:</w:t>
            </w:r>
          </w:p>
        </w:tc>
        <w:tc>
          <w:tcPr>
            <w:tcW w:w="21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5/11/95</w:t>
            </w:r>
          </w:p>
        </w:tc>
        <w:tc>
          <w:tcPr>
            <w:tcW w:w="4640" w:type="dxa"/>
            <w:vAlign w:val="bottom"/>
          </w:tcPr>
          <w:p>
            <w:pPr>
              <w:ind w:left="1900"/>
              <w:spacing w:after="0"/>
              <w:rPr>
                <w:sz w:val="20"/>
                <w:szCs w:val="20"/>
                <w:color w:val="auto"/>
              </w:rPr>
            </w:pPr>
            <w:r>
              <w:rPr>
                <w:rFonts w:ascii="Courier New" w:cs="Courier New" w:eastAsia="Courier New" w:hAnsi="Courier New"/>
                <w:sz w:val="18"/>
                <w:szCs w:val="18"/>
                <w:color w:val="auto"/>
              </w:rPr>
              <w:t>/s/ CHARLES A. SCHWAN</w:t>
            </w:r>
          </w:p>
        </w:tc>
      </w:tr>
      <w:tr>
        <w:trPr>
          <w:trHeight w:val="203"/>
        </w:trPr>
        <w:tc>
          <w:tcPr>
            <w:tcW w:w="520" w:type="dxa"/>
            <w:vAlign w:val="bottom"/>
          </w:tcPr>
          <w:p>
            <w:pPr>
              <w:spacing w:after="0"/>
              <w:rPr>
                <w:sz w:val="17"/>
                <w:szCs w:val="17"/>
                <w:color w:val="auto"/>
              </w:rPr>
            </w:pP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46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96"/>
        </w:trPr>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40" w:type="dxa"/>
            <w:vAlign w:val="bottom"/>
          </w:tcPr>
          <w:p>
            <w:pPr>
              <w:ind w:left="1580"/>
              <w:spacing w:after="0"/>
              <w:rPr>
                <w:sz w:val="20"/>
                <w:szCs w:val="20"/>
                <w:color w:val="auto"/>
              </w:rPr>
            </w:pPr>
            <w:r>
              <w:rPr>
                <w:rFonts w:ascii="Courier New" w:cs="Courier New" w:eastAsia="Courier New" w:hAnsi="Courier New"/>
                <w:sz w:val="18"/>
                <w:szCs w:val="18"/>
                <w:color w:val="auto"/>
                <w:w w:val="97"/>
              </w:rPr>
              <w:t>Charles A. Schwan, VP-Finance</w:t>
            </w:r>
          </w:p>
        </w:tc>
      </w:tr>
      <w:tr>
        <w:trPr>
          <w:trHeight w:val="405"/>
        </w:trPr>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640" w:type="dxa"/>
            <w:vAlign w:val="bottom"/>
          </w:tcPr>
          <w:p>
            <w:pPr>
              <w:ind w:left="520"/>
              <w:spacing w:after="0"/>
              <w:rPr>
                <w:sz w:val="20"/>
                <w:szCs w:val="20"/>
                <w:color w:val="auto"/>
              </w:rPr>
            </w:pPr>
            <w:r>
              <w:rPr>
                <w:rFonts w:ascii="Courier New" w:cs="Courier New" w:eastAsia="Courier New" w:hAnsi="Courier New"/>
                <w:sz w:val="18"/>
                <w:szCs w:val="18"/>
                <w:color w:val="auto"/>
              </w:rPr>
              <w:t>8</w:t>
            </w:r>
          </w:p>
        </w:tc>
      </w:tr>
    </w:tbl>
    <w:p>
      <w:pPr>
        <w:sectPr>
          <w:pgSz w:w="11900" w:h="16838" w:orient="portrait"/>
          <w:cols w:equalWidth="0" w:num="1">
            <w:col w:w="10219"/>
          </w:cols>
          <w:pgMar w:left="240" w:top="285" w:right="1440" w:bottom="1440" w:gutter="0" w:footer="0" w:header="0"/>
        </w:sectPr>
      </w:pPr>
    </w:p>
    <w:bookmarkStart w:id="8" w:name="page9"/>
    <w:bookmarkEnd w:id="8"/>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right="1959"/>
        <w:spacing w:after="0" w:line="274" w:lineRule="auto"/>
        <w:rPr>
          <w:sz w:val="20"/>
          <w:szCs w:val="20"/>
          <w:color w:val="auto"/>
        </w:rPr>
      </w:pPr>
      <w:r>
        <w:rPr>
          <w:rFonts w:ascii="Courier New" w:cs="Courier New" w:eastAsia="Courier New" w:hAnsi="Courier New"/>
          <w:sz w:val="18"/>
          <w:szCs w:val="18"/>
          <w:color w:val="auto"/>
        </w:rPr>
        <w:t>This schedule contains summary financial information extracted from the company's Consolidated Balance Sheet at March 31, 1995 and the Consolidated Statement of Income for the three months ended March 31, 1995 and is qualified in its entirety by reference to such financial statements.</w:t>
      </w:r>
    </w:p>
    <w:p>
      <w:pPr>
        <w:spacing w:after="0" w:line="8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U.S. DOLLARS</w:t>
      </w:r>
    </w:p>
    <w:p>
      <w:pPr>
        <w:spacing w:after="0" w:line="37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DEC-31-1995</w:t>
      </w:r>
    </w:p>
    <w:p>
      <w:pPr>
        <w:ind w:left="3020"/>
        <w:spacing w:after="0" w:line="238" w:lineRule="auto"/>
        <w:rPr>
          <w:sz w:val="20"/>
          <w:szCs w:val="20"/>
          <w:color w:val="auto"/>
        </w:rPr>
      </w:pPr>
      <w:r>
        <w:rPr>
          <w:rFonts w:ascii="Courier New" w:cs="Courier New" w:eastAsia="Courier New" w:hAnsi="Courier New"/>
          <w:sz w:val="18"/>
          <w:szCs w:val="18"/>
          <w:color w:val="auto"/>
        </w:rPr>
        <w:t>JAN-01-1995</w:t>
      </w:r>
    </w:p>
    <w:p>
      <w:pPr>
        <w:ind w:left="3240"/>
        <w:spacing w:after="0"/>
        <w:rPr>
          <w:sz w:val="20"/>
          <w:szCs w:val="20"/>
          <w:color w:val="auto"/>
        </w:rPr>
      </w:pPr>
      <w:r>
        <w:rPr>
          <w:rFonts w:ascii="Courier New" w:cs="Courier New" w:eastAsia="Courier New" w:hAnsi="Courier New"/>
          <w:sz w:val="18"/>
          <w:szCs w:val="18"/>
          <w:color w:val="auto"/>
        </w:rPr>
        <w:t>MAR-31-1995</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080"/>
        <w:spacing w:after="0"/>
        <w:rPr>
          <w:sz w:val="20"/>
          <w:szCs w:val="20"/>
          <w:color w:val="auto"/>
        </w:rPr>
      </w:pPr>
      <w:r>
        <w:rPr>
          <w:rFonts w:ascii="Courier New" w:cs="Courier New" w:eastAsia="Courier New" w:hAnsi="Courier New"/>
          <w:sz w:val="18"/>
          <w:szCs w:val="18"/>
          <w:color w:val="auto"/>
        </w:rPr>
        <w:t>4,640,000</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23,038,000</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30,744,000</w:t>
      </w:r>
    </w:p>
    <w:p>
      <w:pPr>
        <w:ind w:left="2920"/>
        <w:spacing w:after="0" w:line="238" w:lineRule="auto"/>
        <w:rPr>
          <w:sz w:val="20"/>
          <w:szCs w:val="20"/>
          <w:color w:val="auto"/>
        </w:rPr>
      </w:pPr>
      <w:r>
        <w:rPr>
          <w:rFonts w:ascii="Courier New" w:cs="Courier New" w:eastAsia="Courier New" w:hAnsi="Courier New"/>
          <w:sz w:val="18"/>
          <w:szCs w:val="18"/>
          <w:color w:val="auto"/>
        </w:rPr>
        <w:t>62,351,000</w:t>
      </w:r>
    </w:p>
    <w:p>
      <w:pPr>
        <w:ind w:left="3980"/>
        <w:spacing w:after="0"/>
        <w:rPr>
          <w:sz w:val="20"/>
          <w:szCs w:val="20"/>
          <w:color w:val="auto"/>
        </w:rPr>
      </w:pPr>
      <w:r>
        <w:rPr>
          <w:rFonts w:ascii="Courier New" w:cs="Courier New" w:eastAsia="Courier New" w:hAnsi="Courier New"/>
          <w:sz w:val="18"/>
          <w:szCs w:val="18"/>
          <w:color w:val="auto"/>
        </w:rPr>
        <w:t>18,596,000</w:t>
      </w:r>
    </w:p>
    <w:p>
      <w:pPr>
        <w:ind w:left="3240"/>
        <w:spacing w:after="0" w:line="238" w:lineRule="auto"/>
        <w:rPr>
          <w:sz w:val="20"/>
          <w:szCs w:val="20"/>
          <w:color w:val="auto"/>
        </w:rPr>
      </w:pPr>
      <w:r>
        <w:rPr>
          <w:rFonts w:ascii="Courier New" w:cs="Courier New" w:eastAsia="Courier New" w:hAnsi="Courier New"/>
          <w:sz w:val="18"/>
          <w:szCs w:val="18"/>
          <w:color w:val="auto"/>
        </w:rPr>
        <w:t>9,612,000</w:t>
      </w:r>
    </w:p>
    <w:p>
      <w:pPr>
        <w:ind w:left="3120"/>
        <w:spacing w:after="0"/>
        <w:rPr>
          <w:sz w:val="20"/>
          <w:szCs w:val="20"/>
          <w:color w:val="auto"/>
        </w:rPr>
      </w:pPr>
      <w:r>
        <w:rPr>
          <w:rFonts w:ascii="Courier New" w:cs="Courier New" w:eastAsia="Courier New" w:hAnsi="Courier New"/>
          <w:sz w:val="18"/>
          <w:szCs w:val="18"/>
          <w:color w:val="auto"/>
        </w:rPr>
        <w:t>74,587,000</w:t>
      </w:r>
    </w:p>
    <w:p>
      <w:pPr>
        <w:ind w:left="2400"/>
        <w:spacing w:after="0" w:line="238" w:lineRule="auto"/>
        <w:rPr>
          <w:sz w:val="20"/>
          <w:szCs w:val="20"/>
          <w:color w:val="auto"/>
        </w:rPr>
      </w:pPr>
      <w:r>
        <w:rPr>
          <w:rFonts w:ascii="Courier New" w:cs="Courier New" w:eastAsia="Courier New" w:hAnsi="Courier New"/>
          <w:sz w:val="18"/>
          <w:szCs w:val="18"/>
          <w:color w:val="auto"/>
        </w:rPr>
        <w:t>21,950,000</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4,471,000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46,387,000</w:t>
      </w:r>
    </w:p>
    <w:p>
      <w:pPr>
        <w:ind w:left="1660"/>
        <w:spacing w:after="0" w:line="238" w:lineRule="auto"/>
        <w:rPr>
          <w:sz w:val="20"/>
          <w:szCs w:val="20"/>
          <w:color w:val="auto"/>
        </w:rPr>
      </w:pPr>
      <w:r>
        <w:rPr>
          <w:rFonts w:ascii="Courier New" w:cs="Courier New" w:eastAsia="Courier New" w:hAnsi="Courier New"/>
          <w:sz w:val="18"/>
          <w:szCs w:val="18"/>
          <w:color w:val="auto"/>
        </w:rPr>
        <w:t>74,587,000</w:t>
      </w:r>
    </w:p>
    <w:p>
      <w:pPr>
        <w:ind w:left="3860"/>
        <w:spacing w:after="0"/>
        <w:rPr>
          <w:sz w:val="20"/>
          <w:szCs w:val="20"/>
          <w:color w:val="auto"/>
        </w:rPr>
      </w:pPr>
      <w:r>
        <w:rPr>
          <w:rFonts w:ascii="Courier New" w:cs="Courier New" w:eastAsia="Courier New" w:hAnsi="Courier New"/>
          <w:sz w:val="18"/>
          <w:szCs w:val="18"/>
          <w:color w:val="auto"/>
        </w:rPr>
        <w:t>32,182,000</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4080"/>
        <w:spacing w:after="0"/>
        <w:rPr>
          <w:sz w:val="20"/>
          <w:szCs w:val="20"/>
          <w:color w:val="auto"/>
        </w:rPr>
      </w:pPr>
      <w:r>
        <w:rPr>
          <w:rFonts w:ascii="Courier New" w:cs="Courier New" w:eastAsia="Courier New" w:hAnsi="Courier New"/>
          <w:sz w:val="18"/>
          <w:szCs w:val="18"/>
          <w:color w:val="auto"/>
        </w:rPr>
        <w:t>19,359,000</w:t>
      </w:r>
    </w:p>
    <w:p>
      <w:pPr>
        <w:ind w:left="3240"/>
        <w:spacing w:after="0" w:line="238" w:lineRule="auto"/>
        <w:rPr>
          <w:sz w:val="20"/>
          <w:szCs w:val="20"/>
          <w:color w:val="auto"/>
        </w:rPr>
      </w:pPr>
      <w:r>
        <w:rPr>
          <w:rFonts w:ascii="Courier New" w:cs="Courier New" w:eastAsia="Courier New" w:hAnsi="Courier New"/>
          <w:sz w:val="18"/>
          <w:szCs w:val="18"/>
          <w:color w:val="auto"/>
        </w:rPr>
        <w:t>26,502,000</w:t>
      </w:r>
    </w:p>
    <w:p>
      <w:pPr>
        <w:ind w:left="3860"/>
        <w:spacing w:after="0"/>
        <w:rPr>
          <w:sz w:val="20"/>
          <w:szCs w:val="20"/>
          <w:color w:val="auto"/>
        </w:rPr>
      </w:pPr>
      <w:r>
        <w:rPr>
          <w:rFonts w:ascii="Courier New" w:cs="Courier New" w:eastAsia="Courier New" w:hAnsi="Courier New"/>
          <w:sz w:val="18"/>
          <w:szCs w:val="18"/>
          <w:color w:val="auto"/>
        </w:rPr>
        <w:t>0</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10,000</w:t>
      </w:r>
    </w:p>
    <w:p>
      <w:pPr>
        <w:ind w:left="3120"/>
        <w:spacing w:after="0" w:line="238" w:lineRule="auto"/>
        <w:rPr>
          <w:sz w:val="20"/>
          <w:szCs w:val="20"/>
          <w:color w:val="auto"/>
        </w:rPr>
      </w:pPr>
      <w:r>
        <w:rPr>
          <w:rFonts w:ascii="Courier New" w:cs="Courier New" w:eastAsia="Courier New" w:hAnsi="Courier New"/>
          <w:sz w:val="18"/>
          <w:szCs w:val="18"/>
          <w:color w:val="auto"/>
        </w:rPr>
        <w:t>5,680,000</w:t>
      </w:r>
    </w:p>
    <w:p>
      <w:pPr>
        <w:ind w:left="3440"/>
        <w:spacing w:after="0"/>
        <w:rPr>
          <w:sz w:val="20"/>
          <w:szCs w:val="20"/>
          <w:color w:val="auto"/>
        </w:rPr>
      </w:pPr>
      <w:r>
        <w:rPr>
          <w:rFonts w:ascii="Courier New" w:cs="Courier New" w:eastAsia="Courier New" w:hAnsi="Courier New"/>
          <w:sz w:val="18"/>
          <w:szCs w:val="18"/>
          <w:color w:val="auto"/>
        </w:rPr>
        <w:t>2,200,000</w:t>
      </w:r>
    </w:p>
    <w:p>
      <w:pPr>
        <w:ind w:left="2700"/>
        <w:spacing w:after="0" w:line="238" w:lineRule="auto"/>
        <w:rPr>
          <w:sz w:val="20"/>
          <w:szCs w:val="20"/>
          <w:color w:val="auto"/>
        </w:rPr>
      </w:pPr>
      <w:r>
        <w:rPr>
          <w:rFonts w:ascii="Courier New" w:cs="Courier New" w:eastAsia="Courier New" w:hAnsi="Courier New"/>
          <w:sz w:val="18"/>
          <w:szCs w:val="18"/>
          <w:color w:val="auto"/>
        </w:rPr>
        <w:t>3,480,000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3,480,000</w:t>
      </w:r>
    </w:p>
    <w:p>
      <w:pPr>
        <w:ind w:left="3980"/>
        <w:spacing w:after="0"/>
        <w:rPr>
          <w:sz w:val="20"/>
          <w:szCs w:val="20"/>
          <w:color w:val="auto"/>
        </w:rPr>
      </w:pPr>
      <w:r>
        <w:rPr>
          <w:rFonts w:ascii="Courier New" w:cs="Courier New" w:eastAsia="Courier New" w:hAnsi="Courier New"/>
          <w:sz w:val="18"/>
          <w:szCs w:val="18"/>
          <w:color w:val="auto"/>
        </w:rPr>
        <w:t>.74</w:t>
      </w:r>
    </w:p>
    <w:p>
      <w:pPr>
        <w:ind w:left="4180"/>
        <w:spacing w:after="0"/>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2019-12-12T22:54:57Z</dcterms:created>
  <dcterms:modified xsi:type="dcterms:W3CDTF">2019-12-12T22:54:57Z</dcterms:modified>
</cp:coreProperties>
</file>