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29,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ind w:left="640"/>
              <w:spacing w:after="0"/>
              <w:rPr>
                <w:sz w:val="20"/>
                <w:szCs w:val="20"/>
                <w:color w:val="auto"/>
              </w:rPr>
            </w:pPr>
            <w:r>
              <w:rPr>
                <w:rFonts w:ascii="Arial" w:cs="Arial" w:eastAsia="Arial" w:hAnsi="Arial"/>
                <w:sz w:val="18"/>
                <w:szCs w:val="18"/>
                <w:i w:val="1"/>
                <w:iCs w:val="1"/>
                <w:color w:val="auto"/>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05"/>
        </w:trPr>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Common Stock, $1.00 par value</w:t>
            </w:r>
          </w:p>
        </w:tc>
        <w:tc>
          <w:tcPr>
            <w:tcW w:w="580" w:type="dxa"/>
            <w:vAlign w:val="bottom"/>
          </w:tcPr>
          <w:p>
            <w:pPr>
              <w:spacing w:after="0"/>
              <w:rPr>
                <w:sz w:val="17"/>
                <w:szCs w:val="17"/>
                <w:color w:val="auto"/>
              </w:rPr>
            </w:pPr>
          </w:p>
        </w:tc>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Preferred Share Purchase Rights, $1.00 par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0" w:lineRule="exact"/>
        <w:rPr>
          <w:sz w:val="20"/>
          <w:szCs w:val="20"/>
          <w:color w:val="auto"/>
        </w:rPr>
      </w:pPr>
    </w:p>
    <w:p>
      <w:pPr>
        <w:ind w:left="240" w:right="16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sectPr>
      </w:pPr>
    </w:p>
    <w:p>
      <w:pPr>
        <w:spacing w:after="0" w:line="14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20" w:space="720"/>
            <w:col w:w="1400" w:space="540"/>
            <w:col w:w="3360" w:space="180"/>
            <w:col w:w="2400"/>
          </w:cols>
          <w:pgMar w:left="240" w:top="122" w:right="239" w:bottom="0"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$378,000,000 based on the closing stock price as reported by the NASDAQ Stock Market LLC as of June 29, 2007.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12, 2008, the Registrant had 23,055,664 shares of its $1.00 par value common stock outstanding.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900" w:firstLine="225"/>
        <w:spacing w:after="0" w:line="342" w:lineRule="auto"/>
        <w:rPr>
          <w:sz w:val="20"/>
          <w:szCs w:val="20"/>
          <w:color w:val="auto"/>
        </w:rPr>
      </w:pPr>
      <w:r>
        <w:rPr>
          <w:rFonts w:ascii="Arial" w:cs="Arial" w:eastAsia="Arial" w:hAnsi="Arial"/>
          <w:sz w:val="16"/>
          <w:szCs w:val="16"/>
          <w:color w:val="auto"/>
        </w:rPr>
        <w:t>Portions of the Proxy Statement for Cohu, Inc.’s 2008 Annual Meeting of Stockholders to be held on May 13, 2008, and to be filed pursuant to Regulation 14A within 120 days after registrant’s fiscal year ended December 29, 2007,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FOR THE FISCAL YEAR ENDED DECEMBER 29, 2007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380" w:type="dxa"/>
            <w:vAlign w:val="bottom"/>
            <w:gridSpan w:val="6"/>
            <w:vMerge w:val="restart"/>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3"/>
            <w:vMerge w:val="continue"/>
          </w:tcPr>
          <w:p>
            <w:pPr>
              <w:spacing w:after="0"/>
              <w:rPr>
                <w:sz w:val="14"/>
                <w:szCs w:val="14"/>
                <w:color w:val="auto"/>
              </w:rPr>
            </w:pPr>
          </w:p>
        </w:tc>
        <w:tc>
          <w:tcPr>
            <w:tcW w:w="3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460" w:type="dxa"/>
            <w:vAlign w:val="bottom"/>
            <w:gridSpan w:val="7"/>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Item 1A.</w:t>
              </w:r>
            </w:hyperlink>
          </w:p>
        </w:tc>
        <w:tc>
          <w:tcPr>
            <w:tcW w:w="320" w:type="dxa"/>
            <w:vAlign w:val="bottom"/>
            <w:gridSpan w:val="5"/>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 1B.</w:t>
              </w:r>
            </w:hyperlink>
          </w:p>
        </w:tc>
        <w:tc>
          <w:tcPr>
            <w:tcW w:w="320" w:type="dxa"/>
            <w:vAlign w:val="bottom"/>
            <w:gridSpan w:val="5"/>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140" w:type="dxa"/>
            <w:vAlign w:val="bottom"/>
            <w:tcBorders>
              <w:top w:val="single" w:sz="8" w:color="0000EE"/>
            </w:tcBorders>
            <w:gridSpan w:val="2"/>
          </w:tcPr>
          <w:p>
            <w:pPr>
              <w:spacing w:after="0"/>
              <w:rPr>
                <w:sz w:val="17"/>
                <w:szCs w:val="17"/>
                <w:color w:val="auto"/>
              </w:rPr>
            </w:pPr>
          </w:p>
        </w:tc>
        <w:tc>
          <w:tcPr>
            <w:tcW w:w="320" w:type="dxa"/>
            <w:vAlign w:val="bottom"/>
            <w:gridSpan w:val="5"/>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8000" w:type="dxa"/>
            <w:vAlign w:val="bottom"/>
            <w:gridSpan w:val="11"/>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3.</w:t>
              </w:r>
            </w:hyperlink>
          </w:p>
        </w:tc>
        <w:tc>
          <w:tcPr>
            <w:tcW w:w="460" w:type="dxa"/>
            <w:vAlign w:val="bottom"/>
            <w:gridSpan w:val="7"/>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Legal Proceedings</w:t>
              </w:r>
            </w:hyperlink>
          </w:p>
        </w:tc>
        <w:tc>
          <w:tcPr>
            <w:tcW w:w="8700" w:type="dxa"/>
            <w:vAlign w:val="bottom"/>
            <w:gridSpan w:val="1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4.</w:t>
              </w:r>
            </w:hyperlink>
          </w:p>
        </w:tc>
        <w:tc>
          <w:tcPr>
            <w:tcW w:w="460" w:type="dxa"/>
            <w:vAlign w:val="bottom"/>
            <w:gridSpan w:val="7"/>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Submission of Matters to a Vote of Security Holders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3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5.</w:t>
              </w:r>
            </w:hyperlink>
          </w:p>
        </w:tc>
        <w:tc>
          <w:tcPr>
            <w:tcW w:w="460" w:type="dxa"/>
            <w:vAlign w:val="bottom"/>
            <w:gridSpan w:val="7"/>
          </w:tcPr>
          <w:p>
            <w:pPr>
              <w:spacing w:after="0"/>
              <w:rPr>
                <w:sz w:val="17"/>
                <w:szCs w:val="17"/>
                <w:color w:val="auto"/>
              </w:rPr>
            </w:pPr>
          </w:p>
        </w:tc>
        <w:tc>
          <w:tcPr>
            <w:tcW w:w="8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Market for Registrant’s Common Equity, Related Stockholder Matters and Issuer Purchases of Equity Securities</w:t>
              </w:r>
            </w:hyperlink>
          </w:p>
        </w:tc>
        <w:tc>
          <w:tcPr>
            <w:tcW w:w="196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6.</w:t>
              </w:r>
            </w:hyperlink>
          </w:p>
        </w:tc>
        <w:tc>
          <w:tcPr>
            <w:tcW w:w="460" w:type="dxa"/>
            <w:vAlign w:val="bottom"/>
            <w:gridSpan w:val="7"/>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7.</w:t>
              </w:r>
            </w:hyperlink>
          </w:p>
        </w:tc>
        <w:tc>
          <w:tcPr>
            <w:tcW w:w="460" w:type="dxa"/>
            <w:vAlign w:val="bottom"/>
            <w:gridSpan w:val="7"/>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580" w:type="dxa"/>
            <w:vAlign w:val="bottom"/>
            <w:gridSpan w:val="4"/>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7A.</w:t>
              </w:r>
            </w:hyperlink>
          </w:p>
        </w:tc>
        <w:tc>
          <w:tcPr>
            <w:tcW w:w="320" w:type="dxa"/>
            <w:vAlign w:val="bottom"/>
            <w:gridSpan w:val="5"/>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680" w:type="dxa"/>
            <w:vAlign w:val="bottom"/>
            <w:gridSpan w:val="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8.</w:t>
              </w:r>
            </w:hyperlink>
          </w:p>
        </w:tc>
        <w:tc>
          <w:tcPr>
            <w:tcW w:w="460" w:type="dxa"/>
            <w:vAlign w:val="bottom"/>
            <w:gridSpan w:val="7"/>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Financial Statements and Supplementary Data</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9.</w:t>
              </w:r>
            </w:hyperlink>
          </w:p>
        </w:tc>
        <w:tc>
          <w:tcPr>
            <w:tcW w:w="460" w:type="dxa"/>
            <w:vAlign w:val="bottom"/>
            <w:gridSpan w:val="7"/>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Changes in and Disagreements with Accountants on Accounting and Financial Disclosure</w:t>
              </w:r>
            </w:hyperlink>
          </w:p>
        </w:tc>
        <w:tc>
          <w:tcPr>
            <w:tcW w:w="3560" w:type="dxa"/>
            <w:vAlign w:val="bottom"/>
            <w:gridSpan w:val="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9A.</w:t>
              </w:r>
            </w:hyperlink>
          </w:p>
        </w:tc>
        <w:tc>
          <w:tcPr>
            <w:tcW w:w="320" w:type="dxa"/>
            <w:vAlign w:val="bottom"/>
            <w:gridSpan w:val="5"/>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8260" w:type="dxa"/>
            <w:vAlign w:val="bottom"/>
            <w:gridSpan w:val="1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9B.</w:t>
              </w:r>
            </w:hyperlink>
          </w:p>
        </w:tc>
        <w:tc>
          <w:tcPr>
            <w:tcW w:w="320" w:type="dxa"/>
            <w:vAlign w:val="bottom"/>
            <w:gridSpan w:val="5"/>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8720" w:type="dxa"/>
            <w:vAlign w:val="bottom"/>
            <w:gridSpan w:val="16"/>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III</w:t>
              </w:r>
            </w:hyperlink>
          </w:p>
        </w:tc>
        <w:tc>
          <w:tcPr>
            <w:tcW w:w="2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10.</w:t>
              </w:r>
            </w:hyperlink>
          </w:p>
        </w:tc>
        <w:tc>
          <w:tcPr>
            <w:tcW w:w="100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Directors and Executive Officers of the Registrant</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11.</w:t>
              </w:r>
            </w:hyperlink>
          </w:p>
        </w:tc>
        <w:tc>
          <w:tcPr>
            <w:tcW w:w="100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12.</w:t>
              </w:r>
            </w:hyperlink>
          </w:p>
        </w:tc>
        <w:tc>
          <w:tcPr>
            <w:tcW w:w="100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3880" w:type="dxa"/>
            <w:vAlign w:val="bottom"/>
            <w:gridSpan w:val="6"/>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13.</w:t>
              </w:r>
            </w:hyperlink>
          </w:p>
        </w:tc>
        <w:tc>
          <w:tcPr>
            <w:tcW w:w="100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Certain Relationships and Related Transactions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14.</w:t>
              </w:r>
            </w:hyperlink>
          </w:p>
        </w:tc>
        <w:tc>
          <w:tcPr>
            <w:tcW w:w="100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Accounting Fees and Services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15.</w:t>
              </w:r>
            </w:hyperlink>
          </w:p>
        </w:tc>
        <w:tc>
          <w:tcPr>
            <w:tcW w:w="260" w:type="dxa"/>
            <w:vAlign w:val="bottom"/>
            <w:gridSpan w:val="3"/>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21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We have three reportable segments as defined by Financial Accounting Standards Board (“FASB”) Statement No. 131, </w:t>
      </w:r>
      <w:r>
        <w:rPr>
          <w:rFonts w:ascii="Arial" w:cs="Arial" w:eastAsia="Arial" w:hAnsi="Arial"/>
          <w:sz w:val="18"/>
          <w:szCs w:val="18"/>
          <w:i w:val="1"/>
          <w:iCs w:val="1"/>
          <w:color w:val="auto"/>
        </w:rPr>
        <w:t>Disclosures about Segments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and Related Information</w:t>
      </w:r>
      <w:r>
        <w:rPr>
          <w:rFonts w:ascii="Arial" w:cs="Arial" w:eastAsia="Arial" w:hAnsi="Arial"/>
          <w:sz w:val="18"/>
          <w:szCs w:val="18"/>
          <w:color w:val="auto"/>
        </w:rPr>
        <w:t>, (“Statement No. 131”)</w:t>
      </w:r>
      <w:r>
        <w:rPr>
          <w:rFonts w:ascii="Arial" w:cs="Arial" w:eastAsia="Arial" w:hAnsi="Arial"/>
          <w:sz w:val="18"/>
          <w:szCs w:val="18"/>
          <w:i w:val="1"/>
          <w:iCs w:val="1"/>
          <w:color w:val="auto"/>
        </w:rPr>
        <w:t xml:space="preserve">. </w:t>
      </w:r>
      <w:r>
        <w:rPr>
          <w:rFonts w:ascii="Arial" w:cs="Arial" w:eastAsia="Arial" w:hAnsi="Arial"/>
          <w:sz w:val="18"/>
          <w:szCs w:val="18"/>
          <w:color w:val="auto"/>
        </w:rPr>
        <w:t>Our three segments are: semiconductor equipment, television cameras and microwave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 May 2006, we sold substantially all the assets of FRL, Incorporated (“FRL”), which comprised our metal detection equipment segment. As a result of the divestiture of FRL, we are reporting FRL as a discontinued operation for all periods presented. All information presented in this Annual Report on Form 10-K covers results from our continuing operations.</w:t>
      </w:r>
    </w:p>
    <w:p>
      <w:pPr>
        <w:spacing w:after="0" w:line="8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semiconductor equipment segment, operated under our wholly owned subsidiary Delta Design, Inc. (“Delta”), develops, manufactures and sells semiconductor test handling and burn-in related equipment and thermal sub-systems to semiconductor manufacturers and semiconductor test subcontractors throughout the world. The television camera segment (“Electronics Division”) designs, manufactures and sells closed circuit television cameras and systems to original equipment manufacturers, contractors and government agencies. Our other reportable segment Broadcast Microwave Services, Inc. (“BMS”), designs, manufactures and sells microwave communications equipment to television broadcasters, equipment manufacturers and government agencies.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2005</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14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Television cameras</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7%</w:t>
            </w:r>
          </w:p>
        </w:tc>
        <w:tc>
          <w:tcPr>
            <w:tcW w:w="1500" w:type="dxa"/>
            <w:vAlign w:val="bottom"/>
            <w:gridSpan w:val="4"/>
          </w:tcPr>
          <w:p>
            <w:pPr>
              <w:jc w:val="right"/>
              <w:ind w:right="110"/>
              <w:spacing w:after="0"/>
              <w:rPr>
                <w:sz w:val="20"/>
                <w:szCs w:val="20"/>
                <w:color w:val="auto"/>
              </w:rPr>
            </w:pPr>
            <w:r>
              <w:rPr>
                <w:rFonts w:ascii="Arial" w:cs="Arial" w:eastAsia="Arial" w:hAnsi="Arial"/>
                <w:sz w:val="18"/>
                <w:szCs w:val="18"/>
                <w:color w:val="auto"/>
              </w:rPr>
              <w:t>7%</w:t>
            </w:r>
          </w:p>
        </w:tc>
        <w:tc>
          <w:tcPr>
            <w:tcW w:w="1480" w:type="dxa"/>
            <w:vAlign w:val="bottom"/>
            <w:gridSpan w:val="4"/>
          </w:tcPr>
          <w:p>
            <w:pPr>
              <w:jc w:val="right"/>
              <w:ind w:right="90"/>
              <w:spacing w:after="0"/>
              <w:rPr>
                <w:sz w:val="20"/>
                <w:szCs w:val="20"/>
                <w:color w:val="auto"/>
              </w:rPr>
            </w:pPr>
            <w:r>
              <w:rPr>
                <w:rFonts w:ascii="Arial" w:cs="Arial" w:eastAsia="Arial" w:hAnsi="Arial"/>
                <w:sz w:val="18"/>
                <w:szCs w:val="18"/>
                <w:color w:val="auto"/>
              </w:rPr>
              <w:t>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Microwave communications</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4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23"/>
        </w:trPr>
        <w:tc>
          <w:tcPr>
            <w:tcW w:w="7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 54 (Note 8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are a worldwide supplier of semiconductor test handling systems, burn-in equipment and thermal sub-systems. Delta develops, manufactures, sells and services a broad line of equipment capable of handling a wide range of integrated circuit packages. Test handlers are electromechanical systems used to automate testing of the packaged integrated circuit in the “back end” of the semiconductor manufacturing process. Testing determines the quality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of the integrated circuit prior to shipment to customers. Testers are designed to verify the performance of the integrated circuit, such as microprocessors, logic, DRAM or mixed signal devices. Handlers are engineered to thermally condition and present for testing, the packages that protect the micro-circuitry within the integrated circuit. The majority of test handlers use either pick-and-place or gravity-feed technologies. Delta’s product line consists of pick-and-place handlers. The integrated circuit package type normally determines the appropriate handling approach. Gravity-feed handling is the preferred technique for handling packages with leads on only two sides, including the dual-in-line and small outline packages. In gravity-feed handlers, integrated circuits are unloaded from plastic tubes or metal magazines at the top of the machine and flow through the system, from top to bottom, propelled along precision track work by the force of gravity. After testing, the integrated circuits are sorted and reloaded into tubes or magazines for additional process steps or for shipment.</w:t>
      </w:r>
    </w:p>
    <w:p>
      <w:pPr>
        <w:spacing w:after="0" w:line="8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Integrated circuits with leads on all four sides, such as the quad flat pack or with balls or pads on the bottom of the package, such as ball grid array packages and certain low profile integrated circuits with leads on two sides, such as the thin small outline package, are predominately handled in pick-and-place systems. Pick-and-place handlers, use robotic mechanisms to move integrated circuits from waffle-like trays and place them in precision transport boats or carriers for processing through the system. After testing, integrated circuits are sorted and reloaded into designated trays, based on test results.</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ensure the quality of the integrated circuits produced, semiconductor manufacturers typically test integrated circuits at hot and/or cold temperatures, which can accelerate failures. Delta’s test handlers are designed to provide a precisely controlled test environment typically over the range of -60 degrees Celsius to +160 degrees Celsius. In recent years, as the performance and speed of certain integrated circuits has increased, semiconductor equipment manufacturers have faced the additional and substantial challenge of dissipating the significant amount of heat that is generated within these high performance integrated circuits during the test process.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Delta provides thermal sub-systems for use in advanced burn-in applications. These thermal sub-systems maintain and control the temperature of the integrated circuit during the burn-in testing process. Burn-in equipment is used in semiconductor manufacturing for quality control purposes. The burn-in process is used to stress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and burn-in equipment. The availability of trained technical support personnel is an important competitive factor in the marketplace. Delta deploys service engineers worldwide, often within customer production facilities, who work with customer personnel to maintain, repair and continuously improve the performance of Delta’s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Delta offers products for the pick-and-place handler, and burn-in markets. We currently sell the following products in the semiconductor equipment market: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Delta Castle is a pick-and-place test handler capable of thermally conditioning devices from -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Delta’s Summit series of pick-and-place handlers are designed to meet the requirements of manufacturers of microprocessors and other high speed, high power integrated circuits. The Summit handlers are designed around Delta’s proprietary thermal control technology. The Summit PTC, or Passive Thermal Control, and ATC, or Active Thermal Control, models are designed to dissipate the heat generated during test and maintain the desired temperature of the device being tested.</w:t>
      </w:r>
    </w:p>
    <w:p>
      <w:pPr>
        <w:spacing w:after="0" w:line="7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designed to meet the needs of integrated circuit manufacturers and subcontractors who test at ambient and hot temperatures.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Delta’s VTS300, acquired from Unigen in 2006, is an automated burn-in system that is capable of processing numerous low power circuits simultaneously. The VTS300 supports asynchronous loading and unloading of devices without system interruption to transform the burn-in process from a traditional batch-oriented process to a more efficient continuous-flow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Delta has developed custom thermal sub-systems that incorporate our proprietary thermal control technology which are used by integrated circuit manufacturers to facilitate high performance burn-in and system level test. These thermal sub-system products maintain and control the temperature of the integrated circuit during the testing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Delta provides consumable and non-consumable items that are used to maintain, sustain or otherwise enable purchased equipment to meet or exceed its performance, availability and production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Delta also designs and manufactures a wide range of device dedication kits that enable the handler to process different semiconductor packages.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Validation and Characterization</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Delta’s ETC 2000 is used in engineering and device characterization applications. The ETC 2000 conditions semiconductors to desired test temperature and maintains temperature set point by efficiently dissipating the heat generated during device test. The ETC 2000 uses the same thermal control technology as the Summit handler.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three-year period ended December 29, 2007, sales of semiconductor test handler systems comprised approximately 56% of Delta’s sales, thermal sub-systems approximately 12% and spares, tooling (kits) and service contributing the remaining 32%. During the same three-year period Delta’s semiconductor test handler sales were comprised of approximately 99% pick-and-place handlers with the balance attributed to gravity-feed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Electronics Division has developed, manufactured and sold closed circuit television or CCTV cameras, equipment and systems for over 50 years. The customer base for these products is distributed among machine vision, traffic control and management, scientific imaging and security/surveillance markets. The current product line consists of a broad array of indoor and outdoor CCTV cameras and camera control equipment. Our primary products are high-performance, high-resolution cameras that meet the most demanding performance requirements and are resistant to harsh environments. To support its camera products, the Electronics Division offers accessories including monitors, lenses and camera test equipment.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BMS designs, manufactures and sells microwave communications equipment, antenna systems and associated equipment. These products are used in the transmission of video, audio and telemetry. Applications for these microwave data-links include electronic news gathering, unmanned aerial vehicles (UAVs), law enforcement and security and surveillance. Customers for BMS’ products include television broadcasters, entertainment companies, professional sports teams, military agencies, law enforcement and public safety organizations, and unmanned air vehicle program contractors, and other commercial entities.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customers include semiconductor manufacturers and subcontractors that perform test services for semiconductor manufacturers. Repeat sales to existing customers represent a significant portion of our sales.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rely on a limited number of customers for a substantial percentage of our net sales. In 2007, Intel, Advanced Micro Devices and Texas Instruments accounted for 27%, 28%, and 8%, respectively, of our consolidated net sales. In 2006, Intel, Advanced Micro Devices and Texas Instruments accounted for 25%, 23%, and 15%, respectively, of our consolidated net sales. In 2005, Intel, Advanced Micro Devices and Texas Instruments accounted for 45%, 13%, and 9%, respectively, of our consolidated net sales. 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customer base in the television camera industry segment is diverse and includes end-users, government agencies, original equipment manufacturers, contractors and value-added resellers throughout the world. No single customer of this segment accounted for 10% or more of our consolidated net sales in 2007, 2006 or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customer base for microwave communications equipment is also diverse and includes government agencies, original equipment manufacturers, contractors and end-users throughout the world. No single customer of this segment accounted for 10% or more of our consolidated net sales in 2007, 2006 or 2005. In 2006 our microwave communications contract with the United Arab Emirates Armed Services (“UAE”) was accepted and paid and, as a result, we recognized approximately $7.9 million in revenue which in 2006 represented 32% of our microwave communications equipment segment sales and 3% of our consolidated net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generally employ our own personnel. We maintain U.S. sales offices for the semiconductor equipment business in Tyngsborough, Massachusetts; Chandler, Arizona; Austin, Texas and at Delta’s Poway, California facility. In 1993, a foreign subsidiary was formed in Singapore to handle the sales and service of our test handling products to customers located in Southeast Asia. In 1995, a branch of the Singapore sales and service subsidiary was opened in Taipei, Taiwan. Sales in Europe, Japan and Korea are made primarily through independent sales representatives.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and there are a large number of competitors for a relatively small worldwide market.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5%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in the U.S. or throughout the world.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 and Microwave Communications</w:t>
      </w:r>
    </w:p>
    <w:p>
      <w:pPr>
        <w:spacing w:after="0" w:line="11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products in the television camera and microwave communications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order backlog as of December 29, 2007, was $59.5 million as compared to $86.3 million at December 30, 2006. Of these amounts, $35.3 million</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($65.4 million in 2006) was in semiconductor equipment, $5.9 million ($5.8 million in 2006) was in television cameras and $18.3 million ($15.1 million in 2006) was in microwave communications. 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Certain orders are subject to cancellation or rescheduling by the customer with limited or no penalty. There is no significant seasonal aspect to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manufacturing operations are currently located in Poway, California (BMS and Delta), San Diego, California (Electronics Division), Tijuana, B.C. Mexico (Delta) and near Manila, in the Philippines (Delta). Many of the components and subassemblies we utilize are standard products, although certain items are made to our specifications. Certain components, particularly in our semiconductor equipment business,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$38.3 million in 2007, $39.1 million in 2006 and $29.1 million in 2005.</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12, 2008. Executive Officers serve at the discretion of the Board of Directors, until their successors are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w w:val="98"/>
              </w:rPr>
              <w:t>Age</w:t>
            </w:r>
          </w:p>
        </w:tc>
        <w:tc>
          <w:tcPr>
            <w:tcW w:w="8260" w:type="dxa"/>
            <w:vAlign w:val="bottom"/>
            <w:gridSpan w:val="2"/>
          </w:tcPr>
          <w:p>
            <w:pPr>
              <w:ind w:left="5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Cohu:</w:t>
            </w: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James A. Donahue</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59</w:t>
            </w:r>
          </w:p>
        </w:tc>
        <w:tc>
          <w:tcPr>
            <w:tcW w:w="8260" w:type="dxa"/>
            <w:vAlign w:val="bottom"/>
            <w:gridSpan w:val="2"/>
          </w:tcPr>
          <w:p>
            <w:pPr>
              <w:ind w:left="580"/>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Jeffrey D. Jones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46</w:t>
            </w:r>
          </w:p>
        </w:tc>
        <w:tc>
          <w:tcPr>
            <w:tcW w:w="8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Vice President, Finance &amp; Chief Financial Officer</w:t>
            </w:r>
          </w:p>
        </w:tc>
      </w:tr>
      <w:tr>
        <w:trPr>
          <w:trHeight w:val="432"/>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Delta Design:</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James G. McFarlane</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57</w:t>
            </w:r>
          </w:p>
        </w:tc>
        <w:tc>
          <w:tcPr>
            <w:tcW w:w="8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Colin P. Scholefield</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44</w:t>
            </w:r>
          </w:p>
        </w:tc>
        <w:tc>
          <w:tcPr>
            <w:tcW w:w="8260" w:type="dxa"/>
            <w:vAlign w:val="bottom"/>
            <w:gridSpan w:val="2"/>
          </w:tcPr>
          <w:p>
            <w:pPr>
              <w:ind w:left="580"/>
              <w:spacing w:after="0"/>
              <w:rPr>
                <w:sz w:val="20"/>
                <w:szCs w:val="20"/>
                <w:color w:val="auto"/>
              </w:rPr>
            </w:pPr>
            <w:r>
              <w:rPr>
                <w:rFonts w:ascii="Arial" w:cs="Arial" w:eastAsia="Arial" w:hAnsi="Arial"/>
                <w:sz w:val="18"/>
                <w:szCs w:val="18"/>
                <w:color w:val="auto"/>
              </w:rPr>
              <w:t>Senior Vice President, Sales and Service</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James P. Walsh</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38</w:t>
            </w:r>
          </w:p>
        </w:tc>
        <w:tc>
          <w:tcPr>
            <w:tcW w:w="8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Vice President, Manufacturing</w:t>
            </w: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In June, 2000, Mr. Donahue was promoted to Chief Executive Officer.</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Jones has been employed by Delta Design since 2005 as Vice President Finance and Controller. In November, 2007, Mr. Jones was named to the position of Vice President, Finance &amp; Chief Financial Officer of Cohu. Prior to joining Delta Design, Mr. Jones, was a consultant from 2004 to June, 2005 and Vice President and General Manager of the Systems Group at SBS Technologies, Inc., a designer and manufacturer of embedded computer products, from 1998 to 2003.</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Mr. Scholefield has been employed by Delta Design since 1991 and has held various positions including Customer Support Manager and Director of Sales.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 was promoted to Vice President of Sales in 2000, Senior Vice President of Sales in 2001 and Senior Vice President of Sales and Service in 2003.</w:t>
      </w:r>
    </w:p>
    <w:p>
      <w:pPr>
        <w:spacing w:after="0" w:line="11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Mr. Walsh has been employed by Delta Design since 2004 as Vice President, Product Operations. In October, 2007, Mr. Walsh was promoted to Vice President, Manufacturing. Prior to joining Delta Design, Mr. Walsh was a consultant from 2003 to June, 2004, and held various positions at Asymtek (a subsidiary of Nordson Corporation) a maker of automated dispensing equipment for the semiconductor industry from 1994 to 2003.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29, 2007, we had approximately 1,000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governance is also posted on our web site at www.cohu.com/investors/corporategovernance. Information contained on our web site is not deemed part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2007, 2006, and 2005, we recorded pre-tax inventory-related charges of approximately $4.6 million, $10.0 million, and $6.1 million, respectively, primarily as a result of changes in customer forecasts.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small number of customers historically have been responsible for a significant portion of our net sales. In the year ended December 29, 2007, three customers of the semiconductor equipment segment accounted for 63% (63% in 2006, and 67% in 2005)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successfully against our products. We expect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asset acquisitions with KryoTech and Unigen,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29, 2007. Future inventory write-offs and increased inventory reserve requirements could have a material adverse impact on our results of operations and financial condition.</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Each of these measures could have long-term effects on our business by reducing our pool of technical talent, decreasing or slowing improvements in our products and making it more difficult for us to respond to our customer’s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order backlog has historically represented approximately three months of business, however, at times it has been significantly in excess of revenue recognized in the following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many orders are subject to cancellation or rescheduling by the customer with limited or no penalty. A reduction in backlog during any particular period could have a material adverse effect on our business, financial condition and results of operations. In addition, our backlog at December 29, 2007, may not be a reliable indicator of revenues in future periods due to delayed delivery dates or customer requested changes to delivery schedules, order cancellations and delays in recognizing revenue due to accounting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gravity-feed and DRAM test handler markets.</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Pick-and-place handlers used in DRAM applications account for a significant portion of the worldwide test handler market. In addition, gravity-feed test handlers are used in numerous non-DRAM applications and continue to represent a significant portion of the worldwide test handler market. We do not participate in the DRAM and/or gravity-feed market segments; therefore our total available sales market is limited.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export regulations may impact sales to foreign customers.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Certain products and services that we offer require compliance with United States export regulations. Compliance with such regulations could impact certain sales, and have a material adverse effect on our operating results. In addition, failure to comply could subject us to sanctions that could negatively impact our operating results.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year ended December 29, 2007, 68.8% of our total net sales were exported to foreign countries, including 74.0%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area,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generated losses.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our television camera business over the last several years with increasing losses and the future prospects of this business remain uncertain. We may not be able to continue to compete successfully in these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and tax rules will impact our future operating results.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timing and amount of orders from customers and shipments to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inventory writedowns;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$14.11 to $29.48.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have increased our costs.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Stock Market rules, are creating challenges for publicly-held companies.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maintain compliance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6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have an operation in the Philippines that fabricates certain component parts used in our products. These regions are known for being vulnerable to natural disasters and other risks, such as earthquakes, tsunamis, fires, floods and Avian (bird) flu, which at times have disrupted the local economies. A significant earthquake or tsunami could materially affect our operating results. We are not insured for most losses and business interruptions of this kind, and do not presently have redundant, multiple site capacity in the event of a natural disaster. In the event of such disaster, our business would suffer.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29, 2007, identified by business segment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54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Approximate</w:t>
            </w:r>
          </w:p>
        </w:tc>
        <w:tc>
          <w:tcPr>
            <w:tcW w:w="5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Sq. Footage</w:t>
            </w:r>
          </w:p>
        </w:tc>
        <w:tc>
          <w:tcPr>
            <w:tcW w:w="5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Poway, California (1) (3) (4)</w:t>
            </w:r>
          </w:p>
        </w:tc>
        <w:tc>
          <w:tcPr>
            <w:tcW w:w="1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338,000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Chandler, Arizona (1)</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Tyngsborough, Massachusetts (1)</w:t>
            </w:r>
          </w:p>
        </w:tc>
        <w:tc>
          <w:tcPr>
            <w:tcW w:w="1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Singapore (1)</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13,000</w:t>
            </w:r>
          </w:p>
        </w:tc>
        <w:tc>
          <w:tcPr>
            <w:tcW w:w="5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Calamba City, Laguna, Philippines (1)</w:t>
            </w:r>
          </w:p>
        </w:tc>
        <w:tc>
          <w:tcPr>
            <w:tcW w:w="1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27,000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San Diego, California (2)</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57,000</w:t>
            </w:r>
          </w:p>
        </w:tc>
        <w:tc>
          <w:tcPr>
            <w:tcW w:w="5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Heidenrod — Kemel, Germany (3)</w:t>
            </w:r>
          </w:p>
        </w:tc>
        <w:tc>
          <w:tcPr>
            <w:tcW w:w="1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including Austin, Texas and Taipei, Taiwan. We believe our facilities are suitable for their respective uses and are adequate for our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previously disclosed in our Form 10-Q for the quarter ended June 30, 2007 that in May, 2007 our Broadcast Microwave Services subsidiary received a subpoena from a grand jury seated in the Southern District of California, requesting the production of certain documents related to BMS’ export of microwave communications equipment. BMS completed production of documents responsive to the request in September 2007 and has fully cooperated. BMS has not been informed that it is a target of an investigation. As of the date of this report, it is premature to assess whether this matter will have any impact on the BMS business or results of operations.</w:t>
      </w:r>
    </w:p>
    <w:p>
      <w:pPr>
        <w:spacing w:after="0" w:line="8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Global Select Market during the last two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2007</w:t>
            </w:r>
          </w:p>
        </w:tc>
        <w:tc>
          <w:tcPr>
            <w:tcW w:w="10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2006</w:t>
            </w:r>
          </w:p>
        </w:tc>
        <w:tc>
          <w:tcPr>
            <w:tcW w:w="1020" w:type="dxa"/>
            <w:vAlign w:val="bottom"/>
            <w:tcBorders>
              <w:bottom w:val="single" w:sz="8" w:color="auto"/>
            </w:tcBorders>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Low</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Low</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$20.90</w:t>
            </w:r>
          </w:p>
        </w:tc>
        <w:tc>
          <w:tcPr>
            <w:tcW w:w="1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$18.11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$29.48</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$19.60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$23.01</w:t>
            </w:r>
          </w:p>
        </w:tc>
        <w:tc>
          <w:tcPr>
            <w:tcW w:w="1540" w:type="dxa"/>
            <w:vAlign w:val="bottom"/>
            <w:gridSpan w:val="2"/>
          </w:tcPr>
          <w:p>
            <w:pPr>
              <w:jc w:val="right"/>
              <w:ind w:right="228"/>
              <w:spacing w:after="0"/>
              <w:rPr>
                <w:sz w:val="20"/>
                <w:szCs w:val="20"/>
                <w:color w:val="auto"/>
              </w:rPr>
            </w:pPr>
            <w:r>
              <w:rPr>
                <w:rFonts w:ascii="Arial" w:cs="Arial" w:eastAsia="Arial" w:hAnsi="Arial"/>
                <w:sz w:val="18"/>
                <w:szCs w:val="18"/>
                <w:color w:val="auto"/>
              </w:rPr>
              <w:t>$18.51</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$21.35</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$15.75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$23.70</w:t>
            </w:r>
          </w:p>
        </w:tc>
        <w:tc>
          <w:tcPr>
            <w:tcW w:w="1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$17.79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$18.84</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$14.16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$20.75</w:t>
            </w:r>
          </w:p>
        </w:tc>
        <w:tc>
          <w:tcPr>
            <w:tcW w:w="1540" w:type="dxa"/>
            <w:vAlign w:val="bottom"/>
            <w:gridSpan w:val="2"/>
          </w:tcPr>
          <w:p>
            <w:pPr>
              <w:jc w:val="right"/>
              <w:ind w:right="228"/>
              <w:spacing w:after="0"/>
              <w:rPr>
                <w:sz w:val="20"/>
                <w:szCs w:val="20"/>
                <w:color w:val="auto"/>
              </w:rPr>
            </w:pPr>
            <w:r>
              <w:rPr>
                <w:rFonts w:ascii="Arial" w:cs="Arial" w:eastAsia="Arial" w:hAnsi="Arial"/>
                <w:sz w:val="18"/>
                <w:szCs w:val="18"/>
                <w:color w:val="auto"/>
              </w:rPr>
              <w:t>$14.11</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$21.95</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$17.34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January 25, 2008, Cohu had 747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paid consecutive quarterly dividends since 1977 and expect to continue doing so. The declaration and payment of future dividends are subject to the discretion of our Board of Directors and availability of cash resources. Cash dividends, per share, declared in 2006 and 2007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Fiscal 2006</w:t>
            </w:r>
          </w:p>
        </w:tc>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700" w:type="dxa"/>
            <w:vAlign w:val="bottom"/>
            <w:tcBorders>
              <w:top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6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6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2007</w:t>
            </w:r>
          </w:p>
        </w:tc>
        <w:tc>
          <w:tcPr>
            <w:tcW w:w="6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gridSpan w:val="2"/>
            <w:vMerge w:val="continue"/>
          </w:tcPr>
          <w:p>
            <w:pPr>
              <w:spacing w:after="0"/>
              <w:rPr>
                <w:sz w:val="24"/>
                <w:szCs w:val="24"/>
                <w:color w:val="auto"/>
              </w:rPr>
            </w:pPr>
          </w:p>
        </w:tc>
        <w:tc>
          <w:tcPr>
            <w:tcW w:w="6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700" w:type="dxa"/>
            <w:vAlign w:val="bottom"/>
            <w:tcBorders>
              <w:top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6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6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700" w:type="dxa"/>
            <w:vAlign w:val="bottom"/>
            <w:vMerge w:val="restart"/>
          </w:tcPr>
          <w:p>
            <w:pPr>
              <w:jc w:val="right"/>
              <w:ind w:right="417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29,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Number of securities</w:t>
            </w:r>
          </w:p>
        </w:tc>
        <w:tc>
          <w:tcPr>
            <w:tcW w:w="1820" w:type="dxa"/>
            <w:vAlign w:val="bottom"/>
          </w:tcPr>
          <w:p>
            <w:pPr>
              <w:spacing w:after="0"/>
              <w:rPr>
                <w:sz w:val="12"/>
                <w:szCs w:val="12"/>
                <w:color w:val="auto"/>
              </w:rPr>
            </w:pPr>
          </w:p>
        </w:tc>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to be issued upon</w:t>
            </w:r>
          </w:p>
        </w:tc>
        <w:tc>
          <w:tcPr>
            <w:tcW w:w="1820" w:type="dxa"/>
            <w:vAlign w:val="bottom"/>
          </w:tcPr>
          <w:p>
            <w:pPr>
              <w:ind w:left="340"/>
              <w:spacing w:after="0" w:line="149" w:lineRule="exact"/>
              <w:rPr>
                <w:sz w:val="20"/>
                <w:szCs w:val="20"/>
                <w:color w:val="auto"/>
              </w:rPr>
            </w:pPr>
            <w:r>
              <w:rPr>
                <w:rFonts w:ascii="Arial" w:cs="Arial" w:eastAsia="Arial" w:hAnsi="Arial"/>
                <w:sz w:val="14"/>
                <w:szCs w:val="14"/>
                <w:color w:val="auto"/>
              </w:rPr>
              <w:t>Weighted average</w:t>
            </w:r>
          </w:p>
        </w:tc>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issuance under 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4"/>
                <w:szCs w:val="14"/>
                <w:color w:val="auto"/>
              </w:rPr>
              <w:t>exercise of</w:t>
            </w:r>
          </w:p>
        </w:tc>
        <w:tc>
          <w:tcPr>
            <w:tcW w:w="1820" w:type="dxa"/>
            <w:vAlign w:val="bottom"/>
          </w:tcPr>
          <w:p>
            <w:pPr>
              <w:ind w:left="340"/>
              <w:spacing w:after="0"/>
              <w:rPr>
                <w:sz w:val="20"/>
                <w:szCs w:val="20"/>
                <w:color w:val="auto"/>
              </w:rPr>
            </w:pPr>
            <w:r>
              <w:rPr>
                <w:rFonts w:ascii="Arial" w:cs="Arial" w:eastAsia="Arial" w:hAnsi="Arial"/>
                <w:sz w:val="14"/>
                <w:szCs w:val="14"/>
                <w:color w:val="auto"/>
              </w:rPr>
              <w:t>exercise price of</w:t>
            </w:r>
          </w:p>
        </w:tc>
        <w:tc>
          <w:tcPr>
            <w:tcW w:w="1880" w:type="dxa"/>
            <w:vAlign w:val="bottom"/>
          </w:tcPr>
          <w:p>
            <w:pPr>
              <w:ind w:left="320"/>
              <w:spacing w:after="0"/>
              <w:rPr>
                <w:sz w:val="20"/>
                <w:szCs w:val="20"/>
                <w:color w:val="auto"/>
              </w:rPr>
            </w:pPr>
            <w:r>
              <w:rPr>
                <w:rFonts w:ascii="Arial" w:cs="Arial" w:eastAsia="Arial" w:hAnsi="Arial"/>
                <w:sz w:val="14"/>
                <w:szCs w:val="14"/>
                <w:color w:val="auto"/>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outstanding</w:t>
            </w:r>
          </w:p>
        </w:tc>
        <w:tc>
          <w:tcPr>
            <w:tcW w:w="1820" w:type="dxa"/>
            <w:vAlign w:val="bottom"/>
          </w:tcPr>
          <w:p>
            <w:pPr>
              <w:ind w:left="340"/>
              <w:spacing w:after="0" w:line="149" w:lineRule="exact"/>
              <w:rPr>
                <w:sz w:val="20"/>
                <w:szCs w:val="20"/>
                <w:color w:val="auto"/>
              </w:rPr>
            </w:pPr>
            <w:r>
              <w:rPr>
                <w:rFonts w:ascii="Arial" w:cs="Arial" w:eastAsia="Arial" w:hAnsi="Arial"/>
                <w:sz w:val="14"/>
                <w:szCs w:val="14"/>
                <w:color w:val="auto"/>
              </w:rPr>
              <w:t>outstanding options,</w:t>
            </w:r>
          </w:p>
        </w:tc>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options, warrants and</w:t>
            </w:r>
          </w:p>
        </w:tc>
        <w:tc>
          <w:tcPr>
            <w:tcW w:w="1820" w:type="dxa"/>
            <w:vAlign w:val="bottom"/>
          </w:tcPr>
          <w:p>
            <w:pPr>
              <w:ind w:left="340"/>
              <w:spacing w:after="0" w:line="149" w:lineRule="exact"/>
              <w:rPr>
                <w:sz w:val="20"/>
                <w:szCs w:val="20"/>
                <w:color w:val="auto"/>
              </w:rPr>
            </w:pPr>
            <w:r>
              <w:rPr>
                <w:rFonts w:ascii="Arial" w:cs="Arial" w:eastAsia="Arial" w:hAnsi="Arial"/>
                <w:sz w:val="14"/>
                <w:szCs w:val="14"/>
                <w:color w:val="auto"/>
              </w:rPr>
              <w:t>warrants and rights</w:t>
            </w:r>
          </w:p>
        </w:tc>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reflected in column (a))</w:t>
            </w:r>
          </w:p>
        </w:tc>
        <w:tc>
          <w:tcPr>
            <w:tcW w:w="0" w:type="dxa"/>
            <w:vAlign w:val="bottom"/>
          </w:tcPr>
          <w:p>
            <w:pPr>
              <w:spacing w:after="0"/>
              <w:rPr>
                <w:sz w:val="1"/>
                <w:szCs w:val="1"/>
                <w:color w:val="auto"/>
              </w:rPr>
            </w:pPr>
          </w:p>
        </w:tc>
      </w:tr>
      <w:tr>
        <w:trPr>
          <w:trHeight w:val="181"/>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Plan category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rights (a) (1)</w:t>
            </w: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(b) (2)</w:t>
            </w:r>
          </w:p>
        </w:tc>
        <w:tc>
          <w:tcPr>
            <w:tcW w:w="18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76"/>
        </w:trPr>
        <w:tc>
          <w:tcPr>
            <w:tcW w:w="61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2,729</w:t>
            </w:r>
          </w:p>
        </w:tc>
        <w:tc>
          <w:tcPr>
            <w:tcW w:w="182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rPr>
              <w:t>$15.97</w:t>
            </w:r>
          </w:p>
        </w:tc>
        <w:tc>
          <w:tcPr>
            <w:tcW w:w="1880" w:type="dxa"/>
            <w:vAlign w:val="bottom"/>
            <w:shd w:val="clear" w:color="auto" w:fill="CCEEFF"/>
          </w:tcPr>
          <w:p>
            <w:pPr>
              <w:jc w:val="right"/>
              <w:ind w:right="303"/>
              <w:spacing w:after="0"/>
              <w:rPr>
                <w:sz w:val="20"/>
                <w:szCs w:val="20"/>
                <w:color w:val="auto"/>
              </w:rPr>
            </w:pPr>
            <w:r>
              <w:rPr>
                <w:rFonts w:ascii="Arial" w:cs="Arial" w:eastAsia="Arial" w:hAnsi="Arial"/>
                <w:sz w:val="18"/>
                <w:szCs w:val="18"/>
                <w:color w:val="auto"/>
              </w:rPr>
              <w:t>1,621(3)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521"/>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5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rPr>
              <w:t>2,729</w:t>
            </w:r>
          </w:p>
        </w:tc>
        <w:tc>
          <w:tcPr>
            <w:tcW w:w="182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color w:val="auto"/>
              </w:rPr>
              <w:t>$15.97</w:t>
            </w:r>
          </w:p>
        </w:tc>
        <w:tc>
          <w:tcPr>
            <w:tcW w:w="188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4" w:lineRule="exact"/>
        <w:rPr>
          <w:sz w:val="20"/>
          <w:szCs w:val="20"/>
          <w:color w:val="auto"/>
        </w:rPr>
      </w:pPr>
    </w:p>
    <w:p>
      <w:pPr>
        <w:ind w:left="460" w:right="8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and restricted stock units (RSUs) outstanding under Cohu’s equity incentive plans, as no stock warrants or other rights were outstanding as of December 29, 2007.</w:t>
      </w:r>
    </w:p>
    <w:p>
      <w:pPr>
        <w:spacing w:after="0" w:line="21"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into account as RSUs have a de minimus purchase price.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602,019 shares of common stock reserved for future issuance under the Cohu 1997 Employee Stock 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Cohu’s equity compensation plans, see Note 5 of Notes to Consolidated Financial Statements included in 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December 31, 2002 and reinvestment of all dividends). The Peer Group Index set forth on the Performance Graph is the index for Hemscott, Inc., Industry Group 834 “Semiconductor Equipment/Material”. Industry Group 834 is comprised of approximately 35 publicly-held semiconductor equipment and other related companies. Historical stock price performance is not necessarily indicative of future stock price performance.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222885</wp:posOffset>
            </wp:positionV>
            <wp:extent cx="4124960" cy="2478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496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2002</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2003</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2004</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2005</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2006</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2007</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$132</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$129</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$161</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$144</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Peer Group</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$181</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$142</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$150</w:t>
            </w: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$169</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$160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Nasdaq</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$150</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$163</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$167</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$184</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selected financial data should be read in conjunction with Cohu’s Consolidated Financial Statements and Notes thereto included in Item 15 and with Management’s Discussion and Analysis of Financial Condition and Results of Operations, included in Item 7. As a result of the divestiture of FRL, we are reporting FRL as a discontinued operation for all periods presented. See Note 2 of the Notes to Consolidated Financial Statements for further discussion of the sale of FRL. In March, 2007, we purchased Tandberg Television AVS GmbH (“AVS”). The results of AVS’ operations have been included in our consolidated financial statements since that date. In March, 2006, we purchased certain intellectual property, fixed assets, inventory and a customer contract of Unisys’ Unigen operation. The results of Unigen’s operations have been included in our consolidated financial statements since that date.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w w:val="95"/>
              </w:rPr>
              <w:t>Dec. 29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30</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2004</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241,389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270,106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231,382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169,913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133,004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34,255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Net income (loss)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Income from continuing operations per common share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Income from continuing operations per common share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paid quarterly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Consolidated 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consolidated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340,379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326,339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306,977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250,768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224,906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234,345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225,520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206,295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174,493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148,897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8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1, 2006, we adopted the provisions of FASB Statement No. 123R which requires the measurement and recognition of all share-based compensation under the fair value method. Total share-based compensation recorded in the years ended December 29, 2007 and December 30, 2006 under FASB Statement No. 123R was approximately $4.1 million and $3.6 million, respectively. No share-based compensation expense was recorded in the years ended December 31, 2003 — 2005.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primary business activity involves the development, manufacture, marketing, sale and servicing of test handling and burn-in related equipment and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trends in demand. We expect that the semiconductor equipment industry will continue to be cyclical and volatile as consumer electronics, rather than personal computers, are now the principal end market for integrated circuits. Demand for consumer electronic products is unpredictable and product life cycles are becoming shorter. Integrated circuit manufacturers are unwilling to absorb the carrying costs of excess capacity, and as a result, delay placing large orders with equipment suppliers until business conditions improve. Changes in the semiconductor, electronics, computer and telecommunications industries, as well as rapidly shifting global economic conditions, have had and will continue to have a significant impact on our primary business.</w:t>
      </w:r>
    </w:p>
    <w:p>
      <w:pPr>
        <w:spacing w:after="0" w:line="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After several years of order growth, orders for our test handling and burn-in related equipment began to decline in the second half of 2006 and this softness carried into 2007. Conditions in the semiconductor equipment industry were generally weak in 2007 and, although we have seen some improvement in forecasts from certain customers, we do not expect any significant improvement in business conditions over the near term.</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result of the volatility within the industry the composition of orders and revenues of our primary business changed dramatically in 2007 as semiconductor test handler and burn-in equipment orders declined significantly and orders for thermal sub-systems increased. This shift in product mix and other factors described herein led to a decline in our gross margin during 2007. To address this decline we will continue to focus on reducing product costs and overall spending, while we develop new product offerings for the test handler and burn-in markets.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deferred revenue totaled $9.2 million and $22.0 million at December 29, 2007 and December 30, 2006, respectively. The decrease in deferred revenue is the result of the recognition of revenue for certain semiconductor equipment product sales, including thermal sub-systems used in burn-in for which customer acceptance was obtained during 2007. The deferred revenue amounts recognized were partially offset by additional deferrals of semiconductor equipment product sales.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operating results in the last three years have been impacted by charges to cost of sales related to excess, obsolete and lower of cost or market inventory issues. These charges totaled approximately $20.7 million during the three-year period ended December 29, 2007 (approximately $4.6 million in 2007) and were primarily the result of decreases in customer forecasts, competitive conditions in the test handler industry and, to a lesser extent, changes in our sales product mix.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other operating costs consist of research and development (“R&amp;D”) and selling, general and administrative expenses (“SG&amp;A”). The decrease in SG&amp;A expense in 2007 was primarily a result of lower costs in our semiconductor equipment business resulting from lower business volumes partially offset by additional costs incurred by our microwave communications business resulting from the March 2007 acquisition of AVS, and increased legal costs.</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non-semiconductor equipment businesses have comprised approximately 15% of our consolidated revenues during the last three years. During 2007, our television camera and microwave communications businesses underperformed and generated losses from operations of $1.7 million and $1.8 million respectively. During 2007 we implemented strategies which we believe will help improve the profitability of these businesses. These initiatives include the introduction of new product and a strategic acquisition.</w:t>
      </w:r>
    </w:p>
    <w:p>
      <w:pPr>
        <w:spacing w:after="0" w:line="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financial condition is strong with significant cash and short-term investments and no long-term debt. During the three-year period ended December 29, 2007, total cash and investments increased from $116.5 million at December 31, 2004 to $170.1 million at December 29, 2007.</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(iv) industry data and trends noted in various publicly available sources; and (v) competitive factors and information.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are more fully described in our Consolidated Financial Statements included in Item 15 of this Annual Report on Form 10-K for the fiscal year ended December 29, 2007, that we believe are the most important to an investor’s understanding of our financial results and condition and require complex management judgment include:</w:t>
      </w:r>
    </w:p>
    <w:p>
      <w:pPr>
        <w:spacing w:after="0" w:line="7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revenue recognition, including the deferral of revenue on sales to customers, which impacts our results from operations;</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estimation of valuation allowances and accrued liabilities, specifically product warranty, inventory reserves and allowance for doubtful accounts, which impact gross margin or operating expenses;</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recognition and measurement of current and deferred income tax assets and liabilities and unrecognized tax benefits, which impact our tax provision;</w:t>
      </w:r>
    </w:p>
    <w:p>
      <w:pPr>
        <w:spacing w:after="0" w:line="75"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assessment of recoverability of long-lived assets, which primarily impacts gross margin or operating expenses if we are required to record impairments of assets or accelerate their depreciation;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have other policies that we consider key accounting policies; however, these policies typically do not require us to make estimates or judgments that are difficult or subjective.</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On January 1, 2006, we adopted the provisions of FASB Statement No. 123 (revised 2004),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Share-based Payment</w:t>
      </w:r>
      <w:r>
        <w:rPr>
          <w:rFonts w:ascii="Arial" w:cs="Arial" w:eastAsia="Arial" w:hAnsi="Arial"/>
          <w:sz w:val="16"/>
          <w:szCs w:val="16"/>
          <w:color w:val="auto"/>
        </w:rPr>
        <w:t>,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123R”) and SEC Staff Accounting Bulletin No. 107, (“SAB No. 107”) requiring the measurement and recognition of all share-based compensation under the fair value method. During fiscal 2006, we began recognizing share-based compensation, under Statement No. 123R, for all awards granted in fiscal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 123R, we applied the provisions of SAB No. 107 in developing our methodologies to estimate our Black-Scholes model inputs for certain options granted in 2006.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No. 107’s simplified method for estimating the expected term of share-based awards granted during the first six months of fiscal 2006. During the third quarter of fiscal 2006 we granted options with a ten-year contractual term and utilized historical option exercise data for estimating the expected life of those awards. Statement No. 123R also requires that estimated forfeitures be included as a part of the grant date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29, 2007, excluding a reduction for forfeitures, we had approximately $3.7 million and $5.7 million of pre-tax unrecognized compensation cost related to unvested stock options and unvested restricted stock units which is expected to be recognized over a weighted-average period of approximately 2.3 years and 3.3 years, respectively.</w:t>
      </w:r>
    </w:p>
    <w:p>
      <w:pPr>
        <w:spacing w:after="0" w:line="73"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46" w:lineRule="exact"/>
        <w:rPr>
          <w:sz w:val="20"/>
          <w:szCs w:val="20"/>
          <w:color w:val="auto"/>
        </w:rPr>
      </w:pPr>
    </w:p>
    <w:p>
      <w:pPr>
        <w:ind w:right="80" w:firstLine="8"/>
        <w:spacing w:after="0" w:line="268"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current tax exposure; (ii) temporary differences that result from differing treatment of certain items for tax and accounting purposes and (iii) unrecognized tax benefits. Temporary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unrecognized tax benefits and any valuation allowance to be recorded against net deferred tax assets. Our gross deferred tax asset balance as of December 29, 2007 was $27.2 million, with a valuation allowance of $2.4 million for state tax credit and loss carryforwards. The deferred tax assets consist primarily of deductible temporary differences and tax credit and net operating loss carryforwards.</w:t>
      </w:r>
    </w:p>
    <w:p>
      <w:pPr>
        <w:spacing w:after="0" w:line="7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At December 29, 2007, intangible assets other than goodwill were evaluated for impairment using undiscounted cash flows expected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 from the use of the assets as required by FASB Statement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(“Statement No. 144”), and we concluded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there was no impairment loss. We are required to assess goodwill impairment using the methodology prescribed by FASB Statement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(“Statement No. 142”). Statement No. 142 requires that goodwill be tested for impairment on an annual basis and more frequently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The required annual goodwill impairment test is performed as of October 1</w:t>
      </w:r>
      <w:r>
        <w:rPr>
          <w:rFonts w:ascii="Arial" w:cs="Arial" w:eastAsia="Arial" w:hAnsi="Arial"/>
          <w:sz w:val="15"/>
          <w:szCs w:val="15"/>
          <w:color w:val="auto"/>
        </w:rPr>
        <w:t>st</w:t>
      </w:r>
      <w:r>
        <w:rPr>
          <w:rFonts w:ascii="Arial" w:cs="Arial" w:eastAsia="Arial" w:hAnsi="Arial"/>
          <w:sz w:val="18"/>
          <w:szCs w:val="18"/>
          <w:color w:val="auto"/>
        </w:rPr>
        <w:t xml:space="preserve"> of each year. We did not recognize any goodwill impairment as a result of performing this annual test in fiscal 2007, 2006 and 2005.</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December 2007, the FASB issued Statement No. 141(Revised 2007),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141R”), which establishes principles and requirements for the reporting entity in a business combination, including recognition and measurement in the financial statements of the identifiable assets acquired, the liabilities assumed, and any non-controlling interest in the acquiree. This statement also establishes disclosure requirements to enable financial statement users to evaluate the nature and financial effects of the business combination. Statement No. 141R applies prospectively to business combinations for which the acquisition date is on or after the beginning of the first annual reporting period beginning on or after December 15, 2008, and interim periods within those fiscal years. Statement No. 141R will become effective for our fiscal year beginning in 2009. We are currently evaluating the effect the adoption of Statement No. 141R could have on our consolidated financial statements, if any.</w:t>
      </w:r>
    </w:p>
    <w:p>
      <w:pPr>
        <w:spacing w:after="0" w:line="5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February 2007, the FASB issued Statement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(“Statement No. 159”). Statement No. 159 expands the use of fair value measurement by permitting entities to choose to measure many financial instruments and certain other items at fair value that are not currently required to be measured at fair value. This statement is effective for us on December 30, 2007, the first day of our 2008 fiscal year. We have not yet determined if we will elect to measure any items at fair value under Statement No. 159.</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2006, the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(“Statement No. 157”), which defines fair value, establishes a framework for measuring fair value in GAAP, and expands disclosures about fair value measurements. Statement No. 157 does not require any new fair value measurements, but provides guidance on how to measure fair value by providing a fair value hierarchy used to classify the source of the information. This statement is effective for financial statements issued for fiscal years beginning after November 15, 2007, and interim periods within those fiscal years. This statement is effective for us on December 30, 2007, the first day of our 2008 fiscal year. We are evaluating whether adoption of this statement will result in a change to our fair value measurements.</w:t>
      </w:r>
    </w:p>
    <w:p>
      <w:pPr>
        <w:spacing w:after="0" w:line="8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September 2006, the SEC issued Staff Accounting Bulletin (“SAB”) No.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in Current Year Financial Statements” </w:t>
      </w:r>
      <w:r>
        <w:rPr>
          <w:rFonts w:ascii="Arial" w:cs="Arial" w:eastAsia="Arial" w:hAnsi="Arial"/>
          <w:sz w:val="16"/>
          <w:szCs w:val="16"/>
          <w:color w:val="auto"/>
        </w:rPr>
        <w:t>(“SAB 108”). SAB 108 requires analysis of misstatements using both an income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(rollover) approach and a balance sheet (iron curtain) approach in assessing materiality and provides for a one-time cumulative effect transition adjustment. SAB 108 was effective for our fiscal year 2007. The adoption of SAB 108 had no impact on our results of operations, financial position or cash flows.</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2006, the FASB issued FIN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FIN 48 prescribes the recognition threshold and measurement criteria for determining the tax benefit amounts to recognize in the financial statements. FIN 48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deferred income tax accounts, and are classified as current or long-term based on the time until expected payment. We adopted the provisions of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June 2006, the FASB reached a consensus on Emerging Issues Task Force (“EITF”) Issue No. 06-3, </w:t>
      </w:r>
      <w:r>
        <w:rPr>
          <w:rFonts w:ascii="Arial" w:cs="Arial" w:eastAsia="Arial" w:hAnsi="Arial"/>
          <w:sz w:val="16"/>
          <w:szCs w:val="16"/>
          <w:i w:val="1"/>
          <w:iCs w:val="1"/>
          <w:color w:val="auto"/>
        </w:rPr>
        <w:t>How Taxes Collected from Customers and Remitted to</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Governmental Authorities Should Be Presented in the Income Statement (That Is, Gross versus Net Presentation)</w:t>
      </w:r>
      <w:r>
        <w:rPr>
          <w:rFonts w:ascii="Arial" w:cs="Arial" w:eastAsia="Arial" w:hAnsi="Arial"/>
          <w:sz w:val="16"/>
          <w:szCs w:val="16"/>
          <w:color w:val="auto"/>
        </w:rPr>
        <w:t>, (“EITF 06-03”). EITF 06-3 indicates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statement presentation on either a gross basis or a net basis of the taxes within the scope of the issue is an accounting policy decision that should be disclosed. EITF 06-3 is effective for interim and annual periods beginning after December 15, 2006. The adoption of EITF 06-3 did not change our policy of presenting taxes within the scope of EITF 06-3 on a net basis and had no impact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three-year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(67.4)</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(15.9)</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Gain on sale of facilities</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May, 2006, we sold our metal detection equipment business, FRL. Subsequent to the sale, the operating results of FRL are being presented as discontinued operations and the consolidated financial statements for all prior periods have been reclassified accordingly. Unless otherwise indicated, the discussion and amounts provided in the “Results of Operations” section and elsewhere in this Annual Report on Form 10-K relate to continuing operations only.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net sales decreased 10.6% to $241.4 million in 2007, compared to net sales of $270.1 million in 2006. Sales of semiconductor equipment in 2007 decreased 10.7% from the comparable 2006 period and accounted for 84.1% of consolidated net sales versus 84.2% in 2006. The primary cause of the decrease in sales of semiconductor equipment was a result of a decline in orders for our test handling and burn-in related equipment which began in the second half of 2006 and carried into 2007. Conditions in the back-end semiconductor equipment industry were generally weak in 2007. At Delta, these underlying and challenging industry dynamics were intensified by a sharp decline in orders for our highest-margin product, the Summit handler. The decline in semiconductor test handler and burn-in equipment orders was partially offset by the success of our new thermal sub-system that began shipping during 2007; however, this thermal sub-system has a much lower selling price and gross margin than our Summit test handler.</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Sales of television cameras accounted for 6.8% of net sales in 2007 and decreased 10.7% when compared to the same period of 2006. The primary cause of this decrease in sales is a result of decreased demand for our traffic camera products in transportation related applications.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Sales of microwave communications equipment accounted for 9.1% of net sales in 2007 and decreased 10.1% when compared to 2006. During 2007 we saw an increase in demand for our microwave communications products primarily as a result of the acquisition of AVS in March 2007 and strong demand from government agencies, however, total sales recognized by this segment decreased in 2007 due to the recognition of approximately $7.9 million in revenue associated with our contract with the UAE that was accepted and paid in the third quarter of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utilization of manufacturing capacity. Our gross margin, as a percentage of net sales, decreased to 32.6% in 2007 from 34.4% in 2006. Our lower gross margin in 2007 was the result of lower margins in our semiconductor equipment business due to a change in product mix from our thermal test handlers to thermal sub-system products. Our thermal sub-system products have significantly lower gross margins than our thermal test handlers. Based on current customer forecasts, we expect this trend to continue in the future and, as a result, our gross margin could continue to be impacted. To address the decrease in gross margin we are focusing on reducing product costs and overall spending.</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a shift in product mix, our gross margin has been impacted by charges to cost of sales related to excess, obsolete and lower of cost or market inventory issues and higher warranty costs associated with certain test handlers. We compute the majority of our excess and obsolete inventory reserve requirements using a one-year inventory usage forecast. During 2007 and 2006, we recorded net charges to cost of sales of approximately $4.6 million and $10.0 million, respectively, for excess and obsolete inventory. Approximately $4.6 million of the charge recorded during 2006 was a result of a decline in customer forecasts for a burn-in system, acquired from Unigen, which negatively impacted our forecasted inventory usage. While we believe our reserves for excess and obsolete inventory and lower of cost or market concerns are adequate to cover our known exposures at December 29, 2007,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R&amp;D expense consists primarily of salaries and related costs of employees engaged in ongoing research, product design and development activities, costs of engineering materials and supplies, and professional consulting expenses. R&amp;D expense as a percentage of net sales was 15.9% in 2007, compared to 14.5% in 2006, decreasing from $39.1 million in 2006 to $38.3 million in 2007. Decreased R&amp;D expense in 2007 was primarily a result of decreased labor and material costs within our semiconductor equipment and television camera businesses of approximately $1.3 million and $0.5 million, respectively, offset by an additional $1.0 million of R&amp;D related costs incurred by our microwave communications business resulting from the March 2007 acquisition of AVS, and other costs associated with new product development within that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was 15.0% in 2007, compared to 13.7% in 2006, decreasing from $37.1 million in 2006 to $36.2 million in 2007. The decrease in SG&amp;A expense in 2007 was primarily a result of: a $2.2 million decline in costs incurred by our semiconductor equipment business resulting from lower business volume due to the weak business conditions that existed within the back-end semiconductor equipment industry during 2007; a $0.2 million decrease in costs incurred by our television camera business due to lower sales in 2007; and $0.5 million in decreased administrative costs within our corporate organization. These reductions were offset by an additional $1.9 million of SG&amp;A related costs incurred by our microwave communications business resulting from the March 2007 acquisition of AVS, and increased legal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income was approximately $8.4 million and $6.7 million in 2007 and 2006, respectively. The increase in interest income resulted from an increase in our average cash and cash equivalents and investment balances and higher interest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expressed as a percentage of pre-tax income was 36.8% in 2007 and 29.5% in 2006. The provision for income taxes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29, 2007 differs from the U.S. federal statutory rate primarily due to research and development tax credits, the effect of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123R that does not allow deferred tax benefits to be recognized on compensation expense related to incentive stock options and employee stock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 and an increase in the valuation allowance on deferred tax assets.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Realization of our deferred tax assets is based upon the weight of all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FASB Statement No.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(“Statement No. 109”), net deferred tax assets are reduced by a valuation allowance if it is more likely than not that some or all of the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will not be realized. A valuation allowance of approximately $2.4 million and $1.6 million was provided on deferred tax assets at December 29, 2007 and December 30, 2006, respectively, for state tax credit and net operating loss carryforwards that, in the opinion of management, are more likely than not to expire before we can use them.</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We have derived significant tax benefits from research and development tax credits. The federal research and development tax credit expired on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2007 and it is uncertain when or if this tax credit will be extended. If the credit is not extended, our income tax expense and effective tax rate in future periods will be adversely impacted.</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2007 the IRS commenced a routine examination of our U.S. income tax return for 2005. This examination is expected to be completed in 2008. We believe it is reasonably possible that a portion of our total unrecognized tax benefits will decrease in the next 12 months upon the conclusion of the examination or the lapse of the applicable statute of limitations. However, it is premature to assess the range or the nature of the reasonably possible changes to our unrecognized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May, 2006, we sold the land and building previously used by our operations in Littleton, Massachusetts. The property was sold for $6.5 million in cash, less related costs, resulting in a net pretax gain of approximately $3.0 million that was recognized in 2006.</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$1.4 million that was recorded in 2006. Amounts incurred in 2007 related to the disposition were not significant.</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$8.0 million in 2007, compared to $18.6 million in 2006. Our net income was $8.0 million in 2007, compared to $17.7 million in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Compared to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net sales increased 16.7% to $270.1 million in 2006, compared to net sales of $231.4 million in 2005. Sales of semiconductor equipment in 2006 increased 13.3% from the comparable 2005 period and accounted for 84.2% of consolidated net sales in 2006 versus 86.8% in 2005. The primary reasons for the increase in sales of our semiconductor equipment business were increased sales of our high-speed test handlers and a burn-in system acquired in the Unigen transaction. Semiconductor equipment was a lower percentage of consolidated sales in 2006 primarily as a result of the recognition of $7.9 million in revenue from our contract with the UAE for microwave communications equipment.</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of television cameras and other equipment accounted for 6.8% of net sales in 2006 and increased 2.8% when compared to the same period in 2005. The primary reason for the increase in sales of our television camera business was increased demand for board level cameras from original equipment manufacturers and increased demand for closed circuit security cameras.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Sales of microwave equipment accounted for 9.0% of net sales in 2006 and increased 90.4% when compared to 2005. The increase in sales of our microwave communications business was primarily attributable to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recognition of approximately $7.9 million in revenue associated with our contract with the UAE that was accepted and paid in 2006 and increased demand for our other products during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gross margin, as a percentage of net sales, decreased to 34.4% in 2006 from 40.1% in 2005. The decrease was the result of lower margins in our semiconductor equipment and microwave communications businesses. During 2006, high-speed test handlers accounted for a greater percentage of revenue than in fiscal 2005. Our high-speed test handlers have significantly lower gross margins than our advanced thermal test handlers. Additionally, during 2006 we recognized $12.9 million in revenue for a burn-in system, acquired from Unigen, which generated a gross margin of approximately 20%. Our consolidated gross margin was also negatively impacted when our microwave communications business recognized approximately $7.9 million in revenue associated with its contract with the UAE which generated a gross margin of approximately 20%. The remaining revenue of $1.0 million and associated profit under this contract will be recognized upon completion of the two-year warranty period and release from our obligation under a standby letter of credit. Additionally, during 2006, we recorded approximately $0.4 million in share-based compensation expense as a result of our adoption of Statement No. 123R.</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and in 2006 higher warranty costs associated with certain test handlers. We compute the majority of our excess and obsolete inventory reserve requirements using a one-year inventory usage forecast. During 2006 and 2005, we recorded net charges to cost of sales of approximately $10.0 million and $6.1 million, respectively, for excess and obsolete inventory. Approximately $4.6 million of the charge recorded during 2006 was the result of a decline in customer forecasts for a burn-in system, acquired from Unigen.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R&amp;D expense as a percentage of net sales was 14.5% in 2006, compared to 12.6% in 2005, increasing from $29.1 million in fiscal 2005 to $39.1 million in fiscal 2006. Higher R&amp;D expense in 2006 was primarily a result of increased engineering headcount and overhead costs as a result of our Unigen acquisition and labor and material costs for new product development within our semiconductor equipment business. Additionally, during 2006, we recorded approximately $1.0 million in share-based compensation expense as a result of our adoption of Statement No. 123R.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SG&amp;A expense as a percentage of net sales decreased to 13.7% in 2006, from 14.2% in 2005, increasing in absolute dollars from $32.9 million in 2005 to $37.1 million in 2006. The increase in SG&amp;A expense was primarily related to increased business volume, and recognition of deferred costs associated with our microwave communications contract with the UAE. Additionally, during 2006, we recorded approximately $2.2 million in share-based compensation expense as a result of our adoption of Statement No. 123R.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was approximately $6.7 million and $3.9 million in fiscal 2006 and 2005, respectively. The increase in interest income resulted from higher interest rates and an increase in our average cash and cash equivalents and short-term investment balances in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provision for income taxes expressed as a percentage of pre-tax income was 29.5% in 2006 and 1.4% in 2005. The provision for income taxes for the year ended December 30, 2006 is less than the U.S. federal statutory rate primarily due to research and development tax credits, export sales benefits and the domestic manufacturing deduction offset by the effect of Statement No. 123R that does not allow deferred tax benefits to be recognized on compensation expense related to incentive stock options and employee stock purchase plans. The tax provision for the year ended December 31, 2005 includes a reduction in the valuation allowance on deferred tax assets of approximately $5.1 million. Other factors that reduced our 2005 effective tax rate below the U.S. federal statutory rate included tax credits, export sales benefits and the reversal of approximately $3.1 million in accrued income taxes related to a tax examination completed in March 2005.</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$18.6 million in 2006, compared to $34.3 million in 2005. Our net income was $17.7 million in 2006, compared to $34.0 million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and volatile. We have implemented cost reduction programs aimed at aligning our ongoing operating costs with our currently expected revenues over the near term. These cost management initiatives include consolidating facilities, reductions to headcount and reduced spending. The cyclical and volatile nature of our industry makes estimates of future revenues, results of operations and net cash flows difficult.</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240" w:type="dxa"/>
            <w:vAlign w:val="bottom"/>
          </w:tcPr>
          <w:p>
            <w:pPr>
              <w:jc w:val="right"/>
              <w:ind w:right="379"/>
              <w:spacing w:after="0"/>
              <w:rPr>
                <w:sz w:val="20"/>
                <w:szCs w:val="20"/>
                <w:color w:val="auto"/>
              </w:rPr>
            </w:pPr>
            <w:r>
              <w:rPr>
                <w:rFonts w:ascii="Arial" w:cs="Arial" w:eastAsia="Arial" w:hAnsi="Arial"/>
                <w:sz w:val="14"/>
                <w:szCs w:val="14"/>
                <w:color w:val="auto"/>
              </w:rPr>
              <w:t>December 29,</w:t>
            </w:r>
          </w:p>
        </w:tc>
        <w:tc>
          <w:tcPr>
            <w:tcW w:w="1740" w:type="dxa"/>
            <w:vAlign w:val="bottom"/>
          </w:tcPr>
          <w:p>
            <w:pPr>
              <w:jc w:val="right"/>
              <w:ind w:right="379"/>
              <w:spacing w:after="0"/>
              <w:rPr>
                <w:sz w:val="20"/>
                <w:szCs w:val="20"/>
                <w:color w:val="auto"/>
              </w:rPr>
            </w:pPr>
            <w:r>
              <w:rPr>
                <w:rFonts w:ascii="Arial" w:cs="Arial" w:eastAsia="Arial" w:hAnsi="Arial"/>
                <w:sz w:val="14"/>
                <w:szCs w:val="14"/>
                <w:color w:val="auto"/>
              </w:rPr>
              <w:t>December 30,</w:t>
            </w:r>
          </w:p>
        </w:tc>
        <w:tc>
          <w:tcPr>
            <w:tcW w:w="1520" w:type="dxa"/>
            <w:vAlign w:val="bottom"/>
          </w:tcPr>
          <w:p>
            <w:pPr>
              <w:spacing w:after="0"/>
              <w:rPr>
                <w:sz w:val="14"/>
                <w:szCs w:val="14"/>
                <w:color w:val="auto"/>
              </w:rPr>
            </w:pPr>
          </w:p>
        </w:tc>
        <w:tc>
          <w:tcPr>
            <w:tcW w:w="128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67"/>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2007</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2006</w:t>
            </w:r>
          </w:p>
        </w:tc>
        <w:tc>
          <w:tcPr>
            <w:tcW w:w="15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Increase</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r>
      <w:tr>
        <w:trPr>
          <w:trHeight w:val="209"/>
        </w:trPr>
        <w:tc>
          <w:tcPr>
            <w:tcW w:w="46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240" w:type="dxa"/>
            <w:vAlign w:val="bottom"/>
          </w:tcPr>
          <w:p>
            <w:pPr>
              <w:jc w:val="right"/>
              <w:ind w:right="479"/>
              <w:spacing w:after="0"/>
              <w:rPr>
                <w:sz w:val="20"/>
                <w:szCs w:val="20"/>
                <w:color w:val="auto"/>
              </w:rPr>
            </w:pPr>
            <w:r>
              <w:rPr>
                <w:rFonts w:ascii="Arial" w:cs="Arial" w:eastAsia="Arial" w:hAnsi="Arial"/>
                <w:sz w:val="18"/>
                <w:szCs w:val="18"/>
                <w:color w:val="auto"/>
              </w:rPr>
              <w:t>$170,118</w:t>
            </w:r>
          </w:p>
        </w:tc>
        <w:tc>
          <w:tcPr>
            <w:tcW w:w="1740" w:type="dxa"/>
            <w:vAlign w:val="bottom"/>
          </w:tcPr>
          <w:p>
            <w:pPr>
              <w:jc w:val="right"/>
              <w:ind w:right="479"/>
              <w:spacing w:after="0"/>
              <w:rPr>
                <w:sz w:val="20"/>
                <w:szCs w:val="20"/>
                <w:color w:val="auto"/>
              </w:rPr>
            </w:pPr>
            <w:r>
              <w:rPr>
                <w:rFonts w:ascii="Arial" w:cs="Arial" w:eastAsia="Arial" w:hAnsi="Arial"/>
                <w:sz w:val="18"/>
                <w:szCs w:val="18"/>
                <w:color w:val="auto"/>
              </w:rPr>
              <w:t>$147,916</w:t>
            </w:r>
          </w:p>
        </w:tc>
        <w:tc>
          <w:tcPr>
            <w:tcW w:w="1520" w:type="dxa"/>
            <w:vAlign w:val="bottom"/>
          </w:tcPr>
          <w:p>
            <w:pPr>
              <w:jc w:val="right"/>
              <w:ind w:right="396"/>
              <w:spacing w:after="0"/>
              <w:rPr>
                <w:sz w:val="20"/>
                <w:szCs w:val="20"/>
                <w:color w:val="auto"/>
              </w:rPr>
            </w:pPr>
            <w:r>
              <w:rPr>
                <w:rFonts w:ascii="Arial" w:cs="Arial" w:eastAsia="Arial" w:hAnsi="Arial"/>
                <w:sz w:val="18"/>
                <w:szCs w:val="18"/>
                <w:color w:val="auto"/>
              </w:rPr>
              <w:t>$22,202</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15.0%</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Working capital</w:t>
            </w:r>
          </w:p>
        </w:tc>
        <w:tc>
          <w:tcPr>
            <w:tcW w:w="2240" w:type="dxa"/>
            <w:vAlign w:val="bottom"/>
          </w:tcPr>
          <w:p>
            <w:pPr>
              <w:jc w:val="right"/>
              <w:ind w:right="479"/>
              <w:spacing w:after="0"/>
              <w:rPr>
                <w:sz w:val="20"/>
                <w:szCs w:val="20"/>
                <w:color w:val="auto"/>
              </w:rPr>
            </w:pPr>
            <w:r>
              <w:rPr>
                <w:rFonts w:ascii="Arial" w:cs="Arial" w:eastAsia="Arial" w:hAnsi="Arial"/>
                <w:sz w:val="18"/>
                <w:szCs w:val="18"/>
                <w:color w:val="auto"/>
              </w:rPr>
              <w:t>234,345</w:t>
            </w:r>
          </w:p>
        </w:tc>
        <w:tc>
          <w:tcPr>
            <w:tcW w:w="1740" w:type="dxa"/>
            <w:vAlign w:val="bottom"/>
          </w:tcPr>
          <w:p>
            <w:pPr>
              <w:jc w:val="right"/>
              <w:ind w:right="479"/>
              <w:spacing w:after="0"/>
              <w:rPr>
                <w:sz w:val="20"/>
                <w:szCs w:val="20"/>
                <w:color w:val="auto"/>
              </w:rPr>
            </w:pPr>
            <w:r>
              <w:rPr>
                <w:rFonts w:ascii="Arial" w:cs="Arial" w:eastAsia="Arial" w:hAnsi="Arial"/>
                <w:sz w:val="18"/>
                <w:szCs w:val="18"/>
                <w:color w:val="auto"/>
              </w:rPr>
              <w:t>225,520</w:t>
            </w:r>
          </w:p>
        </w:tc>
        <w:tc>
          <w:tcPr>
            <w:tcW w:w="1520" w:type="dxa"/>
            <w:vAlign w:val="bottom"/>
          </w:tcPr>
          <w:p>
            <w:pPr>
              <w:jc w:val="right"/>
              <w:ind w:right="396"/>
              <w:spacing w:after="0"/>
              <w:rPr>
                <w:sz w:val="20"/>
                <w:szCs w:val="20"/>
                <w:color w:val="auto"/>
              </w:rPr>
            </w:pPr>
            <w:r>
              <w:rPr>
                <w:rFonts w:ascii="Arial" w:cs="Arial" w:eastAsia="Arial" w:hAnsi="Arial"/>
                <w:sz w:val="18"/>
                <w:szCs w:val="18"/>
                <w:color w:val="auto"/>
              </w:rPr>
              <w:t>8,825</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3.9%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generated from operating activities consists of net income, adjusted for non-cash expenses and changes in operating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Non-cash items include depreciation and amortization; non-cash share-based compensation expense; and deferred income taxes. Our net cash flows provided from operating activities in 2007 totaled $33.8 million compared to $12.5 million in 2006. The increase in cash provided by operating activities was primarily due to the change in current assets and liabilities and included a decrease in accounts receivable and inventories of $4.8 million and $6.8 million, respectively and an increase in accounts payable of $8.6 million. The decrease in accounts receivable was primarily due to cash collections made during 2007 and decreased business volume within our semiconductor equipment business. The decrease in inventory was a result of decreased order backlog within our semiconductor equipment business and our ongoing efforts to reduce inventory levels. The increase in accounts payable was a result of the timing of cash payments primarily within our semiconductor equipment business.</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Investing cash flows consist primarily of cash used for capital expenditures in support of our businesses, proceeds from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asset disposals and divestitures, and cash used for purchases of investments and business acquisitions. Our net cash provided from investing activities in 2007 totaled $19.6 million and was primarily the result of $183.0 million in net proceeds from sales and maturities of short-term investments, offset by $152.6 million in cash used for purchases of short-term investments. We invest our excess cash, in an attempt to seek the highest available return while preserving capital, in short-term investments since excess cash is only temporarily available and may be required for a business-related purpose. Other expenditures in 2007 included the purchase of AVS for $8.2 million and purchases of property, plant and equipment of $2.4 million. The acquisition of AVS was a strategic transaction to expand our digital microwave communications solutions, especially in high definition broadcast television and public safety and law enforcement applications within our microwave communications equipment business. The purchases of property, plant and equipment were primarily made to support activities in our semiconductor equipment business and consisted primarily of equipment used in engineering, manufacturing and related functions.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from financing activities consist primarily of net proceeds from the issuance of common stock under our stock option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stock purchase plans which totaled $3.9 million during 2007. We issue stock options and maintain an employee stock purchase plan as components of our overall employee compensation. We declared and paid dividends totaling $5.5 million, or $0.24 per common share, during 2007. On January 31, 2008, we announced a cash dividend of $0.06 per share on our common stock, payable on, April 25, 2008 to stockholders of record as of March 11, 2008. We intend to continue to pay quarterly dividends subject to capital availability and periodic determinations by our Board of Directors that cash dividends are in the best interests of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May, 2007, we renewed our $5.0 million unsecured bank line of credit bearing interest at the bank’s prime rate. The line of credit will expire in July, 2008, and requires that we maintain specified minimum levels of net worth, limits the amount of our capital expenditures and requires us to meet certain other financial covenants. We are currently in compliance with these covenants. No borrowings were outstanding at December 29, 2007; however, approximately $1.3 million of the credit facility was allocated to standby letters of credit at December 29, 2007, leaving the balance of $3.7 million available for future borrowings.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t>
      </w:r>
      <w:r>
        <w:rPr>
          <w:rFonts w:ascii="Arial" w:cs="Arial" w:eastAsia="Arial" w:hAnsi="Arial"/>
          <w:sz w:val="18"/>
          <w:szCs w:val="18"/>
          <w:b w:val="1"/>
          <w:bCs w:val="1"/>
          <w:i w:val="1"/>
          <w:iCs w:val="1"/>
          <w:color w:val="auto"/>
        </w:rPr>
        <w:t>ntractual Obligations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summarizes our significant contractual obligations at December 29, 2007, and the effect such obligations are expected to have on our liquidity and cash flows in future periods. This table excludes amounts already recorded on our balance sheet as current liabilities at December 29, 2007. Amounts excluded include our liability for unrecognized tax benefits that totaled approximately $4.8 million at December 29, 2007. We are currently unable to provide a reasonably reliable estimate of the amount or periods cash settlement of this liability may occur.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2008</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2009</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2010</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2011</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141"/>
        </w:trPr>
        <w:tc>
          <w:tcPr>
            <w:tcW w:w="2940" w:type="dxa"/>
            <w:vAlign w:val="bottom"/>
          </w:tcPr>
          <w:p>
            <w:pPr>
              <w:spacing w:after="0" w:line="141" w:lineRule="exact"/>
              <w:rPr>
                <w:sz w:val="20"/>
                <w:szCs w:val="20"/>
                <w:color w:val="auto"/>
              </w:rPr>
            </w:pPr>
            <w:r>
              <w:rPr>
                <w:rFonts w:ascii="Arial" w:cs="Arial" w:eastAsia="Arial" w:hAnsi="Arial"/>
                <w:sz w:val="14"/>
                <w:szCs w:val="14"/>
                <w:i w:val="1"/>
                <w:iCs w:val="1"/>
                <w:color w:val="auto"/>
              </w:rPr>
              <w:t>(in thousands)</w:t>
            </w: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1620" w:type="dxa"/>
            <w:vAlign w:val="bottom"/>
          </w:tcPr>
          <w:p>
            <w:pPr>
              <w:jc w:val="right"/>
              <w:ind w:right="439"/>
              <w:spacing w:after="0"/>
              <w:rPr>
                <w:sz w:val="20"/>
                <w:szCs w:val="20"/>
                <w:color w:val="auto"/>
              </w:rPr>
            </w:pPr>
            <w:r>
              <w:rPr>
                <w:rFonts w:ascii="Arial" w:cs="Arial" w:eastAsia="Arial" w:hAnsi="Arial"/>
                <w:sz w:val="18"/>
                <w:szCs w:val="18"/>
                <w:color w:val="auto"/>
              </w:rPr>
              <w:t>$1,345</w:t>
            </w:r>
          </w:p>
        </w:tc>
        <w:tc>
          <w:tcPr>
            <w:tcW w:w="1380" w:type="dxa"/>
            <w:vAlign w:val="bottom"/>
          </w:tcPr>
          <w:p>
            <w:pPr>
              <w:jc w:val="right"/>
              <w:ind w:right="439"/>
              <w:spacing w:after="0"/>
              <w:rPr>
                <w:sz w:val="20"/>
                <w:szCs w:val="20"/>
                <w:color w:val="auto"/>
              </w:rPr>
            </w:pPr>
            <w:r>
              <w:rPr>
                <w:rFonts w:ascii="Arial" w:cs="Arial" w:eastAsia="Arial" w:hAnsi="Arial"/>
                <w:sz w:val="18"/>
                <w:szCs w:val="18"/>
                <w:color w:val="auto"/>
              </w:rPr>
              <w:t>$376</w:t>
            </w:r>
          </w:p>
        </w:tc>
        <w:tc>
          <w:tcPr>
            <w:tcW w:w="1380" w:type="dxa"/>
            <w:vAlign w:val="bottom"/>
          </w:tcPr>
          <w:p>
            <w:pPr>
              <w:jc w:val="right"/>
              <w:ind w:right="439"/>
              <w:spacing w:after="0"/>
              <w:rPr>
                <w:sz w:val="20"/>
                <w:szCs w:val="20"/>
                <w:color w:val="auto"/>
              </w:rPr>
            </w:pPr>
            <w:r>
              <w:rPr>
                <w:rFonts w:ascii="Arial" w:cs="Arial" w:eastAsia="Arial" w:hAnsi="Arial"/>
                <w:sz w:val="18"/>
                <w:szCs w:val="18"/>
                <w:color w:val="auto"/>
              </w:rPr>
              <w:t>$249</w:t>
            </w:r>
          </w:p>
        </w:tc>
        <w:tc>
          <w:tcPr>
            <w:tcW w:w="1400" w:type="dxa"/>
            <w:vAlign w:val="bottom"/>
          </w:tcPr>
          <w:p>
            <w:pPr>
              <w:jc w:val="right"/>
              <w:ind w:right="439"/>
              <w:spacing w:after="0"/>
              <w:rPr>
                <w:sz w:val="20"/>
                <w:szCs w:val="20"/>
                <w:color w:val="auto"/>
              </w:rPr>
            </w:pPr>
            <w:r>
              <w:rPr>
                <w:rFonts w:ascii="Arial" w:cs="Arial" w:eastAsia="Arial" w:hAnsi="Arial"/>
                <w:sz w:val="18"/>
                <w:szCs w:val="18"/>
                <w:color w:val="auto"/>
              </w:rPr>
              <w:t>$214</w:t>
            </w:r>
          </w:p>
        </w:tc>
        <w:tc>
          <w:tcPr>
            <w:tcW w:w="1380" w:type="dxa"/>
            <w:vAlign w:val="bottom"/>
          </w:tcPr>
          <w:p>
            <w:pPr>
              <w:jc w:val="right"/>
              <w:ind w:right="439"/>
              <w:spacing w:after="0"/>
              <w:rPr>
                <w:sz w:val="20"/>
                <w:szCs w:val="20"/>
                <w:color w:val="auto"/>
              </w:rPr>
            </w:pPr>
            <w:r>
              <w:rPr>
                <w:rFonts w:ascii="Arial" w:cs="Arial" w:eastAsia="Arial" w:hAnsi="Arial"/>
                <w:sz w:val="18"/>
                <w:szCs w:val="18"/>
                <w:color w:val="auto"/>
              </w:rPr>
              <w:t>$108</w:t>
            </w:r>
          </w:p>
        </w:tc>
        <w:tc>
          <w:tcPr>
            <w:tcW w:w="1320" w:type="dxa"/>
            <w:vAlign w:val="bottom"/>
          </w:tcPr>
          <w:p>
            <w:pPr>
              <w:jc w:val="right"/>
              <w:ind w:right="239"/>
              <w:spacing w:after="0"/>
              <w:rPr>
                <w:sz w:val="20"/>
                <w:szCs w:val="20"/>
                <w:color w:val="auto"/>
              </w:rPr>
            </w:pPr>
            <w:r>
              <w:rPr>
                <w:rFonts w:ascii="Arial" w:cs="Arial" w:eastAsia="Arial" w:hAnsi="Arial"/>
                <w:sz w:val="18"/>
                <w:szCs w:val="18"/>
                <w:color w:val="auto"/>
              </w:rPr>
              <w:t>$2,292</w:t>
            </w:r>
          </w:p>
        </w:tc>
      </w:tr>
    </w:tbl>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29, 2007, the maximum potential amount of future payments that we could be required to make under these standby letters of credit was approximately $1.3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29, 2007, our investment portfolio included short-term, fixed-income investment securities with a fair value of approximately $92.8 million. These securities are subject to interest rate risk and will decline in value if interest rates increase. Due to the relatively short duration of our investment portfolio, an immediate ten percent change in interest rates (e.g. 5.00% to 5.50%) would have no material impact on our financial condition or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Except for our subsidiary based in Germany that conducts business in Euros, 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29, 2007, the end of the period covered by this annual report.</w:t>
      </w:r>
    </w:p>
    <w:p>
      <w:pPr>
        <w:spacing w:after="0" w:line="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29, 2007.</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29, 2007, as stated in their report which is included herein.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Cohu, Inc.’s internal control over financial reporting as of December 29, 2007,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29, 2007, based on the COSO criteria.</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29, 2007 and December 30, 2006, and the related consolidated statements of income, stockholders’ equity, and cash flows for each of the three years in the period ended December 29, 2007 of Cohu, Inc. and our report dated February 12, 2008 expressed an unqualified opinion thereon.</w:t>
      </w: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There have been no changes in our internal control over financial reporting that occurred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fourth quarter of 2007 that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regarding Directors and Executive Officers of the Registrant, is hereby incorporated by reference to the Company’s definitive proxy statement, which will be filed with the Securities and Exchange Commission (“SEC”) within 120 days after the close of fiscal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regarding Certain Relationships and Related Transactions is hereby incorporated by reference to the Company’s definitive proxy statement, which will be filed with the SEC within 120 days after the close of fiscal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2007.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460" w:right="360" w:firstLine="222"/>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Form 10-K</w:t>
            </w:r>
          </w:p>
        </w:tc>
      </w:tr>
      <w:tr>
        <w:trPr>
          <w:trHeight w:val="167"/>
        </w:trPr>
        <w:tc>
          <w:tcPr>
            <w:tcW w:w="982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Description</w:t>
            </w:r>
          </w:p>
        </w:tc>
        <w:tc>
          <w:tcPr>
            <w:tcW w:w="540" w:type="dxa"/>
            <w:vAlign w:val="bottom"/>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Page Number</w:t>
            </w:r>
          </w:p>
        </w:tc>
      </w:tr>
      <w:tr>
        <w:trPr>
          <w:trHeight w:val="385"/>
        </w:trPr>
        <w:tc>
          <w:tcPr>
            <w:tcW w:w="54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balance sheets at December 29, 2007 and December 30, 2006</w:t>
              </w:r>
            </w:hyperlink>
          </w:p>
        </w:tc>
        <w:tc>
          <w:tcPr>
            <w:tcW w:w="4380" w:type="dxa"/>
            <w:vAlign w:val="bottom"/>
            <w:gridSpan w:val="4"/>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33</w:t>
            </w:r>
          </w:p>
        </w:tc>
      </w:tr>
      <w:tr>
        <w:trPr>
          <w:trHeight w:val="412"/>
        </w:trPr>
        <w:tc>
          <w:tcPr>
            <w:tcW w:w="982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for each of the three years in the period ended December 29, 2007</w:t>
              </w:r>
            </w:hyperlink>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34</w:t>
            </w:r>
          </w:p>
        </w:tc>
      </w:tr>
      <w:tr>
        <w:trPr>
          <w:trHeight w:val="20"/>
        </w:trPr>
        <w:tc>
          <w:tcPr>
            <w:tcW w:w="3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412"/>
        </w:trPr>
        <w:tc>
          <w:tcPr>
            <w:tcW w:w="82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stockholders’ equity for each of the three years in the period ended December 29, 2007</w:t>
              </w:r>
            </w:hyperlink>
          </w:p>
        </w:tc>
        <w:tc>
          <w:tcPr>
            <w:tcW w:w="1540" w:type="dxa"/>
            <w:vAlign w:val="bottom"/>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35</w:t>
            </w:r>
          </w:p>
        </w:tc>
      </w:tr>
      <w:tr>
        <w:trPr>
          <w:trHeight w:val="412"/>
        </w:trPr>
        <w:tc>
          <w:tcPr>
            <w:tcW w:w="75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cash flows for each of the three years in the period ended December 29, 2007</w:t>
              </w:r>
            </w:hyperlink>
          </w:p>
        </w:tc>
        <w:tc>
          <w:tcPr>
            <w:tcW w:w="2240" w:type="dxa"/>
            <w:vAlign w:val="bottom"/>
            <w:gridSpan w:val="2"/>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36</w:t>
            </w:r>
          </w:p>
        </w:tc>
      </w:tr>
      <w:tr>
        <w:trPr>
          <w:trHeight w:val="412"/>
        </w:trPr>
        <w:tc>
          <w:tcPr>
            <w:tcW w:w="982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38-58</w:t>
            </w:r>
          </w:p>
        </w:tc>
      </w:tr>
      <w:tr>
        <w:trPr>
          <w:trHeight w:val="20"/>
        </w:trPr>
        <w:tc>
          <w:tcPr>
            <w:tcW w:w="30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412"/>
        </w:trPr>
        <w:tc>
          <w:tcPr>
            <w:tcW w:w="982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59</w:t>
            </w:r>
          </w:p>
        </w:tc>
      </w:tr>
      <w:tr>
        <w:trPr>
          <w:trHeight w:val="345"/>
        </w:trPr>
        <w:tc>
          <w:tcPr>
            <w:tcW w:w="4220" w:type="dxa"/>
            <w:vAlign w:val="bottom"/>
            <w:tcBorders>
              <w:top w:val="single" w:sz="8" w:color="0000EE"/>
            </w:tcBorders>
            <w:gridSpan w:val="3"/>
          </w:tcPr>
          <w:p>
            <w:pPr>
              <w:ind w:left="220"/>
              <w:spacing w:after="0"/>
              <w:rPr>
                <w:sz w:val="20"/>
                <w:szCs w:val="20"/>
                <w:color w:val="auto"/>
              </w:rPr>
            </w:pPr>
            <w:r>
              <w:rPr>
                <w:rFonts w:ascii="Arial" w:cs="Arial" w:eastAsia="Arial" w:hAnsi="Arial"/>
                <w:sz w:val="18"/>
                <w:szCs w:val="18"/>
                <w:color w:val="auto"/>
              </w:rPr>
              <w:t>(2)   Financial Statement Schedule</w:t>
            </w:r>
          </w:p>
        </w:tc>
        <w:tc>
          <w:tcPr>
            <w:tcW w:w="560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2"/>
        </w:trPr>
        <w:tc>
          <w:tcPr>
            <w:tcW w:w="982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Schedule II — Valuation and Qualifying Accounts</w:t>
              </w:r>
            </w:hyperlink>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63</w:t>
            </w:r>
          </w:p>
        </w:tc>
      </w:tr>
      <w:tr>
        <w:trPr>
          <w:trHeight w:val="20"/>
        </w:trPr>
        <w:tc>
          <w:tcPr>
            <w:tcW w:w="3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6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29,</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7"/>
        </w:trPr>
        <w:tc>
          <w:tcPr>
            <w:tcW w:w="9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77,281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92,837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123,087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bad debts of $1,555 in 2007 and $1,644 in 2006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50,088</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24,394</w:t>
            </w:r>
          </w:p>
        </w:tc>
        <w:tc>
          <w:tcPr>
            <w:tcW w:w="0" w:type="dxa"/>
            <w:vAlign w:val="bottom"/>
          </w:tcPr>
          <w:p>
            <w:pPr>
              <w:spacing w:after="0"/>
              <w:rPr>
                <w:sz w:val="1"/>
                <w:szCs w:val="1"/>
                <w:color w:val="auto"/>
              </w:rPr>
            </w:pPr>
          </w:p>
        </w:tc>
      </w:tr>
      <w:tr>
        <w:trPr>
          <w:trHeight w:val="216"/>
        </w:trPr>
        <w:tc>
          <w:tcPr>
            <w:tcW w:w="902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283,754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7,015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58,628</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(33,047)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(29,042)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12,898</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$4,684 in 2007 and $2,178 in 2006</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6,695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340,379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326,339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16,650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13,509</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4,868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4,479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220"/>
              <w:spacing w:after="0" w:line="201" w:lineRule="exact"/>
              <w:rPr>
                <w:sz w:val="20"/>
                <w:szCs w:val="20"/>
                <w:color w:val="auto"/>
              </w:rPr>
            </w:pPr>
            <w:r>
              <w:rPr>
                <w:rFonts w:ascii="Arial" w:cs="Arial" w:eastAsia="Arial" w:hAnsi="Arial"/>
                <w:sz w:val="18"/>
                <w:szCs w:val="18"/>
                <w:color w:val="auto"/>
                <w:w w:val="95"/>
              </w:rPr>
              <w:t>Common stock, $1 par value; 60,000 shares authorized, 23,045 shares issued and outstanding in 2007 and 22,700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shares in 2006</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23,045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46,825</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204,997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202,477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283,468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340,379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326,339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3"/>
              </w:rPr>
              <w:t>Years ended</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29,</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30,</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241,389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270,106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and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162,577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177,170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38,336</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39,062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36,188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(2,963)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237,101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250,358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200,542</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4,667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rPr>
              <w:t>Loss from discontinued metal detection equipment operation, including loss on sale of</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w w:val="96"/>
              </w:rPr>
              <w:t>approximately $1.4 million for the year ended December 30, 2006 before income taxes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(1,545)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17,681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0.82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0.81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income (loss) per share: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23,270</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22,934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color w:val="auto"/>
                <w:w w:val="96"/>
              </w:rPr>
              <w:t>Accumulated</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Common</w:t>
            </w: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ind w:right="511"/>
              <w:spacing w:after="0" w:line="149" w:lineRule="exact"/>
              <w:rPr>
                <w:sz w:val="20"/>
                <w:szCs w:val="20"/>
                <w:color w:val="auto"/>
              </w:rPr>
            </w:pPr>
            <w:r>
              <w:rPr>
                <w:rFonts w:ascii="Arial" w:cs="Arial" w:eastAsia="Arial" w:hAnsi="Arial"/>
                <w:sz w:val="14"/>
                <w:szCs w:val="14"/>
                <w:color w:val="auto"/>
                <w:w w:val="93"/>
              </w:rPr>
              <w:t>other</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1"/>
              </w:rPr>
              <w:t>stock</w:t>
            </w:r>
          </w:p>
        </w:tc>
        <w:tc>
          <w:tcPr>
            <w:tcW w:w="1480" w:type="dxa"/>
            <w:vAlign w:val="bottom"/>
          </w:tcPr>
          <w:p>
            <w:pPr>
              <w:jc w:val="right"/>
              <w:ind w:right="431"/>
              <w:spacing w:after="0" w:line="149" w:lineRule="exact"/>
              <w:rPr>
                <w:sz w:val="20"/>
                <w:szCs w:val="20"/>
                <w:color w:val="auto"/>
              </w:rPr>
            </w:pPr>
            <w:r>
              <w:rPr>
                <w:rFonts w:ascii="Arial" w:cs="Arial" w:eastAsia="Arial" w:hAnsi="Arial"/>
                <w:sz w:val="14"/>
                <w:szCs w:val="14"/>
                <w:color w:val="auto"/>
              </w:rPr>
              <w:t>Paid-in</w:t>
            </w:r>
          </w:p>
        </w:tc>
        <w:tc>
          <w:tcPr>
            <w:tcW w:w="1520" w:type="dxa"/>
            <w:vAlign w:val="bottom"/>
          </w:tcPr>
          <w:p>
            <w:pPr>
              <w:jc w:val="right"/>
              <w:ind w:right="391"/>
              <w:spacing w:after="0" w:line="149" w:lineRule="exact"/>
              <w:rPr>
                <w:sz w:val="20"/>
                <w:szCs w:val="20"/>
                <w:color w:val="auto"/>
              </w:rPr>
            </w:pPr>
            <w:r>
              <w:rPr>
                <w:rFonts w:ascii="Arial" w:cs="Arial" w:eastAsia="Arial" w:hAnsi="Arial"/>
                <w:sz w:val="14"/>
                <w:szCs w:val="14"/>
                <w:color w:val="auto"/>
              </w:rPr>
              <w:t>Retained</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comprehensive</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0"/>
              </w:rPr>
              <w:t>$1 par value</w:t>
            </w: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capital</w:t>
            </w:r>
          </w:p>
        </w:tc>
        <w:tc>
          <w:tcPr>
            <w:tcW w:w="15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$21,611</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$25,572</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$161,089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85"/>
              </w:rPr>
              <w:t>(160)</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$208,112</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33,974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33,974</w:t>
            </w:r>
          </w:p>
        </w:tc>
      </w:tr>
      <w:tr>
        <w:trPr>
          <w:trHeight w:val="216"/>
        </w:trPr>
        <w:tc>
          <w:tcPr>
            <w:tcW w:w="2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Changes in unrealized gain (loss) on</w:t>
            </w: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investments, net of income taxes</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r>
      <w:tr>
        <w:trPr>
          <w:trHeight w:val="223"/>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33,937</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$0.22 per share</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(4,838)</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(4,838)</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(9)</w:t>
            </w:r>
          </w:p>
        </w:tc>
        <w:tc>
          <w:tcPr>
            <w:tcW w:w="1480" w:type="dxa"/>
            <w:vAlign w:val="bottom"/>
          </w:tcPr>
          <w:p>
            <w:pPr>
              <w:jc w:val="right"/>
              <w:ind w:right="331"/>
              <w:spacing w:after="0"/>
              <w:rPr>
                <w:sz w:val="20"/>
                <w:szCs w:val="20"/>
                <w:color w:val="auto"/>
              </w:rPr>
            </w:pPr>
            <w:r>
              <w:rPr>
                <w:rFonts w:ascii="Arial" w:cs="Arial" w:eastAsia="Arial" w:hAnsi="Arial"/>
                <w:sz w:val="18"/>
                <w:szCs w:val="18"/>
                <w:color w:val="auto"/>
              </w:rPr>
              <w:t>(160)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700</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8,632</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9,332</w:t>
            </w:r>
          </w:p>
        </w:tc>
      </w:tr>
      <w:tr>
        <w:trPr>
          <w:trHeight w:val="202"/>
        </w:trPr>
        <w:tc>
          <w:tcPr>
            <w:tcW w:w="20" w:type="dxa"/>
            <w:vAlign w:val="bottom"/>
          </w:tcPr>
          <w:p>
            <w:pPr>
              <w:spacing w:after="0"/>
              <w:rPr>
                <w:sz w:val="17"/>
                <w:szCs w:val="17"/>
                <w:color w:val="auto"/>
              </w:rPr>
            </w:pPr>
          </w:p>
        </w:tc>
        <w:tc>
          <w:tcPr>
            <w:tcW w:w="4120" w:type="dxa"/>
            <w:vAlign w:val="bottom"/>
          </w:tcPr>
          <w:p>
            <w:pPr>
              <w:ind w:left="200"/>
              <w:spacing w:after="0" w:line="201" w:lineRule="exact"/>
              <w:rPr>
                <w:sz w:val="20"/>
                <w:szCs w:val="20"/>
                <w:color w:val="auto"/>
              </w:rPr>
            </w:pPr>
            <w:r>
              <w:rPr>
                <w:rFonts w:ascii="Arial" w:cs="Arial" w:eastAsia="Arial" w:hAnsi="Arial"/>
                <w:sz w:val="18"/>
                <w:szCs w:val="18"/>
                <w:color w:val="auto"/>
              </w:rPr>
              <w:t>Shares issued under employee stock purchase</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plan</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78</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1,033</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1,111</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options</w:t>
            </w:r>
          </w:p>
        </w:tc>
        <w:tc>
          <w:tcPr>
            <w:tcW w:w="13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2,640</w:t>
            </w:r>
          </w:p>
        </w:tc>
        <w:tc>
          <w:tcPr>
            <w:tcW w:w="1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2,640</w:t>
            </w: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22,380</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37,717</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190,225</w:t>
            </w:r>
          </w:p>
        </w:tc>
        <w:tc>
          <w:tcPr>
            <w:tcW w:w="620" w:type="dxa"/>
            <w:vAlign w:val="bottom"/>
          </w:tcPr>
          <w:p>
            <w:pPr>
              <w:spacing w:after="0"/>
              <w:rPr>
                <w:sz w:val="19"/>
                <w:szCs w:val="19"/>
                <w:color w:val="auto"/>
              </w:rPr>
            </w:pPr>
          </w:p>
        </w:tc>
        <w:tc>
          <w:tcPr>
            <w:tcW w:w="980" w:type="dxa"/>
            <w:vAlign w:val="bottom"/>
          </w:tcPr>
          <w:p>
            <w:pPr>
              <w:jc w:val="right"/>
              <w:ind w:right="451"/>
              <w:spacing w:after="0"/>
              <w:rPr>
                <w:sz w:val="20"/>
                <w:szCs w:val="20"/>
                <w:color w:val="auto"/>
              </w:rPr>
            </w:pPr>
            <w:r>
              <w:rPr>
                <w:rFonts w:ascii="Arial" w:cs="Arial" w:eastAsia="Arial" w:hAnsi="Arial"/>
                <w:sz w:val="18"/>
                <w:szCs w:val="18"/>
                <w:color w:val="auto"/>
                <w:w w:val="99"/>
              </w:rPr>
              <w:t>(197)</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250,125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1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17,681</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17,681</w:t>
            </w: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Changes in unrealized gain (loss) on</w:t>
            </w:r>
          </w:p>
        </w:tc>
        <w:tc>
          <w:tcPr>
            <w:tcW w:w="1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investments, net of income taxes</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167</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r>
      <w:tr>
        <w:trPr>
          <w:trHeight w:val="223"/>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17,848</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(5,429)</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(5,429)</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247</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3,227</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3,474</w:t>
            </w: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Shares issued under employee stock purchase</w:t>
            </w:r>
          </w:p>
        </w:tc>
        <w:tc>
          <w:tcPr>
            <w:tcW w:w="1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73</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1,112</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3,559</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3,559</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options</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1,210</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1,210</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Adjustment to initially apply FASB Statement</w:t>
            </w: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158, net of income taxes (Note 1)</w:t>
            </w:r>
          </w:p>
        </w:tc>
        <w:tc>
          <w:tcPr>
            <w:tcW w:w="13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99"/>
              </w:rPr>
              <w:t>(384)</w:t>
            </w:r>
          </w:p>
        </w:tc>
        <w:tc>
          <w:tcPr>
            <w:tcW w:w="13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Balance at December 30, 2006</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22,700</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46,825</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202,477</w:t>
            </w:r>
          </w:p>
        </w:tc>
        <w:tc>
          <w:tcPr>
            <w:tcW w:w="620" w:type="dxa"/>
            <w:vAlign w:val="bottom"/>
          </w:tcPr>
          <w:p>
            <w:pPr>
              <w:spacing w:after="0"/>
              <w:rPr>
                <w:sz w:val="19"/>
                <w:szCs w:val="19"/>
                <w:color w:val="auto"/>
              </w:rPr>
            </w:pPr>
          </w:p>
        </w:tc>
        <w:tc>
          <w:tcPr>
            <w:tcW w:w="980" w:type="dxa"/>
            <w:vAlign w:val="bottom"/>
          </w:tcPr>
          <w:p>
            <w:pPr>
              <w:jc w:val="right"/>
              <w:ind w:right="451"/>
              <w:spacing w:after="0"/>
              <w:rPr>
                <w:sz w:val="20"/>
                <w:szCs w:val="20"/>
                <w:color w:val="auto"/>
              </w:rPr>
            </w:pPr>
            <w:r>
              <w:rPr>
                <w:rFonts w:ascii="Arial" w:cs="Arial" w:eastAsia="Arial" w:hAnsi="Arial"/>
                <w:sz w:val="18"/>
                <w:szCs w:val="18"/>
                <w:color w:val="auto"/>
                <w:w w:val="99"/>
              </w:rPr>
              <w:t>(414)</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271,588</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implement FIN 48 (Note 1)</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7,978</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7,978</w:t>
            </w:r>
          </w:p>
        </w:tc>
      </w:tr>
      <w:tr>
        <w:trPr>
          <w:trHeight w:val="216"/>
        </w:trPr>
        <w:tc>
          <w:tcPr>
            <w:tcW w:w="2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700</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700</w:t>
            </w: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Adjustment to Statement No. 158 transition</w:t>
            </w:r>
          </w:p>
        </w:tc>
        <w:tc>
          <w:tcPr>
            <w:tcW w:w="1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obligation, net of income taxes</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123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r>
      <w:tr>
        <w:trPr>
          <w:trHeight w:val="202"/>
        </w:trPr>
        <w:tc>
          <w:tcPr>
            <w:tcW w:w="20" w:type="dxa"/>
            <w:vAlign w:val="bottom"/>
          </w:tcPr>
          <w:p>
            <w:pPr>
              <w:spacing w:after="0"/>
              <w:rPr>
                <w:sz w:val="17"/>
                <w:szCs w:val="17"/>
                <w:color w:val="auto"/>
              </w:rPr>
            </w:pPr>
          </w:p>
        </w:tc>
        <w:tc>
          <w:tcPr>
            <w:tcW w:w="4120" w:type="dxa"/>
            <w:vAlign w:val="bottom"/>
          </w:tcPr>
          <w:p>
            <w:pPr>
              <w:ind w:left="400"/>
              <w:spacing w:after="0" w:line="201" w:lineRule="exact"/>
              <w:rPr>
                <w:sz w:val="20"/>
                <w:szCs w:val="20"/>
                <w:color w:val="auto"/>
              </w:rPr>
            </w:pPr>
            <w:r>
              <w:rPr>
                <w:rFonts w:ascii="Arial" w:cs="Arial" w:eastAsia="Arial" w:hAnsi="Arial"/>
                <w:sz w:val="18"/>
                <w:szCs w:val="18"/>
                <w:color w:val="auto"/>
              </w:rPr>
              <w:t>Changes in unrealized gain (loss) on</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120" w:type="dxa"/>
            <w:vAlign w:val="bottom"/>
          </w:tcPr>
          <w:p>
            <w:pPr>
              <w:ind w:left="600"/>
              <w:spacing w:after="0"/>
              <w:rPr>
                <w:sz w:val="20"/>
                <w:szCs w:val="20"/>
                <w:color w:val="auto"/>
              </w:rPr>
            </w:pPr>
            <w:r>
              <w:rPr>
                <w:rFonts w:ascii="Arial" w:cs="Arial" w:eastAsia="Arial" w:hAnsi="Arial"/>
                <w:sz w:val="18"/>
                <w:szCs w:val="18"/>
                <w:color w:val="auto"/>
              </w:rPr>
              <w:t>investments, net of income taxes</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1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8,878</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1"/>
              <w:spacing w:after="0"/>
              <w:rPr>
                <w:sz w:val="20"/>
                <w:szCs w:val="20"/>
                <w:color w:val="auto"/>
              </w:rPr>
            </w:pPr>
            <w:r>
              <w:rPr>
                <w:rFonts w:ascii="Arial" w:cs="Arial" w:eastAsia="Arial" w:hAnsi="Arial"/>
                <w:sz w:val="18"/>
                <w:szCs w:val="18"/>
                <w:color w:val="auto"/>
              </w:rPr>
              <w:t>(5,500)</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(5,500)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222</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2,953</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3,175</w:t>
            </w:r>
          </w:p>
        </w:tc>
      </w:tr>
      <w:tr>
        <w:trPr>
          <w:trHeight w:val="202"/>
        </w:trPr>
        <w:tc>
          <w:tcPr>
            <w:tcW w:w="20" w:type="dxa"/>
            <w:vAlign w:val="bottom"/>
          </w:tcPr>
          <w:p>
            <w:pPr>
              <w:spacing w:after="0"/>
              <w:rPr>
                <w:sz w:val="17"/>
                <w:szCs w:val="17"/>
                <w:color w:val="auto"/>
              </w:rPr>
            </w:pPr>
          </w:p>
        </w:tc>
        <w:tc>
          <w:tcPr>
            <w:tcW w:w="4120" w:type="dxa"/>
            <w:vAlign w:val="bottom"/>
          </w:tcPr>
          <w:p>
            <w:pPr>
              <w:ind w:left="200"/>
              <w:spacing w:after="0" w:line="201" w:lineRule="exact"/>
              <w:rPr>
                <w:sz w:val="20"/>
                <w:szCs w:val="20"/>
                <w:color w:val="auto"/>
              </w:rPr>
            </w:pPr>
            <w:r>
              <w:rPr>
                <w:rFonts w:ascii="Arial" w:cs="Arial" w:eastAsia="Arial" w:hAnsi="Arial"/>
                <w:sz w:val="18"/>
                <w:szCs w:val="18"/>
                <w:color w:val="auto"/>
              </w:rPr>
              <w:t>Shares issued under employee stock purchase</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plan</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83</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1,170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1,253</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65</w:t>
            </w:r>
          </w:p>
        </w:tc>
        <w:tc>
          <w:tcPr>
            <w:tcW w:w="14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(65)</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(25)</w:t>
            </w:r>
          </w:p>
        </w:tc>
        <w:tc>
          <w:tcPr>
            <w:tcW w:w="1480" w:type="dxa"/>
            <w:vAlign w:val="bottom"/>
          </w:tcPr>
          <w:p>
            <w:pPr>
              <w:jc w:val="right"/>
              <w:ind w:right="331"/>
              <w:spacing w:after="0"/>
              <w:rPr>
                <w:sz w:val="20"/>
                <w:szCs w:val="20"/>
                <w:color w:val="auto"/>
              </w:rPr>
            </w:pPr>
            <w:r>
              <w:rPr>
                <w:rFonts w:ascii="Arial" w:cs="Arial" w:eastAsia="Arial" w:hAnsi="Arial"/>
                <w:sz w:val="18"/>
                <w:szCs w:val="18"/>
                <w:color w:val="auto"/>
              </w:rPr>
              <w:t>(502)</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4,078</w:t>
            </w:r>
          </w:p>
        </w:tc>
        <w:tc>
          <w:tcPr>
            <w:tcW w:w="1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4,078</w:t>
            </w:r>
          </w:p>
        </w:tc>
      </w:tr>
      <w:tr>
        <w:trPr>
          <w:trHeight w:val="223"/>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Tax benefit from equity awards</w:t>
            </w: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481</w:t>
            </w:r>
          </w:p>
        </w:tc>
        <w:tc>
          <w:tcPr>
            <w:tcW w:w="1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2007</w:t>
            </w:r>
          </w:p>
        </w:tc>
        <w:tc>
          <w:tcPr>
            <w:tcW w:w="13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$23,045</w:t>
            </w:r>
          </w:p>
        </w:tc>
        <w:tc>
          <w:tcPr>
            <w:tcW w:w="14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$54,940</w:t>
            </w:r>
          </w:p>
        </w:tc>
        <w:tc>
          <w:tcPr>
            <w:tcW w:w="1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$204,997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486</w:t>
            </w:r>
          </w:p>
        </w:tc>
        <w:tc>
          <w:tcPr>
            <w:tcW w:w="132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$283,468</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December 29,</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7,978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17,681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 provided from continuing operating</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7,439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Gain on sale of facilities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accrued retiree medical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Tax benefit from stock options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equity compensation plans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ind w:left="400"/>
              <w:spacing w:after="0" w:line="201" w:lineRule="exact"/>
              <w:rPr>
                <w:sz w:val="20"/>
                <w:szCs w:val="20"/>
                <w:color w:val="auto"/>
              </w:rPr>
            </w:pPr>
            <w:r>
              <w:rPr>
                <w:rFonts w:ascii="Arial" w:cs="Arial" w:eastAsia="Arial" w:hAnsi="Arial"/>
                <w:sz w:val="18"/>
                <w:szCs w:val="18"/>
                <w:color w:val="auto"/>
              </w:rPr>
              <w:t>Changes in current assets and liabilities, excluding effects from acquisitions and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6,829</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8,638</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(4,245)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Income taxes payable, including excess stock option exercise benefits in 2006 and 2007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Customer advances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1,086</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profit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Accrued compensation, warranty and other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(2,824)</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from continuing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33,808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spacing w:after="0" w:line="201" w:lineRule="exact"/>
              <w:rPr>
                <w:sz w:val="20"/>
                <w:szCs w:val="20"/>
                <w:color w:val="auto"/>
              </w:rPr>
            </w:pPr>
            <w:r>
              <w:rPr>
                <w:rFonts w:ascii="Arial" w:cs="Arial" w:eastAsia="Arial" w:hAnsi="Arial"/>
                <w:sz w:val="18"/>
                <w:szCs w:val="18"/>
                <w:color w:val="auto"/>
              </w:rPr>
              <w:t>Cash flows from continuing investing activities, excluding effects from acquisitions and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(152,603)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(110,330)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182,978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87,711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Payment for purchase of AVS, net of cash received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(8,169)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facility sale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Payment for purchase of Unigen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(7,700)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purchase of KryoTech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Cash received from disposition of discontinued operations,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2,663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Cash advances to discontinued operations,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Net cash provided from (used for) continuing investing activities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(26,640)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financing activities :</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Issuance of stock,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3,901</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4,659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 compensation plans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(5,478)</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(5,407)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from (used for) continuing financing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52,452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cash equivalents of continuing operations at beginning of year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24,829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38,543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77,281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24,829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December 29,</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Cash provided from (used for) operating activities of discontinued operations</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(775)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used for investing activities of discontinued operations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Cash advances from continuing operations, net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discontinued operations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and cash equivalents of discontinued operations at beginning of year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end of year</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3,668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9,197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1,362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460" w:right="1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Principles of Consolidation — </w:t>
      </w:r>
      <w:r>
        <w:rPr>
          <w:rFonts w:ascii="Arial" w:cs="Arial" w:eastAsia="Arial" w:hAnsi="Arial"/>
          <w:sz w:val="16"/>
          <w:szCs w:val="16"/>
          <w:color w:val="auto"/>
        </w:rPr>
        <w:t>The consolidated financial statements include the assets, liabilities and operating results of Cohu, Inc. and our wholly-owned subsidiaries (“Cohu”, “we”, “our” and “us”). All significant intercompany balances and transactions have been eliminated in consolidation.</w:t>
      </w:r>
    </w:p>
    <w:p>
      <w:pPr>
        <w:spacing w:after="0" w:line="21"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 The preparation of financial statements in conformity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requires management to make estimates and assumptions that affect the reported amounts and the disclosure of contingent amounts in our financial statements and the accompanying notes. These estimates include assessing the collectibility of accounts receivable, usage and recoverability of inventory and long-lived and deferred tax assets and incurrence of warranty costs. Actual results could differ from those estimates. Certain prior year deferred income tax balances have been reclassified for consistency with the current year presentation. These reclassifications had no effect on reported results of operations.</w:t>
      </w:r>
    </w:p>
    <w:p>
      <w:pPr>
        <w:spacing w:after="0" w:line="93" w:lineRule="exact"/>
        <w:rPr>
          <w:rFonts w:ascii="Arial" w:cs="Arial" w:eastAsia="Arial" w:hAnsi="Arial"/>
          <w:sz w:val="18"/>
          <w:szCs w:val="18"/>
          <w:b w:val="1"/>
          <w:bCs w:val="1"/>
          <w:color w:val="auto"/>
        </w:rPr>
      </w:pPr>
    </w:p>
    <w:p>
      <w:pPr>
        <w:ind w:left="460" w:right="6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 Our current fiscal year ended on December 29, 2007 and consisted of 52 weeks. Our fiscal years ended December 30, 2006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2005 also consisted of 52 weeks.</w:t>
      </w:r>
    </w:p>
    <w:p>
      <w:pPr>
        <w:spacing w:after="0" w:line="67" w:lineRule="exact"/>
        <w:rPr>
          <w:rFonts w:ascii="Arial" w:cs="Arial" w:eastAsia="Arial" w:hAnsi="Arial"/>
          <w:sz w:val="18"/>
          <w:szCs w:val="18"/>
          <w:b w:val="1"/>
          <w:bCs w:val="1"/>
          <w:color w:val="auto"/>
        </w:rPr>
      </w:pPr>
    </w:p>
    <w:p>
      <w:pPr>
        <w:ind w:left="4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w:t>
      </w:r>
      <w:r>
        <w:rPr>
          <w:rFonts w:ascii="Arial" w:cs="Arial" w:eastAsia="Arial" w:hAnsi="Arial"/>
          <w:sz w:val="18"/>
          <w:szCs w:val="18"/>
          <w:b w:val="1"/>
          <w:bCs w:val="1"/>
          <w:color w:val="auto"/>
        </w:rPr>
        <w:t xml:space="preserve"> </w:t>
      </w:r>
      <w:r>
        <w:rPr>
          <w:rFonts w:ascii="Arial" w:cs="Arial" w:eastAsia="Arial" w:hAnsi="Arial"/>
          <w:sz w:val="18"/>
          <w:szCs w:val="18"/>
          <w:color w:val="auto"/>
        </w:rPr>
        <w:t>and uncertainties are discussed under Item 1A. “Risk Factors” included in this Annual Report on Form 10-K. Understanding these risks and uncertainties is integral to the review of our consolidated financial statements.</w:t>
      </w:r>
    </w:p>
    <w:p>
      <w:pPr>
        <w:spacing w:after="0" w:line="81" w:lineRule="exact"/>
        <w:rPr>
          <w:rFonts w:ascii="Arial" w:cs="Arial" w:eastAsia="Arial" w:hAnsi="Arial"/>
          <w:sz w:val="18"/>
          <w:szCs w:val="18"/>
          <w:b w:val="1"/>
          <w:bCs w:val="1"/>
          <w:color w:val="auto"/>
        </w:rPr>
      </w:pPr>
    </w:p>
    <w:p>
      <w:pPr>
        <w:ind w:left="460" w:right="8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In May 2006, we sold our metal detection equipment business, FRL. Subsequent to the sale, the operating results of FRL</w:t>
      </w:r>
      <w:r>
        <w:rPr>
          <w:rFonts w:ascii="Arial" w:cs="Arial" w:eastAsia="Arial" w:hAnsi="Arial"/>
          <w:sz w:val="17"/>
          <w:szCs w:val="17"/>
          <w:b w:val="1"/>
          <w:bCs w:val="1"/>
          <w:color w:val="auto"/>
        </w:rPr>
        <w:t xml:space="preserve"> </w:t>
      </w:r>
      <w:r>
        <w:rPr>
          <w:rFonts w:ascii="Arial" w:cs="Arial" w:eastAsia="Arial" w:hAnsi="Arial"/>
          <w:sz w:val="17"/>
          <w:szCs w:val="17"/>
          <w:color w:val="auto"/>
        </w:rPr>
        <w:t>are being presented as discontinued operations and all prior period financial statements have been reclassified accordingly.</w:t>
      </w:r>
    </w:p>
    <w:p>
      <w:pPr>
        <w:spacing w:after="0" w:line="43" w:lineRule="exact"/>
        <w:rPr>
          <w:rFonts w:ascii="Arial" w:cs="Arial" w:eastAsia="Arial" w:hAnsi="Arial"/>
          <w:sz w:val="18"/>
          <w:szCs w:val="18"/>
          <w:b w:val="1"/>
          <w:bCs w:val="1"/>
          <w:color w:val="auto"/>
        </w:rPr>
      </w:pPr>
    </w:p>
    <w:p>
      <w:pPr>
        <w:ind w:left="460" w:right="180"/>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On January 1, 2006, we adopted the provisions of Statement No. 123R and SAB No. 107 requiring the measurement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recognition of all share-based compensation under the fair value method. During fiscal 2006, we began recognizing share-based compensation under Statement No. 123R for all awards granted during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79" w:lineRule="exact"/>
        <w:rPr>
          <w:rFonts w:ascii="Arial" w:cs="Arial" w:eastAsia="Arial" w:hAnsi="Arial"/>
          <w:sz w:val="18"/>
          <w:szCs w:val="18"/>
          <w:b w:val="1"/>
          <w:bCs w:val="1"/>
          <w:color w:val="auto"/>
        </w:rPr>
      </w:pPr>
    </w:p>
    <w:p>
      <w:pPr>
        <w:ind w:left="460" w:right="140"/>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Income (Loss) Per Share </w:t>
      </w:r>
      <w:r>
        <w:rPr>
          <w:rFonts w:ascii="Arial" w:cs="Arial" w:eastAsia="Arial" w:hAnsi="Arial"/>
          <w:sz w:val="17"/>
          <w:szCs w:val="17"/>
          <w:color w:val="auto"/>
        </w:rPr>
        <w:t>— Income (loss) per share is computed in accordance with FASB Statement No. 128,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income</w:t>
      </w:r>
      <w:r>
        <w:rPr>
          <w:rFonts w:ascii="Arial" w:cs="Arial" w:eastAsia="Arial" w:hAnsi="Arial"/>
          <w:sz w:val="17"/>
          <w:szCs w:val="17"/>
          <w:b w:val="1"/>
          <w:bCs w:val="1"/>
          <w:color w:val="auto"/>
        </w:rPr>
        <w:t xml:space="preserve"> </w:t>
      </w:r>
      <w:r>
        <w:rPr>
          <w:rFonts w:ascii="Arial" w:cs="Arial" w:eastAsia="Arial" w:hAnsi="Arial"/>
          <w:sz w:val="17"/>
          <w:szCs w:val="17"/>
          <w:color w:val="auto"/>
        </w:rPr>
        <w:t>(loss) per share is computed using the weighted average number of common shares outstanding during each period. Diluted income per share includes the dilutive effect of common shares potentially issuable upon the exercise of stock options and issuance of restricted stock units. For purposes of computing diluted income per share, stock options with exercise prices that exceed the average fair market value of our common stock for the period are excluded. For the years ended December 29, 2007, December 30, 2006 and December 31, 2005 options to purchase approximately 684,000, 910,000, and 387,000 shares of our common stock, respectively, were excluded from the computation.</w:t>
      </w:r>
    </w:p>
    <w:p>
      <w:pPr>
        <w:spacing w:after="0" w:line="8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0" w:type="dxa"/>
            <w:vAlign w:val="bottom"/>
            <w:gridSpan w:val="2"/>
          </w:tcPr>
          <w:p>
            <w:pPr>
              <w:jc w:val="right"/>
              <w:ind w:right="10"/>
              <w:spacing w:after="0"/>
              <w:rPr>
                <w:sz w:val="20"/>
                <w:szCs w:val="20"/>
                <w:color w:val="auto"/>
              </w:rPr>
            </w:pPr>
            <w:r>
              <w:rPr>
                <w:rFonts w:ascii="Arial" w:cs="Arial" w:eastAsia="Arial" w:hAnsi="Arial"/>
                <w:sz w:val="14"/>
                <w:szCs w:val="14"/>
                <w:color w:val="auto"/>
              </w:rPr>
              <w:t>2007</w:t>
            </w:r>
          </w:p>
        </w:tc>
        <w:tc>
          <w:tcPr>
            <w:tcW w:w="114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color w:val="auto"/>
              </w:rPr>
              <w:t>2006</w:t>
            </w:r>
          </w:p>
        </w:tc>
        <w:tc>
          <w:tcPr>
            <w:tcW w:w="11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140" w:type="dxa"/>
            <w:vAlign w:val="bottom"/>
            <w:tcBorders>
              <w:top w:val="single" w:sz="8" w:color="auto"/>
            </w:tcBorders>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22,880</w:t>
            </w:r>
          </w:p>
        </w:tc>
        <w:tc>
          <w:tcPr>
            <w:tcW w:w="1620" w:type="dxa"/>
            <w:vAlign w:val="bottom"/>
            <w:tcBorders>
              <w:top w:val="single" w:sz="8" w:color="auto"/>
            </w:tcBorders>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7"/>
              </w:rPr>
              <w:t>22,588</w:t>
            </w:r>
          </w:p>
        </w:tc>
        <w:tc>
          <w:tcPr>
            <w:tcW w:w="8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2500" w:type="dxa"/>
            <w:vAlign w:val="bottom"/>
          </w:tcPr>
          <w:p>
            <w:pPr>
              <w:spacing w:after="0"/>
              <w:rPr>
                <w:sz w:val="18"/>
                <w:szCs w:val="18"/>
                <w:color w:val="auto"/>
              </w:rPr>
            </w:pPr>
          </w:p>
        </w:tc>
        <w:tc>
          <w:tcPr>
            <w:tcW w:w="1640" w:type="dxa"/>
            <w:vAlign w:val="bottom"/>
            <w:gridSpan w:val="2"/>
          </w:tcPr>
          <w:p>
            <w:pPr>
              <w:jc w:val="right"/>
              <w:ind w:right="1140"/>
              <w:spacing w:after="0"/>
              <w:rPr>
                <w:sz w:val="20"/>
                <w:szCs w:val="20"/>
                <w:color w:val="auto"/>
              </w:rPr>
            </w:pPr>
            <w:r>
              <w:rPr>
                <w:rFonts w:ascii="Arial" w:cs="Arial" w:eastAsia="Arial" w:hAnsi="Arial"/>
                <w:sz w:val="18"/>
                <w:szCs w:val="18"/>
                <w:color w:val="auto"/>
              </w:rPr>
              <w:t>390</w:t>
            </w:r>
          </w:p>
        </w:tc>
        <w:tc>
          <w:tcPr>
            <w:tcW w:w="1620" w:type="dxa"/>
            <w:vAlign w:val="bottom"/>
            <w:gridSpan w:val="2"/>
          </w:tcPr>
          <w:p>
            <w:pPr>
              <w:jc w:val="right"/>
              <w:ind w:right="1120"/>
              <w:spacing w:after="0"/>
              <w:rPr>
                <w:sz w:val="20"/>
                <w:szCs w:val="20"/>
                <w:color w:val="auto"/>
              </w:rPr>
            </w:pPr>
            <w:r>
              <w:rPr>
                <w:rFonts w:ascii="Arial" w:cs="Arial" w:eastAsia="Arial" w:hAnsi="Arial"/>
                <w:sz w:val="18"/>
                <w:szCs w:val="18"/>
                <w:color w:val="auto"/>
              </w:rPr>
              <w:t>346</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7"/>
              </w:rPr>
              <w:t>23,270</w:t>
            </w:r>
          </w:p>
        </w:tc>
        <w:tc>
          <w:tcPr>
            <w:tcW w:w="16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7"/>
              </w:rPr>
              <w:t>22,934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00" w:type="dxa"/>
            <w:vAlign w:val="bottom"/>
            <w:vMerge w:val="restart"/>
          </w:tcPr>
          <w:p>
            <w:pPr>
              <w:jc w:val="right"/>
              <w:ind w:right="1456"/>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Highly liquid investments with insignificant interest rate risk and original maturities of three months or less are classified as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equivalents are comprised of money market funds and corporate debt securities. The carrying amounts approximate fair value due to the short maturities of these instruments. Investments with maturities greater than three months are classified as short-term investments. All of our short-term investments are classified as available-for-sale and are reported at fair value, as determined by quoted market prices, with any unrealized gains and losses, net of tax, recorded as a separate component of accumulated other comprehensive income in stockholders’ equity.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29, 2007 have been classified as current assets in the accompanying consolidated balance sheets.</w:t>
      </w:r>
    </w:p>
    <w:p>
      <w:pPr>
        <w:spacing w:after="0" w:line="95" w:lineRule="exact"/>
        <w:rPr>
          <w:sz w:val="20"/>
          <w:szCs w:val="20"/>
          <w:color w:val="auto"/>
        </w:rPr>
      </w:pPr>
    </w:p>
    <w:p>
      <w:pPr>
        <w:ind w:left="460" w:right="40"/>
        <w:spacing w:after="0" w:line="281" w:lineRule="auto"/>
        <w:rPr>
          <w:sz w:val="20"/>
          <w:szCs w:val="20"/>
          <w:color w:val="auto"/>
        </w:rPr>
      </w:pPr>
      <w:r>
        <w:rPr>
          <w:rFonts w:ascii="Arial" w:cs="Arial" w:eastAsia="Arial" w:hAnsi="Arial"/>
          <w:sz w:val="17"/>
          <w:szCs w:val="17"/>
          <w:b w:val="1"/>
          <w:bCs w:val="1"/>
          <w:color w:val="auto"/>
        </w:rPr>
        <w:t xml:space="preserve">Concentration of Credit Risk — </w:t>
      </w:r>
      <w:r>
        <w:rPr>
          <w:rFonts w:ascii="Arial" w:cs="Arial" w:eastAsia="Arial" w:hAnsi="Arial"/>
          <w:sz w:val="17"/>
          <w:szCs w:val="17"/>
          <w:color w:val="auto"/>
        </w:rPr>
        <w:t>Financial instruments that potentially subject us to significant credit risk consist principally of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short-term investments and trade accounts receivable. We invest in a variety of financial instruments and, by policy, limit the amount of credit exposure with any one issuer. Our customers include semiconductor manufacturers and semiconductor test subcontractors and other customers located throughout many areas of the world. We perform ongoing credit evaluations of our customers and generally require no collateral.</w:t>
      </w:r>
    </w:p>
    <w:p>
      <w:pPr>
        <w:spacing w:after="0" w:line="70" w:lineRule="exact"/>
        <w:rPr>
          <w:sz w:val="20"/>
          <w:szCs w:val="20"/>
          <w:color w:val="auto"/>
        </w:rPr>
      </w:pPr>
    </w:p>
    <w:p>
      <w:pPr>
        <w:ind w:left="460" w:right="60"/>
        <w:spacing w:after="0" w:line="277"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on a current average or first-in, first-out basis, or market. Cost includes labor,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$4.6 million, $10.0 million, and $6.1 million in 2007, 2006 and 2005, respectively.</w:t>
      </w:r>
    </w:p>
    <w:p>
      <w:pPr>
        <w:spacing w:after="0" w:line="74" w:lineRule="exact"/>
        <w:rPr>
          <w:sz w:val="20"/>
          <w:szCs w:val="20"/>
          <w:color w:val="auto"/>
        </w:rPr>
      </w:pPr>
    </w:p>
    <w:p>
      <w:pPr>
        <w:ind w:left="460" w:right="200"/>
        <w:spacing w:after="0" w:line="26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based on estimated useful lives of thirty to forty years for buildings, five to fifteen years for building improvements and three to ten years for machinery, equipment and software.</w:t>
      </w:r>
    </w:p>
    <w:p>
      <w:pPr>
        <w:spacing w:after="0" w:line="86"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On May 5, 2006, we completed the sale of the land and building previously used by our operations in Littleton, Massachusetts. The property was sold for $6.5 million in cash, less related costs, resulting in a net pre-tax gain of approximately $3.0 million.</w:t>
      </w:r>
    </w:p>
    <w:p>
      <w:pPr>
        <w:spacing w:after="0" w:line="72" w:lineRule="exact"/>
        <w:rPr>
          <w:sz w:val="20"/>
          <w:szCs w:val="20"/>
          <w:color w:val="auto"/>
        </w:rPr>
      </w:pPr>
    </w:p>
    <w:p>
      <w:pPr>
        <w:ind w:left="460" w:right="280"/>
        <w:spacing w:after="0" w:line="281"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 Under Statement No. 142, goodwill and other intangible assets with indefinite useful lives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amortized, but are reviewed annually for impairment or more frequently if impairment indicators arise. We perform the required annual goodwill impairment test as of October 1 of each year. Separable intangible assets that have finite lives are amortized over their useful lives. Under Statement No. 142, goodwill and other intangible assets with indefinite useful lives resulting from acquisitions are not amortized.</w:t>
      </w:r>
    </w:p>
    <w:p>
      <w:pPr>
        <w:spacing w:after="0" w:line="70"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In accordance with the guidance provided by SEC Staff Accounting Bulletin No. 104 (“SAB No. 104”),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9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Revenue for established products that have previously satisfied a customer’s acceptance requirements and provide for full payment tied to shipment is generally recognized upon shipment and passage of title. 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w:t>
      </w:r>
    </w:p>
    <w:p>
      <w:pPr>
        <w:spacing w:after="0" w:line="92"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training services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6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at estimated fair value until delivery of the deferred elements.</w:t>
      </w:r>
    </w:p>
    <w:p>
      <w:pPr>
        <w:spacing w:after="0" w:line="92"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29, 2007, we had total deferred revenue of approximately $9.2 million and deferred profit of $4.9 million. At December 30, 2006, we had total deferred revenue of approximately $22.0 million and deferred profit of $9.8 million.</w:t>
      </w:r>
    </w:p>
    <w:p>
      <w:pPr>
        <w:spacing w:after="0" w:line="90" w:lineRule="exact"/>
        <w:rPr>
          <w:sz w:val="20"/>
          <w:szCs w:val="20"/>
          <w:color w:val="auto"/>
        </w:rPr>
      </w:pPr>
    </w:p>
    <w:p>
      <w:pPr>
        <w:ind w:left="460" w:right="100"/>
        <w:spacing w:after="0" w:line="277"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 Product warranty costs are accrued in the period sales are recognized. Our products are generally sold with standard warranty</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Related costs are expensed as incurred.</w:t>
      </w:r>
    </w:p>
    <w:p>
      <w:pPr>
        <w:spacing w:after="0" w:line="74" w:lineRule="exact"/>
        <w:rPr>
          <w:sz w:val="20"/>
          <w:szCs w:val="20"/>
          <w:color w:val="auto"/>
        </w:rPr>
      </w:pPr>
    </w:p>
    <w:p>
      <w:pPr>
        <w:jc w:val="both"/>
        <w:ind w:left="460" w:right="20"/>
        <w:spacing w:after="0" w:line="289"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 June 2006, the FASB issued FIN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b w:val="1"/>
          <w:bCs w:val="1"/>
          <w:color w:val="auto"/>
        </w:rPr>
        <w:t xml:space="preserve"> </w:t>
      </w:r>
      <w:r>
        <w:rPr>
          <w:rFonts w:ascii="Arial" w:cs="Arial" w:eastAsia="Arial" w:hAnsi="Arial"/>
          <w:sz w:val="17"/>
          <w:szCs w:val="17"/>
          <w:color w:val="auto"/>
        </w:rPr>
        <w:t>(“FIN 48”). FIN 48 prescribes the recognition threshold and measurement criteria for determining the tax benefit amounts to recognize in the financial statements. We adopted the provisions of FIN 48 on December 31, 2006, the first day of our 2007 fiscal year (see Note 7).</w:t>
      </w:r>
    </w:p>
    <w:p>
      <w:pPr>
        <w:spacing w:after="0" w:line="68"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management’s evaluation of 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has also been recognized and recorded, net of federal and state tax benefits, in income tax expense.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460"/>
        <w:spacing w:after="0" w:line="313" w:lineRule="auto"/>
        <w:rPr>
          <w:sz w:val="20"/>
          <w:szCs w:val="20"/>
          <w:color w:val="auto"/>
        </w:rPr>
      </w:pPr>
      <w:r>
        <w:rPr>
          <w:rFonts w:ascii="Arial" w:cs="Arial" w:eastAsia="Arial" w:hAnsi="Arial"/>
          <w:sz w:val="17"/>
          <w:szCs w:val="17"/>
          <w:b w:val="1"/>
          <w:bCs w:val="1"/>
          <w:color w:val="auto"/>
        </w:rPr>
        <w:t xml:space="preserve">Contingencies and Litigation — </w:t>
      </w:r>
      <w:r>
        <w:rPr>
          <w:rFonts w:ascii="Arial" w:cs="Arial" w:eastAsia="Arial" w:hAnsi="Arial"/>
          <w:sz w:val="17"/>
          <w:szCs w:val="17"/>
          <w:color w:val="auto"/>
        </w:rPr>
        <w:t>We assess the probability of adverse judgments in connection with current and threatened litigation. We would accrue</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an adverse judgment if, in our estimation, the adverse outcome is probable and we can reasonably estimate the ultimate cost.</w:t>
      </w:r>
    </w:p>
    <w:p>
      <w:pPr>
        <w:spacing w:after="0" w:line="44"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b w:val="1"/>
          <w:bCs w:val="1"/>
          <w:color w:val="auto"/>
        </w:rPr>
        <w:t xml:space="preserve">Foreign Currency Translation — </w:t>
      </w:r>
      <w:r>
        <w:rPr>
          <w:rFonts w:ascii="Arial" w:cs="Arial" w:eastAsia="Arial" w:hAnsi="Arial"/>
          <w:sz w:val="16"/>
          <w:szCs w:val="16"/>
          <w:color w:val="auto"/>
        </w:rPr>
        <w:t>Our foreign subsidiaries, with the exception of our subsidiary located in Germany, use the U.S. dollar as their</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functional currency. Accordingly, assets and liabilities of these subsidiaries are translated using 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Our subsidiary located in Germany, acquired in</w:t>
      </w:r>
    </w:p>
    <w:p>
      <w:pPr>
        <w:spacing w:after="0" w:line="2" w:lineRule="exact"/>
        <w:rPr>
          <w:sz w:val="20"/>
          <w:szCs w:val="20"/>
          <w:color w:val="auto"/>
        </w:rPr>
      </w:pPr>
    </w:p>
    <w:p>
      <w:pPr>
        <w:ind w:left="460" w:right="180"/>
        <w:spacing w:after="0" w:line="254" w:lineRule="auto"/>
        <w:rPr>
          <w:sz w:val="20"/>
          <w:szCs w:val="20"/>
          <w:color w:val="auto"/>
        </w:rPr>
      </w:pPr>
      <w:r>
        <w:rPr>
          <w:rFonts w:ascii="Arial" w:cs="Arial" w:eastAsia="Arial" w:hAnsi="Arial"/>
          <w:sz w:val="18"/>
          <w:szCs w:val="18"/>
          <w:color w:val="auto"/>
        </w:rPr>
        <w:t>March 2007, uses the Euro as its functional currency and, as a result, its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income.</w:t>
      </w:r>
    </w:p>
    <w:p>
      <w:pPr>
        <w:spacing w:after="0" w:line="91" w:lineRule="exact"/>
        <w:rPr>
          <w:sz w:val="20"/>
          <w:szCs w:val="20"/>
          <w:color w:val="auto"/>
        </w:rPr>
      </w:pPr>
    </w:p>
    <w:p>
      <w:pPr>
        <w:ind w:left="460" w:right="20"/>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 FASB Statement No. 133,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that all derivatives be recognized in the balance sheet at fair value and special accounting for hedging activities that meet certain criteria. We generally do not hold derivative instruments or engage in hedging activities.</w:t>
      </w:r>
    </w:p>
    <w:p>
      <w:pPr>
        <w:spacing w:after="0" w:line="82" w:lineRule="exact"/>
        <w:rPr>
          <w:sz w:val="20"/>
          <w:szCs w:val="20"/>
          <w:color w:val="auto"/>
        </w:rPr>
      </w:pPr>
    </w:p>
    <w:p>
      <w:pPr>
        <w:jc w:val="both"/>
        <w:ind w:left="460" w:right="740"/>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carrying amounts of our financial instruments, including cash and cash equivalents,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accounts receivable, accounts payable and accrued expenses, approximate fair value due to the short maturities of these financial instruments.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Advertising costs were not material for all periods presented.</w:t>
      </w:r>
    </w:p>
    <w:p>
      <w:pPr>
        <w:spacing w:after="0" w:line="131"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b w:val="1"/>
          <w:bCs w:val="1"/>
          <w:color w:val="auto"/>
        </w:rPr>
        <w:t xml:space="preserve">Recent Accounting Pronouncements — </w:t>
      </w:r>
      <w:r>
        <w:rPr>
          <w:rFonts w:ascii="Arial" w:cs="Arial" w:eastAsia="Arial" w:hAnsi="Arial"/>
          <w:sz w:val="17"/>
          <w:szCs w:val="17"/>
          <w:color w:val="auto"/>
        </w:rPr>
        <w:t>In December 2007, the FASB issued Statement No. 141(Revised 2007),</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No. 141R”), which establishes principles and requirements for the reporting entity in a business combination, including recognition and measurement in the financial statements of the identifiable assets acquired, the liabilities assumed, and any non-controlling interest in the acquiree. This statement also establishes disclosure requirements to enable financial statement users to evaluate the nature and financial effects of the business combination. Statement No. 141R applies prospectively to business combinations for which the acquisition date is on or after the beginning of the first annual reporting period beginning on or after December 15, 2008, and interim periods within those fiscal years. Statement No. 141R will become effective for our fiscal year beginning in January 2009. We are currently evaluating the effect the adoption of Statement No. 141R could have on our consolidated financial statements, if any.</w:t>
      </w:r>
    </w:p>
    <w:p>
      <w:pPr>
        <w:spacing w:after="0" w:line="82"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In February 2007, the FASB issued Statement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(“Statement No. 159”). Statement No. 159 expands the use of fair value measurement by permitting entities to choose to measure many financial instruments and certain other items at fair value that are not currently required to be measured at fair value. This statement is effective for the first fiscal year that begins after November 15, 2007. This statement is effective for us beginning in our first quarter of fiscal 2008 which began on December 30, 2007. We have not yet determined whether we will elect to measure any items at fair value under Statement No. 159.</w:t>
      </w:r>
    </w:p>
    <w:p>
      <w:pPr>
        <w:spacing w:after="0" w:line="78"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September 2006, the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(“Statement No. 157”), which defines fair value, establishes a framework for measuring fair value in GAAP, and expands disclosures about fair value measurements. Statement No. 157 does not require any new fair value measurements, but provides guidance on how to measure fair value by providing a fair value hierarchy used to classify the source of the information. This statement is effective for financial statements issued for fiscal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years beginning after November 15, 2007, and interim periods within those fiscal years. This statement is effective for us beginning in our first quarter of fiscal 2008 which began on December 30, 2007. We are evaluating whether adoption of this statement will result in a change to our fair value measurements.</w:t>
      </w:r>
    </w:p>
    <w:p>
      <w:pPr>
        <w:spacing w:after="0" w:line="87"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color w:val="auto"/>
        </w:rPr>
        <w:t>In September 2006, the SEC issued Staff Accounting Bulletin (“SAB”) No. 108, “</w:t>
      </w:r>
      <w:r>
        <w:rPr>
          <w:rFonts w:ascii="Arial" w:cs="Arial" w:eastAsia="Arial" w:hAnsi="Arial"/>
          <w:sz w:val="18"/>
          <w:szCs w:val="18"/>
          <w:i w:val="1"/>
          <w:iCs w:val="1"/>
          <w:color w:val="auto"/>
        </w:rPr>
        <w:t>Considering the Effects of Prior Year Misstatements when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Quantifying Misstatements in Current Year Financial Statements” </w:t>
      </w:r>
      <w:r>
        <w:rPr>
          <w:rFonts w:ascii="Arial" w:cs="Arial" w:eastAsia="Arial" w:hAnsi="Arial"/>
          <w:sz w:val="18"/>
          <w:szCs w:val="18"/>
          <w:color w:val="auto"/>
        </w:rPr>
        <w:t>(“SAB 108”). SAB 108 requires analysis of misstatements using both an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(rollover) approach and a balance sheet (iron curtain) approach in assessing materiality and provides for a one-time cumulative effect transition adjustment. SAB 108 was effective for our fiscal year 2007. The adoption of SAB 108 had no impact on our results of operations, financial position or cash flows.</w:t>
      </w:r>
    </w:p>
    <w:p>
      <w:pPr>
        <w:spacing w:after="0" w:line="94"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 xml:space="preserve">In September 2006, the FASB issued Statement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(an amendment of FASB Statements No. 87, 88, 106, and 132R) (“Statement No. 158”), that requires an employer to recognize in its statement of financial position an asset for a plan’s over funded status or a liability for a plan’s under funded status, measure a plan’s assets and its obligations that determine its funded status as of the end of the employer’s fiscal year (with limited exceptions), and recognize changes in the funded status of a defined benefit postretirement plan in the year in which the changes occur. We adopted the recognition provisions of Statement No. 158 in our December 30, 2006 financial statements. The incremental effect of applying Statement No. 158 on individual line items in our consolidated balance sheet as of December 30, 2006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20" w:type="dxa"/>
            <w:vAlign w:val="bottom"/>
            <w:gridSpan w:val="2"/>
          </w:tcPr>
          <w:p>
            <w:pPr>
              <w:jc w:val="right"/>
              <w:ind w:right="310"/>
              <w:spacing w:after="0"/>
              <w:rPr>
                <w:sz w:val="20"/>
                <w:szCs w:val="20"/>
                <w:color w:val="auto"/>
              </w:rPr>
            </w:pPr>
            <w:r>
              <w:rPr>
                <w:rFonts w:ascii="Arial" w:cs="Arial" w:eastAsia="Arial" w:hAnsi="Arial"/>
                <w:sz w:val="14"/>
                <w:szCs w:val="14"/>
                <w:color w:val="auto"/>
              </w:rPr>
              <w:t>Before Application</w:t>
            </w:r>
          </w:p>
        </w:tc>
        <w:tc>
          <w:tcPr>
            <w:tcW w:w="14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After Application of</w:t>
            </w:r>
          </w:p>
        </w:tc>
      </w:tr>
      <w:tr>
        <w:trPr>
          <w:trHeight w:val="174"/>
        </w:trPr>
        <w:tc>
          <w:tcPr>
            <w:tcW w:w="5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20" w:type="dxa"/>
            <w:vAlign w:val="bottom"/>
            <w:gridSpan w:val="2"/>
          </w:tcPr>
          <w:p>
            <w:pPr>
              <w:jc w:val="right"/>
              <w:ind w:right="370"/>
              <w:spacing w:after="0"/>
              <w:rPr>
                <w:sz w:val="20"/>
                <w:szCs w:val="20"/>
                <w:color w:val="auto"/>
              </w:rPr>
            </w:pPr>
            <w:r>
              <w:rPr>
                <w:rFonts w:ascii="Arial" w:cs="Arial" w:eastAsia="Arial" w:hAnsi="Arial"/>
                <w:sz w:val="14"/>
                <w:szCs w:val="14"/>
                <w:color w:val="auto"/>
              </w:rPr>
              <w:t>of Statement 158</w:t>
            </w:r>
          </w:p>
        </w:tc>
        <w:tc>
          <w:tcPr>
            <w:tcW w:w="1440" w:type="dxa"/>
            <w:vAlign w:val="bottom"/>
          </w:tcPr>
          <w:p>
            <w:pPr>
              <w:ind w:left="420"/>
              <w:spacing w:after="0"/>
              <w:rPr>
                <w:sz w:val="20"/>
                <w:szCs w:val="20"/>
                <w:color w:val="auto"/>
              </w:rPr>
            </w:pPr>
            <w:r>
              <w:rPr>
                <w:rFonts w:ascii="Arial" w:cs="Arial" w:eastAsia="Arial" w:hAnsi="Arial"/>
                <w:sz w:val="14"/>
                <w:szCs w:val="14"/>
                <w:color w:val="auto"/>
              </w:rPr>
              <w:t>Application</w:t>
            </w:r>
          </w:p>
        </w:tc>
        <w:tc>
          <w:tcPr>
            <w:tcW w:w="1600" w:type="dxa"/>
            <w:vAlign w:val="bottom"/>
            <w:gridSpan w:val="2"/>
          </w:tcPr>
          <w:p>
            <w:pPr>
              <w:jc w:val="right"/>
              <w:ind w:right="150"/>
              <w:spacing w:after="0"/>
              <w:rPr>
                <w:sz w:val="20"/>
                <w:szCs w:val="20"/>
                <w:color w:val="auto"/>
              </w:rPr>
            </w:pPr>
            <w:r>
              <w:rPr>
                <w:rFonts w:ascii="Arial" w:cs="Arial" w:eastAsia="Arial" w:hAnsi="Arial"/>
                <w:sz w:val="14"/>
                <w:szCs w:val="14"/>
                <w:color w:val="auto"/>
              </w:rPr>
              <w:t>Statement 158</w:t>
            </w:r>
          </w:p>
        </w:tc>
      </w:tr>
      <w:tr>
        <w:trPr>
          <w:trHeight w:val="216"/>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retiree medical benefits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1,524</w:t>
            </w:r>
          </w:p>
        </w:tc>
        <w:tc>
          <w:tcPr>
            <w:tcW w:w="14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$ 461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1,985</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compensation and benefits (foreign pension obligation)</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13,409</w:t>
            </w:r>
          </w:p>
        </w:tc>
        <w:tc>
          <w:tcPr>
            <w:tcW w:w="1440" w:type="dxa"/>
            <w:vAlign w:val="bottom"/>
          </w:tcPr>
          <w:p>
            <w:pPr>
              <w:ind w:left="500"/>
              <w:spacing w:after="0"/>
              <w:rPr>
                <w:sz w:val="20"/>
                <w:szCs w:val="20"/>
                <w:color w:val="auto"/>
              </w:rPr>
            </w:pPr>
            <w:r>
              <w:rPr>
                <w:rFonts w:ascii="Arial" w:cs="Arial" w:eastAsia="Arial" w:hAnsi="Arial"/>
                <w:sz w:val="18"/>
                <w:szCs w:val="18"/>
                <w:color w:val="auto"/>
              </w:rPr>
              <w:t>$ 100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13,509</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4,570</w:t>
            </w: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$(177)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4,393</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54,367</w:t>
            </w:r>
          </w:p>
        </w:tc>
        <w:tc>
          <w:tcPr>
            <w:tcW w:w="1440" w:type="dxa"/>
            <w:vAlign w:val="bottom"/>
          </w:tcPr>
          <w:p>
            <w:pPr>
              <w:ind w:left="500"/>
              <w:spacing w:after="0"/>
              <w:rPr>
                <w:sz w:val="20"/>
                <w:szCs w:val="20"/>
                <w:color w:val="auto"/>
              </w:rPr>
            </w:pPr>
            <w:r>
              <w:rPr>
                <w:rFonts w:ascii="Arial" w:cs="Arial" w:eastAsia="Arial" w:hAnsi="Arial"/>
                <w:sz w:val="18"/>
                <w:szCs w:val="18"/>
                <w:color w:val="auto"/>
              </w:rPr>
              <w:t>$ 384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54,751</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(414)</w:t>
            </w: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w w:val="89"/>
              </w:rPr>
              <w:t>271,972</w:t>
            </w:r>
          </w:p>
        </w:tc>
        <w:tc>
          <w:tcPr>
            <w:tcW w:w="1440" w:type="dxa"/>
            <w:vAlign w:val="bottom"/>
          </w:tcPr>
          <w:p>
            <w:pPr>
              <w:ind w:left="500"/>
              <w:spacing w:after="0"/>
              <w:rPr>
                <w:sz w:val="20"/>
                <w:szCs w:val="20"/>
                <w:color w:val="auto"/>
              </w:rPr>
            </w:pPr>
            <w:r>
              <w:rPr>
                <w:rFonts w:ascii="Arial" w:cs="Arial" w:eastAsia="Arial" w:hAnsi="Arial"/>
                <w:sz w:val="18"/>
                <w:szCs w:val="18"/>
                <w:color w:val="auto"/>
              </w:rPr>
              <w:t>$(384)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6"/>
              </w:rPr>
              <w:t>271,588</w:t>
            </w:r>
          </w:p>
        </w:tc>
      </w:tr>
    </w:tbl>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 xml:space="preserve">In June 2006, the FASB reached a consensus on Emerging Issues Task Force (“EITF”) Issue No. 06-3, </w:t>
      </w:r>
      <w:r>
        <w:rPr>
          <w:rFonts w:ascii="Arial" w:cs="Arial" w:eastAsia="Arial" w:hAnsi="Arial"/>
          <w:sz w:val="16"/>
          <w:szCs w:val="16"/>
          <w:i w:val="1"/>
          <w:iCs w:val="1"/>
          <w:color w:val="auto"/>
        </w:rPr>
        <w:t>How Taxes Collected from Customers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Remitted to Governmental Authorities Should Be Presented in the Income Statement (That Is, Gross versus Net Presentation) </w:t>
      </w:r>
      <w:r>
        <w:rPr>
          <w:rFonts w:ascii="Arial" w:cs="Arial" w:eastAsia="Arial" w:hAnsi="Arial"/>
          <w:sz w:val="16"/>
          <w:szCs w:val="16"/>
          <w:color w:val="auto"/>
        </w:rPr>
        <w:t>(“EITF 06-03”). EITF 06-3 indicates that the income statement presentation on either a gross basis or a net basis of the taxes within the scope of the issue is an accounting policy decision that should be disclosed. EITF 06-3 is effective for interim and annual periods beginning after December 15, 2006. The adoption of EITF 06-3 did not change our policy of presenting taxes within the scope of EITF 06-3 on a net basis and had no impact on our consolidated financial statements.</w:t>
      </w:r>
    </w:p>
    <w:p>
      <w:pPr>
        <w:spacing w:after="0" w:line="18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jc w:val="both"/>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May 2006, we sold substantially all the assets of our metal detection equipment business, FRL. Our decision to sell FRL resulted from management’s determination that this industry segment was no longer a strategic fit within our organization. We are currently attempting to sell our FRL facility in Los Banos, California and believe the current fair value of the property is in excess of its $0.5 million carrying value at December 29,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key financial information of our discontinued operations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29,</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74"/>
        </w:trPr>
        <w:tc>
          <w:tcPr>
            <w:tcW w:w="7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2,356</w:t>
            </w:r>
          </w:p>
        </w:tc>
        <w:tc>
          <w:tcPr>
            <w:tcW w:w="48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7,520</w:t>
            </w:r>
          </w:p>
        </w:tc>
      </w:tr>
      <w:tr>
        <w:trPr>
          <w:trHeight w:val="20"/>
        </w:trPr>
        <w:tc>
          <w:tcPr>
            <w:tcW w:w="7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5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right="5340" w:hanging="452"/>
        <w:spacing w:after="0" w:line="393"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Goodwill and Other Intangible Assets </w:t>
      </w:r>
      <w:r>
        <w:rPr>
          <w:rFonts w:ascii="Arial" w:cs="Arial" w:eastAsia="Arial" w:hAnsi="Arial"/>
          <w:sz w:val="18"/>
          <w:szCs w:val="18"/>
          <w:i w:val="1"/>
          <w:iCs w:val="1"/>
          <w:u w:val="single" w:color="auto"/>
          <w:color w:val="auto"/>
        </w:rPr>
        <w:t>Tandberg Television AVS GmbH</w:t>
      </w:r>
    </w:p>
    <w:p>
      <w:pPr>
        <w:spacing w:after="0" w:line="1"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March 30, 2007, we purchased Tandberg Television AVS GmbH (“AVS”). The results of AVS’ operations have been included in our consolidated financial statements since that date. Pro forma results of operations have not been presented because the effect of the acquisition was not material. AVS, located near Frankfurt, Germany, designs, develops, manufactures and sells digital microwave transmitters, receivers and communications systems. This acquisition expands our digital microwave communications solutions, especially in high definition broadcast television and public safety and law enforcement applications.</w:t>
      </w:r>
    </w:p>
    <w:p>
      <w:pPr>
        <w:spacing w:after="0" w:line="93" w:lineRule="exact"/>
        <w:rPr>
          <w:rFonts w:ascii="Arial" w:cs="Arial" w:eastAsia="Arial" w:hAnsi="Arial"/>
          <w:sz w:val="18"/>
          <w:szCs w:val="18"/>
          <w:b w:val="1"/>
          <w:bCs w:val="1"/>
          <w:color w:val="auto"/>
        </w:rPr>
      </w:pPr>
    </w:p>
    <w:p>
      <w:pPr>
        <w:ind w:left="46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purchase price of this acquisition was approximately $8.2 million, and was funded primarily by our cash reserves ($8.0 million), other acquisition costs ($0.2 million) and certain AVS liabilities assumed ($2.3 million). The acquisition was considered a business in accordance with EITF 98-3, “</w:t>
      </w:r>
      <w:r>
        <w:rPr>
          <w:rFonts w:ascii="Arial" w:cs="Arial" w:eastAsia="Arial" w:hAnsi="Arial"/>
          <w:sz w:val="16"/>
          <w:szCs w:val="16"/>
          <w:i w:val="1"/>
          <w:iCs w:val="1"/>
          <w:color w:val="auto"/>
        </w:rPr>
        <w:t>Determining Whether a Nonmonetary Transaction Involves Receipt of Productive Assets or of a Business</w:t>
      </w:r>
      <w:r>
        <w:rPr>
          <w:rFonts w:ascii="Arial" w:cs="Arial" w:eastAsia="Arial" w:hAnsi="Arial"/>
          <w:sz w:val="16"/>
          <w:szCs w:val="16"/>
          <w:color w:val="auto"/>
        </w:rPr>
        <w:t xml:space="preserve">” (“EITF 98-3”), and the total cost of the acquisition was allocated to the assets acquired and liabilities assumed based on their estimated respective fair values, in accordance with FASB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(“Statement No. 141”). The acquisition was nontaxable and certain of the assets acquired, including goodwill and intangibles, will not be deductible for tax purposes. The goodwill was assigned to our microwave communications segment.</w:t>
      </w:r>
    </w:p>
    <w:p>
      <w:pPr>
        <w:spacing w:after="0" w:line="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Amounts allocated to intangible assets are being amortized on a straight-line basis over their useful lives of four years. Fluctuations in the exchange rate of the Euro, the functional currency of AVS, impact the U.S. dollar value of the goodwill and intangible assets in our consolidated financial statements and, as a result, future amortization of the acquired intangible assets may differ from the amounts presented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Unigen Acquisition</w:t>
      </w:r>
    </w:p>
    <w:p>
      <w:pPr>
        <w:spacing w:after="0" w:line="131"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On December 29, 2005, we entered into an exclusive, perpetual, irrevocable, world-wide, royalty-free license for certain patents with Unisys Corporation (“Unisys”)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 applications.</w:t>
      </w:r>
    </w:p>
    <w:p>
      <w:pPr>
        <w:spacing w:after="0" w:line="94"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Included in the assets we acquired were the patents licensed from Unisys in December 2005 and, as a result, these two transactions have been combined for purposes of allocating the total purchase price to the assets acquired. The purchase price of this acquisition was approximately $17.2 million, and was funded primarily by our cash reserves ($7.7 million), cash previously paid in December 2005 for the patent license and a deposit on the acquisition ($5.3 million), other acquisition costs ($0.2 million) and certain Unigen liabilities assumed ($0.1 million). We also recorded a $4.0 million liability for amounts owed to Unisys for inventory we acquired. The acquisition was considered a business in accordance with EITF 98-3, and the total cost of the acquisition was allocated to the assets acquired and liabilities assumed based on their respective fair values in accordance with Statement No. 141. All assets will be fully deductible for tax purposes. The goodwill was assigned to our semiconductor equipment segment.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Amounts allocated to intangible assets are being amortized on a straight-line basis over their estimated useful lives of five years. Pro forma results of operations have not been presented because the effect of the acquisition was not material.</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KryoTech Acquisition</w:t>
      </w:r>
    </w:p>
    <w:p>
      <w:pPr>
        <w:spacing w:after="0" w:line="131" w:lineRule="exact"/>
        <w:rPr>
          <w:sz w:val="20"/>
          <w:szCs w:val="20"/>
          <w:color w:val="auto"/>
        </w:rPr>
      </w:pPr>
    </w:p>
    <w:p>
      <w:pPr>
        <w:jc w:val="both"/>
        <w:ind w:left="460" w:right="200"/>
        <w:spacing w:after="0" w:line="286" w:lineRule="auto"/>
        <w:rPr>
          <w:sz w:val="20"/>
          <w:szCs w:val="20"/>
          <w:color w:val="auto"/>
        </w:rPr>
      </w:pPr>
      <w:r>
        <w:rPr>
          <w:rFonts w:ascii="Arial" w:cs="Arial" w:eastAsia="Arial" w:hAnsi="Arial"/>
          <w:sz w:val="16"/>
          <w:szCs w:val="16"/>
          <w:color w:val="auto"/>
        </w:rPr>
        <w:t>On May 6, 2005, we purchased substantially all the assets and operations of KryoTech, Inc. (“KryoTech”). The results of KryoTech’s operations have been included in the consolidated financial statements since that date. The purchase price of this acquisition was approximately $3.6 million, and was funded primarily by our cash reserves ($2.9 million). The purchase price also included the payment of the outstanding principal balance and accrued interest on the promissory note with KryoTech ($0.5 million), other acquisition costs ($0.2 million) and certain KryoTech liabilities assumed</w:t>
      </w:r>
    </w:p>
    <w:p>
      <w:pPr>
        <w:spacing w:after="0" w:line="2"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($0.5 million). The acquisition was considered a business in accordance with EITF 98-3, and the total cost of the acquisition was allocated to the assets acquired and liabilities assumed based on their respective fair values in accordance with Statement No. 141. All assets will be fully deductible for tax purposes. The goodwill was assigned to our semiconductor equipment segment.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 xml:space="preserve">The allocation of the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4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useful lives of three years. Pro forma results of operations have not been presented because the effect of the acquisition was not material.</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Purchased intangible assets, subject to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color w:val="auto"/>
              </w:rPr>
              <w:t>December 29, 2007</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97"/>
              </w:rPr>
              <w:t>December 30, 2006</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23" w:lineRule="exact"/>
              <w:rPr>
                <w:sz w:val="20"/>
                <w:szCs w:val="20"/>
                <w:color w:val="auto"/>
              </w:rPr>
            </w:pPr>
            <w:r>
              <w:rPr>
                <w:rFonts w:ascii="Arial" w:cs="Arial" w:eastAsia="Arial" w:hAnsi="Arial"/>
                <w:sz w:val="14"/>
                <w:szCs w:val="14"/>
                <w:color w:val="auto"/>
                <w:w w:val="89"/>
              </w:rPr>
              <w:t>Gross Carrying</w:t>
            </w:r>
          </w:p>
        </w:tc>
        <w:tc>
          <w:tcPr>
            <w:tcW w:w="1740" w:type="dxa"/>
            <w:vAlign w:val="bottom"/>
            <w:gridSpan w:val="4"/>
          </w:tcPr>
          <w:p>
            <w:pPr>
              <w:jc w:val="right"/>
              <w:ind w:right="32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Amount</w:t>
            </w: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9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KryoTech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1,730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AVS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11,379</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Amortization expense related to purchased intangible assets was approximately $2.5 million, $1.7 million and $0.9 million in 2007, 2006 and 2005, respectively. As of December 29, 2007, we expect amortization expense in future periods to be as follows: 2008 — $2,223,000; 2009 — $2,006,000; 2010 — $2,006,000 and 2011 — $460,000.</w:t>
      </w:r>
    </w:p>
    <w:p>
      <w:pPr>
        <w:spacing w:after="0" w:line="8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by security type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8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500"/>
              <w:spacing w:after="0" w:line="123" w:lineRule="exact"/>
              <w:rPr>
                <w:sz w:val="20"/>
                <w:szCs w:val="20"/>
                <w:color w:val="auto"/>
              </w:rPr>
            </w:pPr>
            <w:r>
              <w:rPr>
                <w:rFonts w:ascii="Arial" w:cs="Arial" w:eastAsia="Arial" w:hAnsi="Arial"/>
                <w:sz w:val="14"/>
                <w:szCs w:val="14"/>
                <w:color w:val="auto"/>
              </w:rPr>
              <w:t>Gross</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Amortized</w:t>
            </w:r>
          </w:p>
        </w:tc>
        <w:tc>
          <w:tcPr>
            <w:tcW w:w="3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color w:val="auto"/>
                <w:w w:val="90"/>
              </w:rPr>
              <w:t>Cost</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0"/>
              </w:rPr>
              <w:t>Losses</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33,807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48,167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1,798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92,770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vMerge w:val="restart"/>
          </w:tcPr>
          <w:p>
            <w:pPr>
              <w:jc w:val="right"/>
              <w:ind w:right="65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260"/>
              <w:spacing w:after="0" w:line="123" w:lineRule="exact"/>
              <w:rPr>
                <w:sz w:val="20"/>
                <w:szCs w:val="20"/>
                <w:color w:val="auto"/>
              </w:rPr>
            </w:pPr>
            <w:r>
              <w:rPr>
                <w:rFonts w:ascii="Arial" w:cs="Arial" w:eastAsia="Arial" w:hAnsi="Arial"/>
                <w:sz w:val="14"/>
                <w:szCs w:val="14"/>
                <w:color w:val="auto"/>
                <w:w w:val="96"/>
              </w:rPr>
              <w:t>Gross</w:t>
            </w: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center"/>
              <w:ind w:right="180"/>
              <w:spacing w:after="0" w:line="123" w:lineRule="exact"/>
              <w:rPr>
                <w:sz w:val="20"/>
                <w:szCs w:val="20"/>
                <w:color w:val="auto"/>
              </w:rPr>
            </w:pPr>
            <w:r>
              <w:rPr>
                <w:rFonts w:ascii="Arial" w:cs="Arial" w:eastAsia="Arial" w:hAnsi="Arial"/>
                <w:sz w:val="14"/>
                <w:szCs w:val="14"/>
                <w:color w:val="auto"/>
                <w:w w:val="90"/>
              </w:rPr>
              <w:t>Gross</w:t>
            </w: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89"/>
              </w:rPr>
              <w:t>Estimated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8"/>
              </w:rPr>
              <w:t>Amortized</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Unrealized</w:t>
            </w:r>
          </w:p>
        </w:tc>
        <w:tc>
          <w:tcPr>
            <w:tcW w:w="600" w:type="dxa"/>
            <w:vAlign w:val="bottom"/>
          </w:tcPr>
          <w:p>
            <w:pPr>
              <w:spacing w:after="0"/>
              <w:rPr>
                <w:sz w:val="12"/>
                <w:szCs w:val="12"/>
                <w:color w:val="auto"/>
              </w:rPr>
            </w:pPr>
          </w:p>
        </w:tc>
        <w:tc>
          <w:tcPr>
            <w:tcW w:w="70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Fair</w:t>
            </w:r>
          </w:p>
        </w:tc>
      </w:tr>
      <w:tr>
        <w:trPr>
          <w:trHeight w:val="174"/>
        </w:trPr>
        <w:tc>
          <w:tcPr>
            <w:tcW w:w="20" w:type="dxa"/>
            <w:vAlign w:val="bottom"/>
          </w:tcPr>
          <w:p>
            <w:pPr>
              <w:spacing w:after="0"/>
              <w:rPr>
                <w:sz w:val="15"/>
                <w:szCs w:val="15"/>
                <w:color w:val="auto"/>
              </w:rPr>
            </w:pPr>
          </w:p>
        </w:tc>
        <w:tc>
          <w:tcPr>
            <w:tcW w:w="5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color w:val="auto"/>
                <w:w w:val="90"/>
              </w:rPr>
              <w:t>Cost</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8"/>
              </w:rPr>
              <w:t>Gains</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0"/>
              </w:rPr>
              <w:t>Losses</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9"/>
              </w:rPr>
              <w:t>Value</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12,871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12,872</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96,249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96,206</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10,509</w:t>
            </w: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123,136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$ 123,087</w:t>
            </w:r>
          </w:p>
        </w:tc>
      </w:tr>
      <w:tr>
        <w:trPr>
          <w:trHeight w:val="20"/>
        </w:trPr>
        <w:tc>
          <w:tcPr>
            <w:tcW w:w="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80" w:type="dxa"/>
            <w:vAlign w:val="bottom"/>
            <w:gridSpan w:val="5"/>
          </w:tcPr>
          <w:p>
            <w:pPr>
              <w:ind w:left="440"/>
              <w:spacing w:after="0"/>
              <w:rPr>
                <w:sz w:val="20"/>
                <w:szCs w:val="20"/>
                <w:color w:val="auto"/>
              </w:rPr>
            </w:pPr>
            <w:r>
              <w:rPr>
                <w:rFonts w:ascii="Arial" w:cs="Arial" w:eastAsia="Arial" w:hAnsi="Arial"/>
                <w:sz w:val="18"/>
                <w:szCs w:val="18"/>
                <w:color w:val="auto"/>
              </w:rPr>
              <w:t>Contractual maturities of short-term investments at December 29, 2007, were as follows: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4"/>
                <w:szCs w:val="14"/>
                <w:color w:val="auto"/>
                <w:w w:val="98"/>
              </w:rPr>
              <w:t>Amortized</w:t>
            </w:r>
          </w:p>
        </w:tc>
        <w:tc>
          <w:tcPr>
            <w:tcW w:w="66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Estimated</w:t>
            </w:r>
          </w:p>
        </w:tc>
      </w:tr>
      <w:tr>
        <w:trPr>
          <w:trHeight w:val="174"/>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Fair Value</w:t>
            </w:r>
          </w:p>
        </w:tc>
      </w:tr>
      <w:tr>
        <w:trPr>
          <w:trHeight w:val="216"/>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0"/>
              </w:rPr>
              <w:t>42,580</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42,625</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80"/>
              <w:spacing w:after="0"/>
              <w:rPr>
                <w:sz w:val="20"/>
                <w:szCs w:val="20"/>
                <w:color w:val="auto"/>
              </w:rPr>
            </w:pPr>
            <w:r>
              <w:rPr>
                <w:rFonts w:ascii="Arial" w:cs="Arial" w:eastAsia="Arial" w:hAnsi="Arial"/>
                <w:sz w:val="18"/>
                <w:szCs w:val="18"/>
                <w:color w:val="auto"/>
                <w:w w:val="90"/>
              </w:rPr>
              <w:t>16,383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16,406</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 not due at a single maturity date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0"/>
              </w:rPr>
              <w:t>33,807</w:t>
            </w: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33,806</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87"/>
              </w:rPr>
              <w:t>92,770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$ 92,837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realized gains and losses on sales of short-term investments are included in interest income and were not significant in any period.</w:t>
      </w:r>
    </w:p>
    <w:p>
      <w:pPr>
        <w:spacing w:after="0" w:line="12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30" w:lineRule="exact"/>
        <w:rPr>
          <w:rFonts w:ascii="Arial" w:cs="Arial" w:eastAsia="Arial" w:hAnsi="Arial"/>
          <w:sz w:val="18"/>
          <w:szCs w:val="18"/>
          <w:b w:val="1"/>
          <w:bCs w:val="1"/>
          <w:color w:val="auto"/>
        </w:rPr>
      </w:pPr>
    </w:p>
    <w:p>
      <w:pPr>
        <w:ind w:left="460" w:right="1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We have a voluntary defined contribution retirement 401(k) plan whereby we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During 2007, 2006 and 2005 our contributions to the plan were approximately $1.5 million, $1.6 million and $1.3 million, respectively. Certain of our foreign employees participate in defined benefit pension plans. The related expense and benefit obligation of these plans were not significant for any period presented.</w:t>
      </w:r>
    </w:p>
    <w:p>
      <w:pPr>
        <w:spacing w:after="0" w:line="85" w:lineRule="exact"/>
        <w:rPr>
          <w:rFonts w:ascii="Arial" w:cs="Arial" w:eastAsia="Arial" w:hAnsi="Arial"/>
          <w:sz w:val="18"/>
          <w:szCs w:val="18"/>
          <w:b w:val="1"/>
          <w:bCs w:val="1"/>
          <w:color w:val="auto"/>
        </w:rPr>
      </w:pPr>
    </w:p>
    <w:p>
      <w:pPr>
        <w:ind w:left="46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benefit cost was $143,000, $160,000 and $130,000 in 2007, 2006 and 2005, respectively. We fund benefits as costs are incurred and as a result there are no plan assets.</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weighted average discount rate used in determining the accumulated post-retirement benefit obligation was 6.40% in 2007, 5.75% in 2006 and</w:t>
      </w:r>
    </w:p>
    <w:p>
      <w:pPr>
        <w:spacing w:after="0" w:line="46"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5.5% in 2005. The weighted average discount rate used in determining the periodic benefit cost was 5.75% in 2007, 5.5% in 2006 and 6.0% in 2005. Annual rates of increase of the cost of health benefits were assumed to be 8.5% for 2008. These rates were then assumed to decrease 0.50% per year to 5.0% in 2015 and remain level thereafter. A 1% increase (decrease) in health care cost trend rates would increase (decrease) the 2007 net periodic benefit cost by approximately $17,000 ($15,000) and the accumulated post-retirement benefit obligation as of December 29, 2007, by approximately $252,000 ($212,000).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following table sets forth the post-retirement benefit obligation, funded status and the accrued liability recognized in the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year</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end of year</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(1,985)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net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Amount recognized prior to application of Statement No. 158</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(1,594)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Transition obligation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Accrued liability recognized in the consolidated balance sheet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 The Cohu, Inc. Deferred Compensation Plan allows certain of our officers to defer a portion of their current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purchased life insurance policies on the participants with Cohu as the named beneficiary. Participant contributions, distributions and investment earnings and losses are accumulated in a separate account for each participant. At December 29, 2007 and December 30, 2006, the payroll liability to participants, included in accrued compensation and benefits in the consolidated balance sheet, was approximately $2.6 million and</w:t>
      </w:r>
    </w:p>
    <w:p>
      <w:pPr>
        <w:spacing w:after="0" w:line="3" w:lineRule="exact"/>
        <w:rPr>
          <w:sz w:val="20"/>
          <w:szCs w:val="20"/>
          <w:color w:val="auto"/>
        </w:rPr>
      </w:pPr>
    </w:p>
    <w:p>
      <w:pPr>
        <w:ind w:left="460" w:right="720"/>
        <w:spacing w:after="0" w:line="261" w:lineRule="auto"/>
        <w:rPr>
          <w:sz w:val="20"/>
          <w:szCs w:val="20"/>
          <w:color w:val="auto"/>
        </w:rPr>
      </w:pPr>
      <w:r>
        <w:rPr>
          <w:rFonts w:ascii="Arial" w:cs="Arial" w:eastAsia="Arial" w:hAnsi="Arial"/>
          <w:sz w:val="18"/>
          <w:szCs w:val="18"/>
          <w:color w:val="auto"/>
        </w:rPr>
        <w:t>$2.3 million, respectively and the cash surrender value of the related life insurance policies included in other current assets was approximately $2.5 million and $2.1 million, respectively.</w:t>
      </w:r>
    </w:p>
    <w:p>
      <w:pPr>
        <w:spacing w:after="0" w:line="85"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1,400,000 shares of our common stock. Under the Plan, eligible employees may purchase shares of common stock through payroll deductions. The price paid for the common stock is equal to 85% of the fair market value of our common stock on specified dates. In 2007, 2006, and 2005, 83,108, 73,338, and 77,611 shares, respectively, were issued under the Plan. At December 29, 2007, there were 602,019 shares reserved for issuance under the Plan.</w:t>
      </w:r>
    </w:p>
    <w:p>
      <w:pPr>
        <w:spacing w:after="0" w:line="89" w:lineRule="exact"/>
        <w:rPr>
          <w:sz w:val="20"/>
          <w:szCs w:val="20"/>
          <w:color w:val="auto"/>
        </w:rPr>
      </w:pPr>
    </w:p>
    <w:p>
      <w:pPr>
        <w:ind w:left="460" w:right="20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December 29, 2007, 1,018,748 shares were available for future equity grants under the Cohu, Inc. 2005 Equity Incentive Plan. We have historically issued new shares of Cohu common stock upon share option exercise.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676"/>
              <w:spacing w:after="0"/>
              <w:rPr>
                <w:sz w:val="20"/>
                <w:szCs w:val="20"/>
                <w:color w:val="auto"/>
              </w:rPr>
            </w:pPr>
            <w:r>
              <w:rPr>
                <w:rFonts w:ascii="Arial" w:cs="Arial" w:eastAsia="Arial" w:hAnsi="Arial"/>
                <w:sz w:val="14"/>
                <w:szCs w:val="14"/>
                <w:color w:val="auto"/>
              </w:rPr>
              <w:t>2007</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696"/>
              <w:spacing w:after="0"/>
              <w:rPr>
                <w:sz w:val="20"/>
                <w:szCs w:val="20"/>
                <w:color w:val="auto"/>
              </w:rPr>
            </w:pPr>
            <w:r>
              <w:rPr>
                <w:rFonts w:ascii="Arial" w:cs="Arial" w:eastAsia="Arial" w:hAnsi="Arial"/>
                <w:sz w:val="14"/>
                <w:szCs w:val="14"/>
                <w:color w:val="auto"/>
              </w:rPr>
              <w:t>2006</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tcPr>
          <w:p>
            <w:pPr>
              <w:jc w:val="right"/>
              <w:ind w:right="856"/>
              <w:spacing w:after="0" w:line="123" w:lineRule="exact"/>
              <w:rPr>
                <w:sz w:val="20"/>
                <w:szCs w:val="20"/>
                <w:color w:val="auto"/>
              </w:rPr>
            </w:pPr>
            <w:r>
              <w:rPr>
                <w:rFonts w:ascii="Arial" w:cs="Arial" w:eastAsia="Arial" w:hAnsi="Arial"/>
                <w:sz w:val="14"/>
                <w:szCs w:val="14"/>
                <w:color w:val="auto"/>
              </w:rPr>
              <w:t>Wt. Avg.</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jc w:val="right"/>
              <w:ind w:right="876"/>
              <w:spacing w:after="0" w:line="123" w:lineRule="exact"/>
              <w:rPr>
                <w:sz w:val="20"/>
                <w:szCs w:val="20"/>
                <w:color w:val="auto"/>
              </w:rPr>
            </w:pPr>
            <w:r>
              <w:rPr>
                <w:rFonts w:ascii="Arial" w:cs="Arial" w:eastAsia="Arial" w:hAnsi="Arial"/>
                <w:sz w:val="14"/>
                <w:szCs w:val="14"/>
                <w:color w:val="auto"/>
              </w:rPr>
              <w:t>Wt. Avg.</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67"/>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2200" w:type="dxa"/>
            <w:vAlign w:val="bottom"/>
          </w:tcPr>
          <w:p>
            <w:pPr>
              <w:jc w:val="right"/>
              <w:ind w:right="856"/>
              <w:spacing w:after="0"/>
              <w:rPr>
                <w:sz w:val="20"/>
                <w:szCs w:val="20"/>
                <w:color w:val="auto"/>
              </w:rPr>
            </w:pPr>
            <w:r>
              <w:rPr>
                <w:rFonts w:ascii="Arial" w:cs="Arial" w:eastAsia="Arial" w:hAnsi="Arial"/>
                <w:sz w:val="14"/>
                <w:szCs w:val="14"/>
                <w:color w:val="auto"/>
              </w:rPr>
              <w:t>Ex. Price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Shares</w:t>
            </w:r>
          </w:p>
        </w:tc>
        <w:tc>
          <w:tcPr>
            <w:tcW w:w="2240" w:type="dxa"/>
            <w:vAlign w:val="bottom"/>
          </w:tcPr>
          <w:p>
            <w:pPr>
              <w:jc w:val="right"/>
              <w:ind w:right="876"/>
              <w:spacing w:after="0"/>
              <w:rPr>
                <w:sz w:val="20"/>
                <w:szCs w:val="20"/>
                <w:color w:val="auto"/>
              </w:rPr>
            </w:pPr>
            <w:r>
              <w:rPr>
                <w:rFonts w:ascii="Arial" w:cs="Arial" w:eastAsia="Arial" w:hAnsi="Arial"/>
                <w:sz w:val="14"/>
                <w:szCs w:val="14"/>
                <w:color w:val="auto"/>
              </w:rPr>
              <w:t>Ex. Price</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500" w:type="dxa"/>
            <w:vAlign w:val="bottom"/>
          </w:tcPr>
          <w:p>
            <w:pPr>
              <w:jc w:val="right"/>
              <w:ind w:right="136"/>
              <w:spacing w:after="0"/>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2,430</w:t>
            </w:r>
          </w:p>
        </w:tc>
        <w:tc>
          <w:tcPr>
            <w:tcW w:w="22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$15.88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2,504</w:t>
            </w:r>
          </w:p>
        </w:tc>
        <w:tc>
          <w:tcPr>
            <w:tcW w:w="22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$15.66</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3,054</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219</w:t>
            </w:r>
          </w:p>
        </w:tc>
        <w:tc>
          <w:tcPr>
            <w:tcW w:w="2200" w:type="dxa"/>
            <w:vAlign w:val="bottom"/>
          </w:tcPr>
          <w:p>
            <w:pPr>
              <w:jc w:val="right"/>
              <w:ind w:right="916"/>
              <w:spacing w:after="0"/>
              <w:rPr>
                <w:sz w:val="20"/>
                <w:szCs w:val="20"/>
                <w:color w:val="auto"/>
              </w:rPr>
            </w:pPr>
            <w:r>
              <w:rPr>
                <w:rFonts w:ascii="Arial" w:cs="Arial" w:eastAsia="Arial" w:hAnsi="Arial"/>
                <w:sz w:val="18"/>
                <w:szCs w:val="18"/>
                <w:color w:val="auto"/>
              </w:rPr>
              <w:t>$15.98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2240" w:type="dxa"/>
            <w:vAlign w:val="bottom"/>
          </w:tcPr>
          <w:p>
            <w:pPr>
              <w:jc w:val="right"/>
              <w:ind w:right="936"/>
              <w:spacing w:after="0"/>
              <w:rPr>
                <w:sz w:val="20"/>
                <w:szCs w:val="20"/>
                <w:color w:val="auto"/>
              </w:rPr>
            </w:pPr>
            <w:r>
              <w:rPr>
                <w:rFonts w:ascii="Arial" w:cs="Arial" w:eastAsia="Arial" w:hAnsi="Arial"/>
                <w:sz w:val="18"/>
                <w:szCs w:val="18"/>
                <w:color w:val="auto"/>
              </w:rPr>
              <w:t>$16.48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22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$14.31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22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$14.06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200" w:type="dxa"/>
            <w:vAlign w:val="bottom"/>
          </w:tcPr>
          <w:p>
            <w:pPr>
              <w:jc w:val="right"/>
              <w:ind w:right="916"/>
              <w:spacing w:after="0"/>
              <w:rPr>
                <w:sz w:val="20"/>
                <w:szCs w:val="20"/>
                <w:color w:val="auto"/>
              </w:rPr>
            </w:pPr>
            <w:r>
              <w:rPr>
                <w:rFonts w:ascii="Arial" w:cs="Arial" w:eastAsia="Arial" w:hAnsi="Arial"/>
                <w:sz w:val="18"/>
                <w:szCs w:val="18"/>
                <w:color w:val="auto"/>
              </w:rPr>
              <w:t>$17.96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2240" w:type="dxa"/>
            <w:vAlign w:val="bottom"/>
          </w:tcPr>
          <w:p>
            <w:pPr>
              <w:jc w:val="right"/>
              <w:ind w:right="936"/>
              <w:spacing w:after="0"/>
              <w:rPr>
                <w:sz w:val="20"/>
                <w:szCs w:val="20"/>
                <w:color w:val="auto"/>
              </w:rPr>
            </w:pPr>
            <w:r>
              <w:rPr>
                <w:rFonts w:ascii="Arial" w:cs="Arial" w:eastAsia="Arial" w:hAnsi="Arial"/>
                <w:sz w:val="18"/>
                <w:szCs w:val="18"/>
                <w:color w:val="auto"/>
              </w:rPr>
              <w:t>$16.56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2,356</w:t>
            </w:r>
          </w:p>
        </w:tc>
        <w:tc>
          <w:tcPr>
            <w:tcW w:w="22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$15.97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2,430</w:t>
            </w:r>
          </w:p>
        </w:tc>
        <w:tc>
          <w:tcPr>
            <w:tcW w:w="22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$15.88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2,504</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1,693</w:t>
            </w:r>
          </w:p>
        </w:tc>
        <w:tc>
          <w:tcPr>
            <w:tcW w:w="2200" w:type="dxa"/>
            <w:vAlign w:val="bottom"/>
          </w:tcPr>
          <w:p>
            <w:pPr>
              <w:jc w:val="right"/>
              <w:ind w:right="916"/>
              <w:spacing w:after="0"/>
              <w:rPr>
                <w:sz w:val="20"/>
                <w:szCs w:val="20"/>
                <w:color w:val="auto"/>
              </w:rPr>
            </w:pPr>
            <w:r>
              <w:rPr>
                <w:rFonts w:ascii="Arial" w:cs="Arial" w:eastAsia="Arial" w:hAnsi="Arial"/>
                <w:sz w:val="18"/>
                <w:szCs w:val="18"/>
                <w:color w:val="auto"/>
              </w:rPr>
              <w:t>$15.83</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1,529</w:t>
            </w:r>
          </w:p>
        </w:tc>
        <w:tc>
          <w:tcPr>
            <w:tcW w:w="2240" w:type="dxa"/>
            <w:vAlign w:val="bottom"/>
          </w:tcPr>
          <w:p>
            <w:pPr>
              <w:jc w:val="right"/>
              <w:ind w:right="936"/>
              <w:spacing w:after="0"/>
              <w:rPr>
                <w:sz w:val="20"/>
                <w:szCs w:val="20"/>
                <w:color w:val="auto"/>
              </w:rPr>
            </w:pPr>
            <w:r>
              <w:rPr>
                <w:rFonts w:ascii="Arial" w:cs="Arial" w:eastAsia="Arial" w:hAnsi="Arial"/>
                <w:sz w:val="18"/>
                <w:szCs w:val="18"/>
                <w:color w:val="auto"/>
              </w:rPr>
              <w:t>$15.48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1,342</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460" w:right="620"/>
        <w:spacing w:after="0" w:line="264" w:lineRule="auto"/>
        <w:rPr>
          <w:sz w:val="20"/>
          <w:szCs w:val="20"/>
          <w:color w:val="auto"/>
        </w:rPr>
      </w:pPr>
      <w:r>
        <w:rPr>
          <w:rFonts w:ascii="Arial" w:cs="Arial" w:eastAsia="Arial" w:hAnsi="Arial"/>
          <w:sz w:val="18"/>
          <w:szCs w:val="18"/>
          <w:color w:val="auto"/>
        </w:rPr>
        <w:t>The aggregate intrinsic value of options exercised during 2007, 2006 and 2005 was approximately $1.1 million, $2.7 million, and $7.2 million, respectively. At December 29, 2007, the aggregate intrinsic value of options outstanding, vested and expected to vest and exercisable were each approximately $1.7 million.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Information about stock options outstanding at December 29, 2007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Options Outstanding</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Options Exercisable</w:t>
            </w:r>
          </w:p>
        </w:tc>
        <w:tc>
          <w:tcPr>
            <w:tcW w:w="70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Pr>
          <w:p>
            <w:pPr>
              <w:jc w:val="center"/>
              <w:spacing w:after="0" w:line="123" w:lineRule="exact"/>
              <w:rPr>
                <w:sz w:val="20"/>
                <w:szCs w:val="20"/>
                <w:color w:val="auto"/>
              </w:rPr>
            </w:pPr>
            <w:r>
              <w:rPr>
                <w:rFonts w:ascii="Arial" w:cs="Arial" w:eastAsia="Arial" w:hAnsi="Arial"/>
                <w:sz w:val="14"/>
                <w:szCs w:val="14"/>
                <w:color w:val="auto"/>
                <w:w w:val="96"/>
              </w:rPr>
              <w:t>Approximate</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8"/>
              </w:rPr>
              <w:t>Wt. Avg.</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tcPr>
          <w:p>
            <w:pPr>
              <w:jc w:val="center"/>
              <w:ind w:right="416"/>
              <w:spacing w:after="0" w:line="149" w:lineRule="exact"/>
              <w:rPr>
                <w:sz w:val="20"/>
                <w:szCs w:val="20"/>
                <w:color w:val="auto"/>
              </w:rPr>
            </w:pPr>
            <w:r>
              <w:rPr>
                <w:rFonts w:ascii="Arial" w:cs="Arial" w:eastAsia="Arial" w:hAnsi="Arial"/>
                <w:sz w:val="14"/>
                <w:szCs w:val="14"/>
                <w:color w:val="auto"/>
                <w:w w:val="91"/>
              </w:rPr>
              <w:t>Range of</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Number</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1100" w:type="dxa"/>
            <w:vAlign w:val="bottom"/>
            <w:gridSpan w:val="2"/>
          </w:tcPr>
          <w:p>
            <w:pPr>
              <w:jc w:val="right"/>
              <w:ind w:right="150"/>
              <w:spacing w:after="0" w:line="149" w:lineRule="exact"/>
              <w:rPr>
                <w:sz w:val="20"/>
                <w:szCs w:val="20"/>
                <w:color w:val="auto"/>
              </w:rPr>
            </w:pPr>
            <w:r>
              <w:rPr>
                <w:rFonts w:ascii="Arial" w:cs="Arial" w:eastAsia="Arial" w:hAnsi="Arial"/>
                <w:sz w:val="14"/>
                <w:szCs w:val="14"/>
                <w:color w:val="auto"/>
              </w:rPr>
              <w:t>Wt. Avg.</w:t>
            </w:r>
          </w:p>
        </w:tc>
        <w:tc>
          <w:tcPr>
            <w:tcW w:w="480" w:type="dxa"/>
            <w:vAlign w:val="bottom"/>
          </w:tcPr>
          <w:p>
            <w:pPr>
              <w:spacing w:after="0"/>
              <w:rPr>
                <w:sz w:val="12"/>
                <w:szCs w:val="12"/>
                <w:color w:val="auto"/>
              </w:rPr>
            </w:pPr>
          </w:p>
        </w:tc>
        <w:tc>
          <w:tcPr>
            <w:tcW w:w="13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Number</w:t>
            </w:r>
          </w:p>
        </w:tc>
        <w:tc>
          <w:tcPr>
            <w:tcW w:w="1240" w:type="dxa"/>
            <w:vAlign w:val="bottom"/>
            <w:gridSpan w:val="2"/>
          </w:tcPr>
          <w:p>
            <w:pPr>
              <w:jc w:val="right"/>
              <w:ind w:right="150"/>
              <w:spacing w:after="0" w:line="149" w:lineRule="exact"/>
              <w:rPr>
                <w:sz w:val="20"/>
                <w:szCs w:val="20"/>
                <w:color w:val="auto"/>
              </w:rPr>
            </w:pPr>
            <w:r>
              <w:rPr>
                <w:rFonts w:ascii="Arial" w:cs="Arial" w:eastAsia="Arial" w:hAnsi="Arial"/>
                <w:sz w:val="14"/>
                <w:szCs w:val="14"/>
                <w:color w:val="auto"/>
              </w:rPr>
              <w:t>Wt. Avg.</w:t>
            </w:r>
          </w:p>
        </w:tc>
      </w:tr>
      <w:tr>
        <w:trPr>
          <w:trHeight w:val="174"/>
        </w:trPr>
        <w:tc>
          <w:tcPr>
            <w:tcW w:w="20" w:type="dxa"/>
            <w:vAlign w:val="bottom"/>
          </w:tcPr>
          <w:p>
            <w:pPr>
              <w:spacing w:after="0"/>
              <w:rPr>
                <w:sz w:val="15"/>
                <w:szCs w:val="15"/>
                <w:color w:val="auto"/>
              </w:rPr>
            </w:pPr>
          </w:p>
        </w:tc>
        <w:tc>
          <w:tcPr>
            <w:tcW w:w="438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color w:val="auto"/>
                <w:w w:val="91"/>
              </w:rPr>
              <w:t>Exercise Prices</w:t>
            </w:r>
          </w:p>
        </w:tc>
        <w:tc>
          <w:tcPr>
            <w:tcW w:w="11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Outstanding</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Life (Years)</w:t>
            </w:r>
          </w:p>
        </w:tc>
        <w:tc>
          <w:tcPr>
            <w:tcW w:w="11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Ex. Price</w:t>
            </w:r>
          </w:p>
        </w:tc>
        <w:tc>
          <w:tcPr>
            <w:tcW w:w="48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color w:val="auto"/>
              </w:rPr>
              <w:t>Exercisable</w:t>
            </w:r>
          </w:p>
        </w:tc>
        <w:tc>
          <w:tcPr>
            <w:tcW w:w="12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Ex. Price</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$7.69 — $11.54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9.88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9.88</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$11.55 — $17.33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4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6.2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14.81</w:t>
            </w:r>
          </w:p>
        </w:tc>
        <w:tc>
          <w:tcPr>
            <w:tcW w:w="1820" w:type="dxa"/>
            <w:vAlign w:val="bottom"/>
            <w:gridSpan w:val="4"/>
          </w:tcPr>
          <w:p>
            <w:pPr>
              <w:jc w:val="right"/>
              <w:ind w:right="600"/>
              <w:spacing w:after="0"/>
              <w:rPr>
                <w:sz w:val="20"/>
                <w:szCs w:val="20"/>
                <w:color w:val="auto"/>
              </w:rPr>
            </w:pPr>
            <w:r>
              <w:rPr>
                <w:rFonts w:ascii="Arial" w:cs="Arial" w:eastAsia="Arial" w:hAnsi="Arial"/>
                <w:sz w:val="18"/>
                <w:szCs w:val="18"/>
                <w:color w:val="auto"/>
              </w:rPr>
              <w:t>1,074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14.20</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$17.34 — $26.01</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636</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18.72</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564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18.59</w:t>
            </w: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$26.02 — $38.81</w:t>
            </w:r>
          </w:p>
        </w:tc>
        <w:tc>
          <w:tcPr>
            <w:tcW w:w="3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33.54</w:t>
            </w:r>
          </w:p>
        </w:tc>
        <w:tc>
          <w:tcPr>
            <w:tcW w:w="8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33.54</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15.97</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1,693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15.83</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8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During 2006, we began issuing restricted stock units to certain employees and directors. Restricted stock units vest over</w:t>
      </w:r>
      <w:r>
        <w:rPr>
          <w:rFonts w:ascii="Arial" w:cs="Arial" w:eastAsia="Arial" w:hAnsi="Arial"/>
          <w:sz w:val="18"/>
          <w:szCs w:val="18"/>
          <w:b w:val="1"/>
          <w:bCs w:val="1"/>
          <w:color w:val="auto"/>
        </w:rPr>
        <w:t xml:space="preserve"> </w:t>
      </w:r>
      <w:r>
        <w:rPr>
          <w:rFonts w:ascii="Arial" w:cs="Arial" w:eastAsia="Arial" w:hAnsi="Arial"/>
          <w:sz w:val="18"/>
          <w:szCs w:val="18"/>
          <w:color w:val="auto"/>
        </w:rPr>
        <w:t>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217"/>
              <w:spacing w:after="0"/>
              <w:rPr>
                <w:sz w:val="20"/>
                <w:szCs w:val="20"/>
                <w:color w:val="auto"/>
              </w:rPr>
            </w:pPr>
            <w:r>
              <w:rPr>
                <w:rFonts w:ascii="Arial" w:cs="Arial" w:eastAsia="Arial" w:hAnsi="Arial"/>
                <w:sz w:val="14"/>
                <w:szCs w:val="14"/>
                <w:color w:val="auto"/>
              </w:rPr>
              <w:t>2007</w:t>
            </w: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1217"/>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jc w:val="right"/>
              <w:ind w:right="17"/>
              <w:spacing w:after="0" w:line="123" w:lineRule="exact"/>
              <w:rPr>
                <w:sz w:val="20"/>
                <w:szCs w:val="20"/>
                <w:color w:val="auto"/>
              </w:rPr>
            </w:pPr>
            <w:r>
              <w:rPr>
                <w:rFonts w:ascii="Arial" w:cs="Arial" w:eastAsia="Arial" w:hAnsi="Arial"/>
                <w:sz w:val="14"/>
                <w:szCs w:val="14"/>
                <w:color w:val="auto"/>
              </w:rPr>
              <w:t>Weighted Average Grant-</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40" w:type="dxa"/>
            <w:vAlign w:val="bottom"/>
          </w:tcPr>
          <w:p>
            <w:pPr>
              <w:jc w:val="right"/>
              <w:ind w:right="17"/>
              <w:spacing w:after="0" w:line="123" w:lineRule="exact"/>
              <w:rPr>
                <w:sz w:val="20"/>
                <w:szCs w:val="20"/>
                <w:color w:val="auto"/>
              </w:rPr>
            </w:pPr>
            <w:r>
              <w:rPr>
                <w:rFonts w:ascii="Arial" w:cs="Arial" w:eastAsia="Arial" w:hAnsi="Arial"/>
                <w:sz w:val="14"/>
                <w:szCs w:val="14"/>
                <w:color w:val="auto"/>
              </w:rPr>
              <w:t>Weighted Average Grant-</w:t>
            </w:r>
          </w:p>
        </w:tc>
        <w:tc>
          <w:tcPr>
            <w:tcW w:w="0" w:type="dxa"/>
            <w:vAlign w:val="bottom"/>
          </w:tcPr>
          <w:p>
            <w:pPr>
              <w:spacing w:after="0"/>
              <w:rPr>
                <w:sz w:val="1"/>
                <w:szCs w:val="1"/>
                <w:color w:val="auto"/>
              </w:rPr>
            </w:pP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gridSpan w:val="3"/>
          </w:tcPr>
          <w:p>
            <w:pPr>
              <w:jc w:val="right"/>
              <w:ind w:right="380"/>
              <w:spacing w:after="0"/>
              <w:rPr>
                <w:sz w:val="20"/>
                <w:szCs w:val="20"/>
                <w:color w:val="auto"/>
              </w:rPr>
            </w:pPr>
            <w:r>
              <w:rPr>
                <w:rFonts w:ascii="Arial" w:cs="Arial" w:eastAsia="Arial" w:hAnsi="Arial"/>
                <w:sz w:val="14"/>
                <w:szCs w:val="14"/>
                <w:color w:val="auto"/>
              </w:rPr>
              <w:t>Units</w:t>
            </w:r>
          </w:p>
        </w:tc>
        <w:tc>
          <w:tcPr>
            <w:tcW w:w="1960" w:type="dxa"/>
            <w:vAlign w:val="bottom"/>
          </w:tcPr>
          <w:p>
            <w:pPr>
              <w:jc w:val="right"/>
              <w:ind w:right="317"/>
              <w:spacing w:after="0"/>
              <w:rPr>
                <w:sz w:val="20"/>
                <w:szCs w:val="20"/>
                <w:color w:val="auto"/>
              </w:rPr>
            </w:pPr>
            <w:r>
              <w:rPr>
                <w:rFonts w:ascii="Arial" w:cs="Arial" w:eastAsia="Arial" w:hAnsi="Arial"/>
                <w:sz w:val="14"/>
                <w:szCs w:val="14"/>
                <w:color w:val="auto"/>
              </w:rPr>
              <w:t>Date Fair Value</w:t>
            </w:r>
          </w:p>
        </w:tc>
        <w:tc>
          <w:tcPr>
            <w:tcW w:w="400" w:type="dxa"/>
            <w:vAlign w:val="bottom"/>
          </w:tcPr>
          <w:p>
            <w:pPr>
              <w:spacing w:after="0"/>
              <w:rPr>
                <w:sz w:val="15"/>
                <w:szCs w:val="15"/>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color w:val="auto"/>
              </w:rPr>
              <w:t>Units</w:t>
            </w:r>
          </w:p>
        </w:tc>
        <w:tc>
          <w:tcPr>
            <w:tcW w:w="1940" w:type="dxa"/>
            <w:vAlign w:val="bottom"/>
          </w:tcPr>
          <w:p>
            <w:pPr>
              <w:jc w:val="right"/>
              <w:ind w:right="297"/>
              <w:spacing w:after="0"/>
              <w:rPr>
                <w:sz w:val="20"/>
                <w:szCs w:val="20"/>
                <w:color w:val="auto"/>
              </w:rPr>
            </w:pPr>
            <w:r>
              <w:rPr>
                <w:rFonts w:ascii="Arial" w:cs="Arial" w:eastAsia="Arial" w:hAnsi="Arial"/>
                <w:sz w:val="14"/>
                <w:szCs w:val="14"/>
                <w:color w:val="auto"/>
              </w:rPr>
              <w:t>Date 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940" w:type="dxa"/>
            <w:vAlign w:val="bottom"/>
            <w:tcBorders>
              <w:top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253</w:t>
            </w:r>
          </w:p>
        </w:tc>
        <w:tc>
          <w:tcPr>
            <w:tcW w:w="196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rPr>
              <w:t>$15.56</w:t>
            </w: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210</w:t>
            </w:r>
          </w:p>
        </w:tc>
        <w:tc>
          <w:tcPr>
            <w:tcW w:w="1960" w:type="dxa"/>
            <w:vAlign w:val="bottom"/>
          </w:tcPr>
          <w:p>
            <w:pPr>
              <w:jc w:val="right"/>
              <w:ind w:right="557"/>
              <w:spacing w:after="0"/>
              <w:rPr>
                <w:sz w:val="20"/>
                <w:szCs w:val="20"/>
                <w:color w:val="auto"/>
              </w:rPr>
            </w:pPr>
            <w:r>
              <w:rPr>
                <w:rFonts w:ascii="Arial" w:cs="Arial" w:eastAsia="Arial" w:hAnsi="Arial"/>
                <w:sz w:val="18"/>
                <w:szCs w:val="18"/>
                <w:color w:val="auto"/>
              </w:rPr>
              <w:t>$15.00</w:t>
            </w:r>
          </w:p>
        </w:tc>
        <w:tc>
          <w:tcPr>
            <w:tcW w:w="1360" w:type="dxa"/>
            <w:vAlign w:val="bottom"/>
            <w:gridSpan w:val="4"/>
          </w:tcPr>
          <w:p>
            <w:pPr>
              <w:jc w:val="right"/>
              <w:ind w:right="420"/>
              <w:spacing w:after="0"/>
              <w:rPr>
                <w:sz w:val="20"/>
                <w:szCs w:val="20"/>
                <w:color w:val="auto"/>
              </w:rPr>
            </w:pPr>
            <w:r>
              <w:rPr>
                <w:rFonts w:ascii="Arial" w:cs="Arial" w:eastAsia="Arial" w:hAnsi="Arial"/>
                <w:sz w:val="18"/>
                <w:szCs w:val="18"/>
                <w:color w:val="auto"/>
              </w:rPr>
              <w:t>259</w:t>
            </w:r>
          </w:p>
        </w:tc>
        <w:tc>
          <w:tcPr>
            <w:tcW w:w="1940" w:type="dxa"/>
            <w:vAlign w:val="bottom"/>
          </w:tcPr>
          <w:p>
            <w:pPr>
              <w:jc w:val="right"/>
              <w:ind w:right="557"/>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9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$15.60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(25)</w:t>
            </w:r>
          </w:p>
        </w:tc>
        <w:tc>
          <w:tcPr>
            <w:tcW w:w="1960" w:type="dxa"/>
            <w:vAlign w:val="bottom"/>
          </w:tcPr>
          <w:p>
            <w:pPr>
              <w:jc w:val="right"/>
              <w:ind w:right="557"/>
              <w:spacing w:after="0"/>
              <w:rPr>
                <w:sz w:val="20"/>
                <w:szCs w:val="20"/>
                <w:color w:val="auto"/>
              </w:rPr>
            </w:pPr>
            <w:r>
              <w:rPr>
                <w:rFonts w:ascii="Arial" w:cs="Arial" w:eastAsia="Arial" w:hAnsi="Arial"/>
                <w:sz w:val="18"/>
                <w:szCs w:val="18"/>
                <w:color w:val="auto"/>
              </w:rPr>
              <w:t>$15.70</w:t>
            </w: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(6)</w:t>
            </w:r>
          </w:p>
        </w:tc>
        <w:tc>
          <w:tcPr>
            <w:tcW w:w="1940" w:type="dxa"/>
            <w:vAlign w:val="bottom"/>
          </w:tcPr>
          <w:p>
            <w:pPr>
              <w:jc w:val="right"/>
              <w:ind w:right="557"/>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373</w:t>
            </w:r>
          </w:p>
        </w:tc>
        <w:tc>
          <w:tcPr>
            <w:tcW w:w="19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$15.39</w:t>
            </w:r>
          </w:p>
        </w:tc>
        <w:tc>
          <w:tcPr>
            <w:tcW w:w="13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253</w:t>
            </w:r>
          </w:p>
        </w:tc>
        <w:tc>
          <w:tcPr>
            <w:tcW w:w="19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restricted stock units that vested during 2007 was approximately $1.0 million.</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460" w:right="140"/>
        <w:spacing w:after="0" w:line="286" w:lineRule="auto"/>
        <w:rPr>
          <w:sz w:val="20"/>
          <w:szCs w:val="20"/>
          <w:color w:val="auto"/>
        </w:rPr>
      </w:pPr>
      <w:r>
        <w:rPr>
          <w:rFonts w:ascii="Arial" w:cs="Arial" w:eastAsia="Arial" w:hAnsi="Arial"/>
          <w:sz w:val="16"/>
          <w:szCs w:val="16"/>
          <w:b w:val="1"/>
          <w:bCs w:val="1"/>
          <w:color w:val="auto"/>
        </w:rPr>
        <w:t xml:space="preserve">Share-based Compensation — </w:t>
      </w:r>
      <w:r>
        <w:rPr>
          <w:rFonts w:ascii="Arial" w:cs="Arial" w:eastAsia="Arial" w:hAnsi="Arial"/>
          <w:sz w:val="16"/>
          <w:szCs w:val="16"/>
          <w:color w:val="auto"/>
        </w:rPr>
        <w:t>We estimate the fair value of each share-based award on the grant date using the Black-Scholes valuation model. To</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 our adoption of Statement No. 123R, we applied the provisions of SAB No. 107 in developing our methodologies to estimate our Black-Scholes model inputs for certain options.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No. 107’s simplified method for estimating the expected term of share-based awards granted during the first six months of fiscal 2006. During the third quarter of fiscal 2006, we granted options with a ten-year contractual term and utilized historical option exercise data for estimating the expected life of those awards. Statement No. 123R also requires that estimated forfeitures be included as a part of the grant date expense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68" w:lineRule="exact"/>
        <w:rPr>
          <w:sz w:val="20"/>
          <w:szCs w:val="20"/>
          <w:color w:val="auto"/>
        </w:rPr>
      </w:pPr>
    </w:p>
    <w:p>
      <w:pPr>
        <w:ind w:left="460" w:right="220"/>
        <w:spacing w:after="0" w:line="342" w:lineRule="auto"/>
        <w:rPr>
          <w:sz w:val="20"/>
          <w:szCs w:val="20"/>
          <w:color w:val="auto"/>
        </w:rPr>
      </w:pPr>
      <w:r>
        <w:rPr>
          <w:rFonts w:ascii="Arial" w:cs="Arial" w:eastAsia="Arial" w:hAnsi="Arial"/>
          <w:sz w:val="16"/>
          <w:szCs w:val="16"/>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Employee Stock Purchase Plan</w:t>
            </w:r>
          </w:p>
        </w:tc>
        <w:tc>
          <w:tcPr>
            <w:tcW w:w="3300" w:type="dxa"/>
            <w:vAlign w:val="bottom"/>
          </w:tcPr>
          <w:p>
            <w:pPr>
              <w:spacing w:after="0"/>
              <w:rPr>
                <w:sz w:val="14"/>
                <w:szCs w:val="14"/>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0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volatility</w:t>
            </w:r>
          </w:p>
        </w:tc>
        <w:tc>
          <w:tcPr>
            <w:tcW w:w="4300" w:type="dxa"/>
            <w:vAlign w:val="bottom"/>
            <w:gridSpan w:val="2"/>
          </w:tcPr>
          <w:p>
            <w:pPr>
              <w:jc w:val="right"/>
              <w:ind w:right="97"/>
              <w:spacing w:after="0"/>
              <w:rPr>
                <w:sz w:val="20"/>
                <w:szCs w:val="20"/>
                <w:color w:val="auto"/>
              </w:rPr>
            </w:pPr>
            <w:r>
              <w:rPr>
                <w:rFonts w:ascii="Arial" w:cs="Arial" w:eastAsia="Arial" w:hAnsi="Arial"/>
                <w:sz w:val="18"/>
                <w:szCs w:val="18"/>
                <w:color w:val="auto"/>
              </w:rPr>
              <w:t>34.7%</w:t>
            </w:r>
          </w:p>
        </w:tc>
        <w:tc>
          <w:tcPr>
            <w:tcW w:w="1480" w:type="dxa"/>
            <w:vAlign w:val="bottom"/>
            <w:gridSpan w:val="2"/>
          </w:tcPr>
          <w:p>
            <w:pPr>
              <w:jc w:val="right"/>
              <w:ind w:right="97"/>
              <w:spacing w:after="0"/>
              <w:rPr>
                <w:sz w:val="20"/>
                <w:szCs w:val="20"/>
                <w:color w:val="auto"/>
              </w:rPr>
            </w:pPr>
            <w:r>
              <w:rPr>
                <w:rFonts w:ascii="Arial" w:cs="Arial" w:eastAsia="Arial" w:hAnsi="Arial"/>
                <w:sz w:val="18"/>
                <w:szCs w:val="18"/>
                <w:color w:val="auto"/>
              </w:rPr>
              <w:t>42.2%</w:t>
            </w:r>
          </w:p>
        </w:tc>
        <w:tc>
          <w:tcPr>
            <w:tcW w:w="1080" w:type="dxa"/>
            <w:vAlign w:val="bottom"/>
            <w:gridSpan w:val="2"/>
          </w:tcPr>
          <w:p>
            <w:pPr>
              <w:jc w:val="right"/>
              <w:ind w:right="59"/>
              <w:spacing w:after="0"/>
              <w:rPr>
                <w:sz w:val="20"/>
                <w:szCs w:val="20"/>
                <w:color w:val="auto"/>
              </w:rPr>
            </w:pPr>
            <w:r>
              <w:rPr>
                <w:rFonts w:ascii="Arial" w:cs="Arial" w:eastAsia="Arial" w:hAnsi="Arial"/>
                <w:sz w:val="18"/>
                <w:szCs w:val="18"/>
                <w:color w:val="auto"/>
              </w:rPr>
              <w:t>41.0%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0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4.9%</w:t>
            </w:r>
          </w:p>
        </w:tc>
        <w:tc>
          <w:tcPr>
            <w:tcW w:w="14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4.7%</w:t>
            </w:r>
          </w:p>
        </w:tc>
        <w:tc>
          <w:tcPr>
            <w:tcW w:w="10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33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0.5 years</w:t>
            </w:r>
          </w:p>
        </w:tc>
        <w:tc>
          <w:tcPr>
            <w:tcW w:w="4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0.5 years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0.5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430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rPr>
              <w:t>$4.63</w:t>
            </w:r>
          </w:p>
        </w:tc>
        <w:tc>
          <w:tcPr>
            <w:tcW w:w="148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$5.48</w:t>
            </w:r>
          </w:p>
        </w:tc>
        <w:tc>
          <w:tcPr>
            <w:tcW w:w="10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$4.19</w:t>
            </w:r>
          </w:p>
        </w:tc>
      </w:tr>
      <w:tr>
        <w:trPr>
          <w:trHeight w:val="365"/>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Employee Stock Options</w:t>
            </w:r>
          </w:p>
        </w:tc>
        <w:tc>
          <w:tcPr>
            <w:tcW w:w="33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0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volatility</w:t>
            </w:r>
          </w:p>
        </w:tc>
        <w:tc>
          <w:tcPr>
            <w:tcW w:w="4300" w:type="dxa"/>
            <w:vAlign w:val="bottom"/>
            <w:gridSpan w:val="2"/>
          </w:tcPr>
          <w:p>
            <w:pPr>
              <w:jc w:val="right"/>
              <w:ind w:right="117"/>
              <w:spacing w:after="0"/>
              <w:rPr>
                <w:sz w:val="20"/>
                <w:szCs w:val="20"/>
                <w:color w:val="auto"/>
              </w:rPr>
            </w:pPr>
            <w:r>
              <w:rPr>
                <w:rFonts w:ascii="Arial" w:cs="Arial" w:eastAsia="Arial" w:hAnsi="Arial"/>
                <w:sz w:val="18"/>
                <w:szCs w:val="18"/>
                <w:color w:val="auto"/>
              </w:rPr>
              <w:t>38.9%</w:t>
            </w:r>
          </w:p>
        </w:tc>
        <w:tc>
          <w:tcPr>
            <w:tcW w:w="1480" w:type="dxa"/>
            <w:vAlign w:val="bottom"/>
            <w:gridSpan w:val="2"/>
          </w:tcPr>
          <w:p>
            <w:pPr>
              <w:jc w:val="right"/>
              <w:ind w:right="97"/>
              <w:spacing w:after="0"/>
              <w:rPr>
                <w:sz w:val="20"/>
                <w:szCs w:val="20"/>
                <w:color w:val="auto"/>
              </w:rPr>
            </w:pPr>
            <w:r>
              <w:rPr>
                <w:rFonts w:ascii="Arial" w:cs="Arial" w:eastAsia="Arial" w:hAnsi="Arial"/>
                <w:sz w:val="18"/>
                <w:szCs w:val="18"/>
                <w:color w:val="auto"/>
              </w:rPr>
              <w:t>48.1%</w:t>
            </w:r>
          </w:p>
        </w:tc>
        <w:tc>
          <w:tcPr>
            <w:tcW w:w="1080" w:type="dxa"/>
            <w:vAlign w:val="bottom"/>
            <w:gridSpan w:val="2"/>
          </w:tcPr>
          <w:p>
            <w:pPr>
              <w:jc w:val="right"/>
              <w:ind w:right="59"/>
              <w:spacing w:after="0"/>
              <w:rPr>
                <w:sz w:val="20"/>
                <w:szCs w:val="20"/>
                <w:color w:val="auto"/>
              </w:rPr>
            </w:pPr>
            <w:r>
              <w:rPr>
                <w:rFonts w:ascii="Arial" w:cs="Arial" w:eastAsia="Arial" w:hAnsi="Arial"/>
                <w:sz w:val="18"/>
                <w:szCs w:val="18"/>
                <w:color w:val="auto"/>
              </w:rPr>
              <w:t>56.8%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0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3.9%</w:t>
            </w:r>
          </w:p>
        </w:tc>
        <w:tc>
          <w:tcPr>
            <w:tcW w:w="14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4.7%</w:t>
            </w:r>
          </w:p>
        </w:tc>
        <w:tc>
          <w:tcPr>
            <w:tcW w:w="10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33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4.5 years</w:t>
            </w:r>
          </w:p>
        </w:tc>
        <w:tc>
          <w:tcPr>
            <w:tcW w:w="4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4.5 years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430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$5.34</w:t>
            </w:r>
          </w:p>
        </w:tc>
        <w:tc>
          <w:tcPr>
            <w:tcW w:w="148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$6.71</w:t>
            </w:r>
          </w:p>
        </w:tc>
        <w:tc>
          <w:tcPr>
            <w:tcW w:w="10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$7.83</w:t>
            </w:r>
          </w:p>
        </w:tc>
      </w:tr>
      <w:tr>
        <w:trPr>
          <w:trHeight w:val="365"/>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Restricted Stock Units</w:t>
            </w:r>
          </w:p>
        </w:tc>
        <w:tc>
          <w:tcPr>
            <w:tcW w:w="4300" w:type="dxa"/>
            <w:vAlign w:val="bottom"/>
            <w:gridSpan w:val="2"/>
          </w:tcPr>
          <w:p>
            <w:pPr>
              <w:jc w:val="center"/>
              <w:ind w:left="3212"/>
              <w:spacing w:after="0"/>
              <w:rPr>
                <w:sz w:val="20"/>
                <w:szCs w:val="20"/>
                <w:color w:val="auto"/>
              </w:rPr>
            </w:pPr>
            <w:r>
              <w:rPr>
                <w:rFonts w:ascii="Arial" w:cs="Arial" w:eastAsia="Arial" w:hAnsi="Arial"/>
                <w:sz w:val="14"/>
                <w:szCs w:val="14"/>
                <w:b w:val="1"/>
                <w:bCs w:val="1"/>
                <w:color w:val="auto"/>
                <w:w w:val="89"/>
              </w:rPr>
              <w:t>2007</w:t>
            </w:r>
          </w:p>
        </w:tc>
        <w:tc>
          <w:tcPr>
            <w:tcW w:w="148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Dividend yield</w:t>
            </w:r>
          </w:p>
        </w:tc>
        <w:tc>
          <w:tcPr>
            <w:tcW w:w="3300" w:type="dxa"/>
            <w:vAlign w:val="bottom"/>
          </w:tcPr>
          <w:p>
            <w:pPr>
              <w:spacing w:after="0"/>
              <w:rPr>
                <w:sz w:val="19"/>
                <w:szCs w:val="19"/>
                <w:color w:val="auto"/>
              </w:rPr>
            </w:pPr>
          </w:p>
        </w:tc>
        <w:tc>
          <w:tcPr>
            <w:tcW w:w="10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4560" w:type="dxa"/>
            <w:vAlign w:val="bottom"/>
          </w:tcPr>
          <w:p>
            <w:pPr>
              <w:spacing w:after="0"/>
              <w:rPr>
                <w:sz w:val="24"/>
                <w:szCs w:val="24"/>
                <w:color w:val="auto"/>
              </w:rPr>
            </w:pPr>
          </w:p>
        </w:tc>
        <w:tc>
          <w:tcPr>
            <w:tcW w:w="3300" w:type="dxa"/>
            <w:vAlign w:val="bottom"/>
          </w:tcPr>
          <w:p>
            <w:pPr>
              <w:jc w:val="right"/>
              <w:ind w:right="1972"/>
              <w:spacing w:after="0"/>
              <w:rPr>
                <w:sz w:val="20"/>
                <w:szCs w:val="20"/>
                <w:color w:val="auto"/>
              </w:rPr>
            </w:pPr>
            <w:r>
              <w:rPr>
                <w:rFonts w:ascii="Arial" w:cs="Arial" w:eastAsia="Arial" w:hAnsi="Arial"/>
                <w:sz w:val="18"/>
                <w:szCs w:val="18"/>
                <w:color w:val="auto"/>
              </w:rPr>
              <w:t>49</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 xml:space="preserve">Prior to our adoption of Statement No. 123R, we presented all tax benefits resulting from the exercise of stock options as operating cash inflows in our consolidated statements of cash flows, in accordance with the provisions of EITF Issue No. 00-15, </w:t>
      </w:r>
      <w:r>
        <w:rPr>
          <w:rFonts w:ascii="Arial" w:cs="Arial" w:eastAsia="Arial" w:hAnsi="Arial"/>
          <w:sz w:val="18"/>
          <w:szCs w:val="18"/>
          <w:i w:val="1"/>
          <w:iCs w:val="1"/>
          <w:color w:val="auto"/>
        </w:rPr>
        <w:t>Classification in the Statement of Cash Flows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Benefit Received by a Company upon Exercise of a Nonqualified Employee Stock Option</w:t>
      </w:r>
      <w:r>
        <w:rPr>
          <w:rFonts w:ascii="Arial" w:cs="Arial" w:eastAsia="Arial" w:hAnsi="Arial"/>
          <w:sz w:val="18"/>
          <w:szCs w:val="18"/>
          <w:color w:val="auto"/>
        </w:rPr>
        <w:t>. Statement No. 123R requires the benefit of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in excess of the compensation cost recognized for those options to be classified as financing cash inflows rather than operating cash inflows, on a prospective basis.</w:t>
      </w:r>
    </w:p>
    <w:p>
      <w:pPr>
        <w:spacing w:after="0" w:line="80"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At December 29, 2007, excluding a reduction for forfeitures, we had approximately $3.7 million of pre-tax unrecognized compensation cost related to unvested stock options which is expected to be recognized over a weighted-average period of approximately 2.3 years.</w:t>
      </w:r>
    </w:p>
    <w:p>
      <w:pPr>
        <w:spacing w:after="0" w:line="62"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color w:val="auto"/>
        </w:rPr>
        <w:t>At December 29, 2007, excluding a reduction for forfeitures, we had approximately $5.7 million of pre-tax unrecognized compensation cost related to unvested restricted stock units which is expected to be recognized over a weighted-average period of approximately 3.3 years.</w:t>
      </w:r>
    </w:p>
    <w:p>
      <w:pPr>
        <w:spacing w:after="0" w:line="38"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 xml:space="preserve">Prior to the first quarter of fiscal 2006, we accounted for share-based awards to employees under Accounting Principles Board Opinion Number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(“APB 25”). As a result of adopting Statement No. 123R our diluted net income per share for 2007 and 2006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were $0.13 lower, respectively, than if we had continued to account for share-based compensation under APB 25. Under APB 25, no share-based employee compensation cost was reflected in our consolidated statements of income, as all options granted under our share-based compensation plans had an exercise price equal to the market value of the underlying common stock on the date of grant. The pro forma information presented in the following table illustrates the effect on net income and net income per share if we had applied the fair value recognition provisions of FASB Statement No. 123, </w:t>
      </w:r>
      <w:r>
        <w:rPr>
          <w:rFonts w:ascii="Arial" w:cs="Arial" w:eastAsia="Arial" w:hAnsi="Arial"/>
          <w:sz w:val="17"/>
          <w:szCs w:val="17"/>
          <w:i w:val="1"/>
          <w:iCs w:val="1"/>
          <w:color w:val="auto"/>
        </w:rPr>
        <w:t>Accounting for Share-based Compensation,</w:t>
      </w:r>
      <w:r>
        <w:rPr>
          <w:rFonts w:ascii="Arial" w:cs="Arial" w:eastAsia="Arial" w:hAnsi="Arial"/>
          <w:sz w:val="17"/>
          <w:szCs w:val="17"/>
          <w:color w:val="auto"/>
        </w:rPr>
        <w:t xml:space="preserve"> as amended by FASB Statement No. 148, </w:t>
      </w:r>
      <w:r>
        <w:rPr>
          <w:rFonts w:ascii="Arial" w:cs="Arial" w:eastAsia="Arial" w:hAnsi="Arial"/>
          <w:sz w:val="17"/>
          <w:szCs w:val="17"/>
          <w:i w:val="1"/>
          <w:iCs w:val="1"/>
          <w:color w:val="auto"/>
        </w:rPr>
        <w:t>Accounting for Share-based 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and Disclosure</w:t>
      </w:r>
      <w:r>
        <w:rPr>
          <w:rFonts w:ascii="Arial" w:cs="Arial" w:eastAsia="Arial" w:hAnsi="Arial"/>
          <w:sz w:val="17"/>
          <w:szCs w:val="17"/>
          <w:color w:val="auto"/>
        </w:rPr>
        <w:t>, to share-based employee compensation during 2005: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Less: Total stock-based employee compensation expense determined under fair value based method for all awards, net of related tax effect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31,050</w:t>
            </w:r>
          </w:p>
        </w:tc>
        <w:tc>
          <w:tcPr>
            <w:tcW w:w="0" w:type="dxa"/>
            <w:vAlign w:val="bottom"/>
          </w:tcPr>
          <w:p>
            <w:pPr>
              <w:spacing w:after="0"/>
              <w:rPr>
                <w:sz w:val="1"/>
                <w:szCs w:val="1"/>
                <w:color w:val="auto"/>
              </w:rPr>
            </w:pPr>
          </w:p>
        </w:tc>
      </w:tr>
      <w:tr>
        <w:trPr>
          <w:trHeight w:val="20"/>
        </w:trPr>
        <w:tc>
          <w:tcPr>
            <w:tcW w:w="103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as reported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ind w:left="200"/>
              <w:spacing w:after="0"/>
              <w:rPr>
                <w:sz w:val="20"/>
                <w:szCs w:val="20"/>
                <w:color w:val="auto"/>
              </w:rPr>
            </w:pPr>
            <w:r>
              <w:rPr>
                <w:rFonts w:ascii="Arial" w:cs="Arial" w:eastAsia="Arial" w:hAnsi="Arial"/>
                <w:sz w:val="18"/>
                <w:szCs w:val="18"/>
                <w:color w:val="auto"/>
              </w:rPr>
              <w:t>Basic — pro forma</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as reported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80" w:type="dxa"/>
            <w:vAlign w:val="bottom"/>
          </w:tcPr>
          <w:p>
            <w:pPr>
              <w:ind w:left="200"/>
              <w:spacing w:after="0"/>
              <w:rPr>
                <w:sz w:val="20"/>
                <w:szCs w:val="20"/>
                <w:color w:val="auto"/>
              </w:rPr>
            </w:pPr>
            <w:r>
              <w:rPr>
                <w:rFonts w:ascii="Arial" w:cs="Arial" w:eastAsia="Arial" w:hAnsi="Arial"/>
                <w:sz w:val="18"/>
                <w:szCs w:val="18"/>
                <w:color w:val="auto"/>
              </w:rPr>
              <w:t>Diluted — pro forma</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91"/>
        </w:trPr>
        <w:tc>
          <w:tcPr>
            <w:tcW w:w="10300" w:type="dxa"/>
            <w:vAlign w:val="bottom"/>
            <w:gridSpan w:val="2"/>
          </w:tcPr>
          <w:p>
            <w:pPr>
              <w:jc w:val="right"/>
              <w:ind w:right="441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2007, we renewed our $5.0 million unsecured bank line of credit bearing interest at the bank’s prime rate. The line of credit will expire in July, 2008, and requires that we maintain specified minimum levels of net worth, limits the amount of our capital expenditures and requires us to meet certain other financial covenants. We are currently in compliance with these covenants. No borrowings were outstanding as of December 29, 2007 or December 30, 2006. At December 29, 2007, approximately $1.3 million of the credit facility was allocated to standby letters of credit, leaving the balance of $3.7 million available for future borrowings.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jc w:val="right"/>
              <w:ind w:right="533"/>
              <w:spacing w:after="0"/>
              <w:rPr>
                <w:sz w:val="20"/>
                <w:szCs w:val="20"/>
                <w:color w:val="auto"/>
              </w:rPr>
            </w:pPr>
            <w:r>
              <w:rPr>
                <w:rFonts w:ascii="Arial" w:cs="Arial" w:eastAsia="Arial" w:hAnsi="Arial"/>
                <w:sz w:val="14"/>
                <w:szCs w:val="14"/>
                <w:color w:val="auto"/>
              </w:rPr>
              <w:t>2007</w:t>
            </w:r>
          </w:p>
        </w:tc>
        <w:tc>
          <w:tcPr>
            <w:tcW w:w="1640" w:type="dxa"/>
            <w:vAlign w:val="bottom"/>
          </w:tcPr>
          <w:p>
            <w:pPr>
              <w:jc w:val="right"/>
              <w:ind w:right="573"/>
              <w:spacing w:after="0"/>
              <w:rPr>
                <w:sz w:val="20"/>
                <w:szCs w:val="20"/>
                <w:color w:val="auto"/>
              </w:rPr>
            </w:pPr>
            <w:r>
              <w:rPr>
                <w:rFonts w:ascii="Arial" w:cs="Arial" w:eastAsia="Arial" w:hAnsi="Arial"/>
                <w:sz w:val="14"/>
                <w:szCs w:val="14"/>
                <w:color w:val="auto"/>
              </w:rPr>
              <w:t>2006</w:t>
            </w:r>
          </w:p>
        </w:tc>
        <w:tc>
          <w:tcPr>
            <w:tcW w:w="1400" w:type="dxa"/>
            <w:vAlign w:val="bottom"/>
          </w:tcPr>
          <w:p>
            <w:pPr>
              <w:jc w:val="right"/>
              <w:ind w:right="313"/>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Federal</w:t>
            </w:r>
          </w:p>
        </w:tc>
        <w:tc>
          <w:tcPr>
            <w:tcW w:w="1280" w:type="dxa"/>
            <w:vAlign w:val="bottom"/>
          </w:tcPr>
          <w:p>
            <w:pPr>
              <w:jc w:val="right"/>
              <w:ind w:right="473"/>
              <w:spacing w:after="0"/>
              <w:rPr>
                <w:sz w:val="20"/>
                <w:szCs w:val="20"/>
                <w:color w:val="auto"/>
              </w:rPr>
            </w:pPr>
            <w:r>
              <w:rPr>
                <w:rFonts w:ascii="Arial" w:cs="Arial" w:eastAsia="Arial" w:hAnsi="Arial"/>
                <w:sz w:val="18"/>
                <w:szCs w:val="18"/>
                <w:color w:val="auto"/>
              </w:rPr>
              <w:t>$2,497</w:t>
            </w:r>
          </w:p>
        </w:tc>
        <w:tc>
          <w:tcPr>
            <w:tcW w:w="1640" w:type="dxa"/>
            <w:vAlign w:val="bottom"/>
          </w:tcPr>
          <w:p>
            <w:pPr>
              <w:jc w:val="right"/>
              <w:ind w:right="453"/>
              <w:spacing w:after="0"/>
              <w:rPr>
                <w:sz w:val="20"/>
                <w:szCs w:val="20"/>
                <w:color w:val="auto"/>
              </w:rPr>
            </w:pPr>
            <w:r>
              <w:rPr>
                <w:rFonts w:ascii="Arial" w:cs="Arial" w:eastAsia="Arial" w:hAnsi="Arial"/>
                <w:sz w:val="18"/>
                <w:szCs w:val="18"/>
                <w:color w:val="auto"/>
              </w:rPr>
              <w:t>$10,036</w:t>
            </w: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$ 7,083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28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533</w:t>
            </w:r>
          </w:p>
        </w:tc>
        <w:tc>
          <w:tcPr>
            <w:tcW w:w="1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571</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Foreign</w:t>
            </w: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483</w:t>
            </w:r>
          </w:p>
        </w:tc>
        <w:tc>
          <w:tcPr>
            <w:tcW w:w="164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(6)</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28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3,513</w:t>
            </w:r>
          </w:p>
        </w:tc>
        <w:tc>
          <w:tcPr>
            <w:tcW w:w="1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10,601</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1,097</w:t>
            </w:r>
          </w:p>
        </w:tc>
        <w:tc>
          <w:tcPr>
            <w:tcW w:w="16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(1,814)</w:t>
            </w:r>
          </w:p>
        </w:tc>
        <w:tc>
          <w:tcPr>
            <w:tcW w:w="14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State</w:t>
            </w:r>
          </w:p>
        </w:tc>
        <w:tc>
          <w:tcPr>
            <w:tcW w:w="1280" w:type="dxa"/>
            <w:vAlign w:val="bottom"/>
          </w:tcPr>
          <w:p>
            <w:pPr>
              <w:jc w:val="right"/>
              <w:ind w:right="473"/>
              <w:spacing w:after="0"/>
              <w:rPr>
                <w:sz w:val="20"/>
                <w:szCs w:val="20"/>
                <w:color w:val="auto"/>
              </w:rPr>
            </w:pPr>
            <w:r>
              <w:rPr>
                <w:rFonts w:ascii="Arial" w:cs="Arial" w:eastAsia="Arial" w:hAnsi="Arial"/>
                <w:sz w:val="18"/>
                <w:szCs w:val="18"/>
                <w:color w:val="auto"/>
              </w:rPr>
              <w:t>223</w:t>
            </w:r>
          </w:p>
        </w:tc>
        <w:tc>
          <w:tcPr>
            <w:tcW w:w="1640" w:type="dxa"/>
            <w:vAlign w:val="bottom"/>
          </w:tcPr>
          <w:p>
            <w:pPr>
              <w:jc w:val="right"/>
              <w:ind w:right="393"/>
              <w:spacing w:after="0"/>
              <w:rPr>
                <w:sz w:val="20"/>
                <w:szCs w:val="20"/>
                <w:color w:val="auto"/>
              </w:rPr>
            </w:pPr>
            <w:r>
              <w:rPr>
                <w:rFonts w:ascii="Arial" w:cs="Arial" w:eastAsia="Arial" w:hAnsi="Arial"/>
                <w:sz w:val="18"/>
                <w:szCs w:val="18"/>
                <w:color w:val="auto"/>
              </w:rPr>
              <w:t>(987)</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2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(166)</w:t>
            </w:r>
          </w:p>
        </w:tc>
        <w:tc>
          <w:tcPr>
            <w:tcW w:w="1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3"/>
          </w:tcPr>
          <w:p>
            <w:pPr>
              <w:spacing w:after="0"/>
              <w:rPr>
                <w:sz w:val="20"/>
                <w:szCs w:val="20"/>
                <w:color w:val="auto"/>
              </w:rPr>
            </w:pPr>
            <w:r>
              <w:rPr>
                <w:rFonts w:ascii="Arial" w:cs="Arial" w:eastAsia="Arial" w:hAnsi="Arial"/>
                <w:sz w:val="18"/>
                <w:szCs w:val="18"/>
                <w:color w:val="auto"/>
              </w:rPr>
              <w:t>Total deferred</w:t>
            </w: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1,154</w:t>
            </w:r>
          </w:p>
        </w:tc>
        <w:tc>
          <w:tcPr>
            <w:tcW w:w="164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(2,801)</w:t>
            </w: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$4,667</w:t>
            </w:r>
          </w:p>
        </w:tc>
        <w:tc>
          <w:tcPr>
            <w:tcW w:w="1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$ 7,800</w:t>
            </w:r>
          </w:p>
        </w:tc>
        <w:tc>
          <w:tcPr>
            <w:tcW w:w="14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from continuing operations before income taxes consisted of the following:</w:t>
            </w:r>
          </w:p>
        </w:tc>
        <w:tc>
          <w:tcPr>
            <w:tcW w:w="1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0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1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jc w:val="right"/>
              <w:ind w:right="553"/>
              <w:spacing w:after="0"/>
              <w:rPr>
                <w:sz w:val="20"/>
                <w:szCs w:val="20"/>
                <w:color w:val="auto"/>
              </w:rPr>
            </w:pPr>
            <w:r>
              <w:rPr>
                <w:rFonts w:ascii="Arial" w:cs="Arial" w:eastAsia="Arial" w:hAnsi="Arial"/>
                <w:sz w:val="14"/>
                <w:szCs w:val="14"/>
                <w:color w:val="auto"/>
              </w:rPr>
              <w:t>2007</w:t>
            </w:r>
          </w:p>
        </w:tc>
        <w:tc>
          <w:tcPr>
            <w:tcW w:w="1640" w:type="dxa"/>
            <w:vAlign w:val="bottom"/>
          </w:tcPr>
          <w:p>
            <w:pPr>
              <w:jc w:val="right"/>
              <w:ind w:right="573"/>
              <w:spacing w:after="0"/>
              <w:rPr>
                <w:sz w:val="20"/>
                <w:szCs w:val="20"/>
                <w:color w:val="auto"/>
              </w:rPr>
            </w:pPr>
            <w:r>
              <w:rPr>
                <w:rFonts w:ascii="Arial" w:cs="Arial" w:eastAsia="Arial" w:hAnsi="Arial"/>
                <w:sz w:val="14"/>
                <w:szCs w:val="14"/>
                <w:color w:val="auto"/>
              </w:rPr>
              <w:t>2006</w:t>
            </w:r>
          </w:p>
        </w:tc>
        <w:tc>
          <w:tcPr>
            <w:tcW w:w="1400" w:type="dxa"/>
            <w:vAlign w:val="bottom"/>
          </w:tcPr>
          <w:p>
            <w:pPr>
              <w:jc w:val="right"/>
              <w:ind w:right="333"/>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28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$10,631</w:t>
            </w:r>
          </w:p>
        </w:tc>
        <w:tc>
          <w:tcPr>
            <w:tcW w:w="1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$25,566</w:t>
            </w:r>
          </w:p>
        </w:tc>
        <w:tc>
          <w:tcPr>
            <w:tcW w:w="140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$33,644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2,057</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860</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$12,688</w:t>
            </w:r>
          </w:p>
        </w:tc>
        <w:tc>
          <w:tcPr>
            <w:tcW w:w="1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$26,426</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$34,755</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jc w:val="right"/>
              <w:ind w:right="1150"/>
              <w:spacing w:after="0"/>
              <w:rPr>
                <w:sz w:val="20"/>
                <w:szCs w:val="20"/>
                <w:color w:val="auto"/>
              </w:rPr>
            </w:pPr>
            <w:r>
              <w:rPr>
                <w:rFonts w:ascii="Arial" w:cs="Arial" w:eastAsia="Arial" w:hAnsi="Arial"/>
                <w:sz w:val="18"/>
                <w:szCs w:val="18"/>
                <w:color w:val="auto"/>
              </w:rPr>
              <w:t>51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jc w:val="right"/>
              <w:ind w:right="591"/>
              <w:spacing w:after="0"/>
              <w:rPr>
                <w:sz w:val="20"/>
                <w:szCs w:val="20"/>
                <w:color w:val="auto"/>
              </w:rPr>
            </w:pPr>
            <w:r>
              <w:rPr>
                <w:rFonts w:ascii="Arial" w:cs="Arial" w:eastAsia="Arial" w:hAnsi="Arial"/>
                <w:sz w:val="14"/>
                <w:szCs w:val="14"/>
                <w:color w:val="auto"/>
              </w:rPr>
              <w:t>2007</w:t>
            </w:r>
          </w:p>
        </w:tc>
        <w:tc>
          <w:tcPr>
            <w:tcW w:w="1420" w:type="dxa"/>
            <w:vAlign w:val="bottom"/>
          </w:tcPr>
          <w:p>
            <w:pPr>
              <w:jc w:val="right"/>
              <w:ind w:right="331"/>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$15,680</w:t>
            </w: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$16,084</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202</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3,141</w:t>
            </w: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2,698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employee benefits</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2,200</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2,231</w:t>
            </w: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profit under SAB 104</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1,874</w:t>
            </w: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3,789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998</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2,152</w:t>
            </w: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1,737</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expenses</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122</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152</w:t>
            </w: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Book over tax depreciation</w:t>
            </w:r>
          </w:p>
        </w:tc>
        <w:tc>
          <w:tcPr>
            <w:tcW w:w="14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811</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565</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deferred tax assets</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27,180</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28,091</w:t>
            </w: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14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(2,411)</w:t>
            </w:r>
          </w:p>
        </w:tc>
        <w:tc>
          <w:tcPr>
            <w:tcW w:w="1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(1,616)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assets</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24,769</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26,475</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facilities sale</w:t>
            </w:r>
          </w:p>
        </w:tc>
        <w:tc>
          <w:tcPr>
            <w:tcW w:w="14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2,983</w:t>
            </w:r>
          </w:p>
        </w:tc>
        <w:tc>
          <w:tcPr>
            <w:tcW w:w="1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2,983</w:t>
            </w: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1400" w:type="dxa"/>
            <w:vAlign w:val="bottom"/>
          </w:tcPr>
          <w:p>
            <w:pPr>
              <w:jc w:val="right"/>
              <w:ind w:right="491"/>
              <w:spacing w:after="0"/>
              <w:rPr>
                <w:sz w:val="20"/>
                <w:szCs w:val="20"/>
                <w:color w:val="auto"/>
              </w:rPr>
            </w:pPr>
            <w:r>
              <w:rPr>
                <w:rFonts w:ascii="Arial" w:cs="Arial" w:eastAsia="Arial" w:hAnsi="Arial"/>
                <w:sz w:val="18"/>
                <w:szCs w:val="18"/>
                <w:color w:val="auto"/>
              </w:rPr>
              <w:t>4,001</w:t>
            </w: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3,330</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expenses</w:t>
            </w:r>
          </w:p>
        </w:tc>
        <w:tc>
          <w:tcPr>
            <w:tcW w:w="14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340</w:t>
            </w:r>
          </w:p>
        </w:tc>
        <w:tc>
          <w:tcPr>
            <w:tcW w:w="1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363</w:t>
            </w: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Total deferred tax liabilities</w:t>
            </w:r>
          </w:p>
        </w:tc>
        <w:tc>
          <w:tcPr>
            <w:tcW w:w="14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7,324</w:t>
            </w: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6,676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w:t>
            </w:r>
          </w:p>
        </w:tc>
        <w:tc>
          <w:tcPr>
            <w:tcW w:w="14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$17,445</w:t>
            </w:r>
          </w:p>
        </w:tc>
        <w:tc>
          <w:tcPr>
            <w:tcW w:w="1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$19,799</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Realization of our deferred tax assets is based upon the weight of all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Statement No. 109, net deferred tax assets are reduced by a valuation allowance if it is more likely than not that some or all of the deferred tax assets will not be realized. A valuation allowance of approximately $2.4 million and $1.6 million was provided on deferred tax assets at December 29, 2007 and December 30, 2006, respectively, for state tax credit and net operating loss carryforwards that, in the opinion of management, are more likely than not to expire before we can use them.</w:t>
      </w:r>
    </w:p>
    <w:p>
      <w:pPr>
        <w:spacing w:after="0" w:line="81"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The reduction to the valuation allowance in 2005 was the result of our improved profitability and the corresponding increase in the amount of deferred tax assets considered realizable.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jc w:val="right"/>
              <w:ind w:right="531"/>
              <w:spacing w:after="0"/>
              <w:rPr>
                <w:sz w:val="20"/>
                <w:szCs w:val="20"/>
                <w:color w:val="auto"/>
              </w:rPr>
            </w:pPr>
            <w:r>
              <w:rPr>
                <w:rFonts w:ascii="Arial" w:cs="Arial" w:eastAsia="Arial" w:hAnsi="Arial"/>
                <w:sz w:val="14"/>
                <w:szCs w:val="14"/>
                <w:color w:val="auto"/>
              </w:rPr>
              <w:t>2007</w:t>
            </w:r>
          </w:p>
        </w:tc>
        <w:tc>
          <w:tcPr>
            <w:tcW w:w="1620" w:type="dxa"/>
            <w:vAlign w:val="bottom"/>
          </w:tcPr>
          <w:p>
            <w:pPr>
              <w:jc w:val="right"/>
              <w:ind w:right="571"/>
              <w:spacing w:after="0"/>
              <w:rPr>
                <w:sz w:val="20"/>
                <w:szCs w:val="20"/>
                <w:color w:val="auto"/>
              </w:rPr>
            </w:pPr>
            <w:r>
              <w:rPr>
                <w:rFonts w:ascii="Arial" w:cs="Arial" w:eastAsia="Arial" w:hAnsi="Arial"/>
                <w:sz w:val="14"/>
                <w:szCs w:val="14"/>
                <w:color w:val="auto"/>
              </w:rPr>
              <w:t>2006</w:t>
            </w:r>
          </w:p>
        </w:tc>
        <w:tc>
          <w:tcPr>
            <w:tcW w:w="600" w:type="dxa"/>
            <w:vAlign w:val="bottom"/>
          </w:tcPr>
          <w:p>
            <w:pPr>
              <w:spacing w:after="0"/>
              <w:rPr>
                <w:sz w:val="15"/>
                <w:szCs w:val="15"/>
                <w:color w:val="auto"/>
              </w:rPr>
            </w:pPr>
          </w:p>
        </w:tc>
        <w:tc>
          <w:tcPr>
            <w:tcW w:w="800" w:type="dxa"/>
            <w:vAlign w:val="bottom"/>
          </w:tcPr>
          <w:p>
            <w:pPr>
              <w:jc w:val="right"/>
              <w:ind w:right="331"/>
              <w:spacing w:after="0"/>
              <w:rPr>
                <w:sz w:val="20"/>
                <w:szCs w:val="20"/>
                <w:color w:val="auto"/>
              </w:rPr>
            </w:pPr>
            <w:r>
              <w:rPr>
                <w:rFonts w:ascii="Arial" w:cs="Arial" w:eastAsia="Arial" w:hAnsi="Arial"/>
                <w:sz w:val="14"/>
                <w:szCs w:val="14"/>
                <w:color w:val="auto"/>
              </w:rPr>
              <w:t>2005</w:t>
            </w:r>
          </w:p>
        </w:tc>
      </w:tr>
      <w:tr>
        <w:trPr>
          <w:trHeight w:val="216"/>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statutory rate</w:t>
            </w:r>
          </w:p>
        </w:tc>
        <w:tc>
          <w:tcPr>
            <w:tcW w:w="128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$4,441</w:t>
            </w:r>
          </w:p>
        </w:tc>
        <w:tc>
          <w:tcPr>
            <w:tcW w:w="16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$ 9,249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3"/>
              </w:rPr>
              <w:t>12,164</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(118)</w:t>
            </w:r>
          </w:p>
        </w:tc>
        <w:tc>
          <w:tcPr>
            <w:tcW w:w="1620" w:type="dxa"/>
            <w:vAlign w:val="bottom"/>
          </w:tcPr>
          <w:p>
            <w:pPr>
              <w:jc w:val="right"/>
              <w:ind w:right="471"/>
              <w:spacing w:after="0"/>
              <w:rPr>
                <w:sz w:val="20"/>
                <w:szCs w:val="20"/>
                <w:color w:val="auto"/>
              </w:rPr>
            </w:pPr>
            <w:r>
              <w:rPr>
                <w:rFonts w:ascii="Arial" w:cs="Arial" w:eastAsia="Arial" w:hAnsi="Arial"/>
                <w:sz w:val="18"/>
                <w:szCs w:val="18"/>
                <w:color w:val="auto"/>
              </w:rPr>
              <w:t>160</w:t>
            </w:r>
          </w:p>
        </w:tc>
        <w:tc>
          <w:tcPr>
            <w:tcW w:w="60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Export sales and manufacturing tax benefits</w:t>
            </w: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(71)</w:t>
            </w:r>
          </w:p>
        </w:tc>
        <w:tc>
          <w:tcPr>
            <w:tcW w:w="16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(1,003)</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1"/>
              </w:rPr>
              <w:t>(1,678)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Settlement of prior year tax returns</w:t>
            </w: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(75)</w:t>
            </w:r>
          </w:p>
        </w:tc>
        <w:tc>
          <w:tcPr>
            <w:tcW w:w="16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8"/>
                <w:szCs w:val="18"/>
                <w:color w:val="auto"/>
                <w:w w:val="91"/>
              </w:rPr>
              <w:t>(3,159)</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prior year tax accruals</w:t>
            </w:r>
          </w:p>
        </w:tc>
        <w:tc>
          <w:tcPr>
            <w:tcW w:w="12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79</w:t>
            </w: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(616)</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Federal tax credits</w:t>
            </w:r>
          </w:p>
        </w:tc>
        <w:tc>
          <w:tcPr>
            <w:tcW w:w="1280" w:type="dxa"/>
            <w:vAlign w:val="bottom"/>
          </w:tcPr>
          <w:p>
            <w:pPr>
              <w:jc w:val="right"/>
              <w:ind w:right="411"/>
              <w:spacing w:after="0"/>
              <w:rPr>
                <w:sz w:val="20"/>
                <w:szCs w:val="20"/>
                <w:color w:val="auto"/>
              </w:rPr>
            </w:pPr>
            <w:r>
              <w:rPr>
                <w:rFonts w:ascii="Arial" w:cs="Arial" w:eastAsia="Arial" w:hAnsi="Arial"/>
                <w:sz w:val="18"/>
                <w:szCs w:val="18"/>
                <w:color w:val="auto"/>
              </w:rPr>
              <w:t>(887)</w:t>
            </w:r>
          </w:p>
        </w:tc>
        <w:tc>
          <w:tcPr>
            <w:tcW w:w="1620" w:type="dxa"/>
            <w:vAlign w:val="bottom"/>
          </w:tcPr>
          <w:p>
            <w:pPr>
              <w:jc w:val="right"/>
              <w:ind w:right="411"/>
              <w:spacing w:after="0"/>
              <w:rPr>
                <w:sz w:val="20"/>
                <w:szCs w:val="20"/>
                <w:color w:val="auto"/>
              </w:rPr>
            </w:pPr>
            <w:r>
              <w:rPr>
                <w:rFonts w:ascii="Arial" w:cs="Arial" w:eastAsia="Arial" w:hAnsi="Arial"/>
                <w:sz w:val="18"/>
                <w:szCs w:val="18"/>
                <w:color w:val="auto"/>
              </w:rPr>
              <w:t>(1,147)</w:t>
            </w:r>
          </w:p>
        </w:tc>
        <w:tc>
          <w:tcPr>
            <w:tcW w:w="6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8"/>
                <w:szCs w:val="18"/>
                <w:color w:val="auto"/>
              </w:rPr>
              <w:t>(871)</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on which no tax benefit provided</w:t>
            </w:r>
          </w:p>
        </w:tc>
        <w:tc>
          <w:tcPr>
            <w:tcW w:w="12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538</w:t>
            </w: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713</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80" w:type="dxa"/>
            <w:vAlign w:val="bottom"/>
          </w:tcPr>
          <w:p>
            <w:pPr>
              <w:jc w:val="right"/>
              <w:ind w:right="471"/>
              <w:spacing w:after="0"/>
              <w:rPr>
                <w:sz w:val="20"/>
                <w:szCs w:val="20"/>
                <w:color w:val="auto"/>
              </w:rPr>
            </w:pPr>
            <w:r>
              <w:rPr>
                <w:rFonts w:ascii="Arial" w:cs="Arial" w:eastAsia="Arial" w:hAnsi="Arial"/>
                <w:sz w:val="18"/>
                <w:szCs w:val="18"/>
                <w:color w:val="auto"/>
              </w:rPr>
              <w:t>795</w:t>
            </w:r>
          </w:p>
        </w:tc>
        <w:tc>
          <w:tcPr>
            <w:tcW w:w="1620" w:type="dxa"/>
            <w:vAlign w:val="bottom"/>
          </w:tcPr>
          <w:p>
            <w:pPr>
              <w:jc w:val="right"/>
              <w:ind w:right="411"/>
              <w:spacing w:after="0"/>
              <w:rPr>
                <w:sz w:val="20"/>
                <w:szCs w:val="20"/>
                <w:color w:val="auto"/>
              </w:rPr>
            </w:pPr>
            <w:r>
              <w:rPr>
                <w:rFonts w:ascii="Arial" w:cs="Arial" w:eastAsia="Arial" w:hAnsi="Arial"/>
                <w:sz w:val="18"/>
                <w:szCs w:val="18"/>
                <w:color w:val="auto"/>
              </w:rPr>
              <w:t>(168)</w:t>
            </w:r>
          </w:p>
        </w:tc>
        <w:tc>
          <w:tcPr>
            <w:tcW w:w="6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8"/>
                <w:szCs w:val="18"/>
                <w:color w:val="auto"/>
                <w:w w:val="91"/>
              </w:rPr>
              <w:t>(5,089)</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different rates</w:t>
            </w:r>
          </w:p>
        </w:tc>
        <w:tc>
          <w:tcPr>
            <w:tcW w:w="12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(419)</w:t>
            </w:r>
          </w:p>
        </w:tc>
        <w:tc>
          <w:tcPr>
            <w:tcW w:w="16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(307)</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(279)</w:t>
            </w: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 net</w:t>
            </w: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384</w:t>
            </w:r>
          </w:p>
        </w:tc>
        <w:tc>
          <w:tcPr>
            <w:tcW w:w="16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220</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$4,667</w:t>
            </w:r>
          </w:p>
        </w:tc>
        <w:tc>
          <w:tcPr>
            <w:tcW w:w="16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$ 7,800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500</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State income taxes have been reduced by research tax credits totaling approximately $849,000, $886,000, and $663,000 in 2007, 2006 and 2005, respectively.</w:t>
      </w:r>
    </w:p>
    <w:p>
      <w:pPr>
        <w:spacing w:after="0" w:line="62"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In March, 2005 the Internal Revenue Service (“IRS”) completed a routine examination of our consolidated tax returns for the period 2000 through 2002. The examination resulted in no assessment related to our tax returns as filed. Consequently, approximately $3.1 million of accrued taxes related to the examined years were reversed with a corresponding credit to income tax expense in the quarter ended March 26, 2005.</w:t>
      </w:r>
    </w:p>
    <w:p>
      <w:pPr>
        <w:spacing w:after="0" w:line="39"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color w:val="auto"/>
        </w:rPr>
        <w:t>At December 29, 2007, we had state net operating loss carryforwards of approximately $4.4 million that expire in various tax years through 2025. We also have state tax credit carryforwards of approximately $5.9 million certain of which expire in various tax years beginning in 2014.</w:t>
      </w:r>
    </w:p>
    <w:p>
      <w:pPr>
        <w:spacing w:after="0" w:line="38"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U.S. income taxes have not been provided on approximately $3.9 million of accumulated undistributed earnings of certain foreign subsidiaries, as we currently intend to reinvest these earnings in operations outside the U.S.</w:t>
      </w:r>
    </w:p>
    <w:p>
      <w:pPr>
        <w:spacing w:after="0" w:line="62"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We have derived significant tax benefits from research and development tax credits. The federal research and development tax credit expired on December 31, 2007 and it is uncertain when or if this tax credit will be extended. If the credit is not extended, our income tax expense and effective tax rate in future periods will be adversely impacted.</w:t>
      </w:r>
    </w:p>
    <w:p>
      <w:pPr>
        <w:spacing w:after="0" w:line="73" w:lineRule="exact"/>
        <w:rPr>
          <w:sz w:val="20"/>
          <w:szCs w:val="20"/>
          <w:color w:val="auto"/>
        </w:rPr>
      </w:pPr>
    </w:p>
    <w:p>
      <w:pPr>
        <w:jc w:val="both"/>
        <w:ind w:left="460" w:right="120"/>
        <w:spacing w:after="0" w:line="286" w:lineRule="auto"/>
        <w:rPr>
          <w:sz w:val="20"/>
          <w:szCs w:val="20"/>
          <w:color w:val="auto"/>
        </w:rPr>
      </w:pPr>
      <w:r>
        <w:rPr>
          <w:rFonts w:ascii="Arial" w:cs="Arial" w:eastAsia="Arial" w:hAnsi="Arial"/>
          <w:sz w:val="17"/>
          <w:szCs w:val="17"/>
          <w:color w:val="auto"/>
        </w:rPr>
        <w:t>We adopted the provisions of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reconciliation of the beginning and ending amount of unrecognized tax benefits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2006</w:t>
            </w:r>
          </w:p>
        </w:tc>
        <w:tc>
          <w:tcPr>
            <w:tcW w:w="5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Reductions as a result of a lapse of the applicable statute of limitations</w:t>
            </w: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2007</w:t>
            </w:r>
          </w:p>
        </w:tc>
        <w:tc>
          <w:tcPr>
            <w:tcW w:w="5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80" w:type="dxa"/>
            <w:vAlign w:val="bottom"/>
            <w:vMerge w:val="restart"/>
          </w:tcPr>
          <w:p>
            <w:pPr>
              <w:jc w:val="right"/>
              <w:ind w:right="4750"/>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If these unrecognized tax benefits are ultimately recognized, this amount, less the related federal benefit for state items of approximately $882,000, would result in a reduction in our income tax expense and effective tax rate.</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We recognize interest accrued related to unrecognized tax benefits, net of federal and state tax benefits, in income tax expense. Cohu had approximately $317,000 and $137,000 accrued for the payment of interest at December 29, 2007 and December 30, 2006, respectively. Interest expense recognized in 2007, 2006 and 2005 was approximately $163,000, $81,000 and $49,000, respectively.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Revenue Service has examined our income tax returns through 2002, and the California Franchise Tax Board through 1999.</w:t>
      </w:r>
    </w:p>
    <w:p>
      <w:pPr>
        <w:spacing w:after="0" w:line="117"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October, 2007 the IRS commenced a routine examination of our U.S. income tax return for 2005. This examination is expected to be completed in 2008. We believe it is reasonably possible that a portion of our total unrecognized tax benefits will decrease in the next 12 months upon the conclusion of the examination or the lapse of the applicable statute of limitations. However, it is premature to assess the range or the nature of the reasonably possible changes to our unrecognized tax benefits.</w:t>
      </w:r>
    </w:p>
    <w:p>
      <w:pPr>
        <w:spacing w:after="0" w:line="7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rFonts w:ascii="Arial" w:cs="Arial" w:eastAsia="Arial" w:hAnsi="Arial"/>
          <w:sz w:val="18"/>
          <w:szCs w:val="18"/>
          <w:b w:val="1"/>
          <w:bCs w:val="1"/>
          <w:color w:val="auto"/>
        </w:rPr>
      </w:pPr>
    </w:p>
    <w:p>
      <w:pPr>
        <w:ind w:left="46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have three reportable segments as defined by Statement No. 131.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 Our semiconductor equipment segment, Delta Design, designs, manufactures and sells semiconductor equipment to semiconductor manufacturers and test subcontractors throughout the world and accounted for 84% of net sales in 2007. Our television camera segment, Cohu Electronics, designs, manufactures and sells closed circuit television cameras and systems to original equipment manufacturers, contractors and government agencies and accounted for 7% of net sales in 2007. Our other reportable segment is a microwave communications equipment company, Broadcast Microwave Services, which accounted for 9% of net sales in 2007.</w:t>
      </w:r>
    </w:p>
    <w:p>
      <w:pPr>
        <w:spacing w:after="0" w:line="70"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information by industry segment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203,105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227,399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241,389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270,106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231,382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Profit for reportable segments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(3,963)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Gain from sale of facilities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depreciation and amortization for reportable segments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expenditures by segment: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consolidated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Total assets by segment: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111,787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128,609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10,537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27,704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assets for reportable segments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148,996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151,385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190,885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173,802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340,379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326,339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306,977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5620"/>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from the semiconductor equipment segment comprising 10% or greater of our consolidated net sales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2007</w:t>
            </w: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2006</w:t>
            </w: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Advanced Micro Devices</w:t>
            </w:r>
          </w:p>
        </w:tc>
        <w:tc>
          <w:tcPr>
            <w:tcW w:w="39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28%</w:t>
            </w:r>
          </w:p>
        </w:tc>
        <w:tc>
          <w:tcPr>
            <w:tcW w:w="14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23%</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Intel</w:t>
            </w:r>
          </w:p>
        </w:tc>
        <w:tc>
          <w:tcPr>
            <w:tcW w:w="3980" w:type="dxa"/>
            <w:vAlign w:val="bottom"/>
          </w:tcPr>
          <w:p>
            <w:pPr>
              <w:jc w:val="right"/>
              <w:ind w:right="454"/>
              <w:spacing w:after="0"/>
              <w:rPr>
                <w:sz w:val="20"/>
                <w:szCs w:val="20"/>
                <w:color w:val="auto"/>
              </w:rPr>
            </w:pPr>
            <w:r>
              <w:rPr>
                <w:rFonts w:ascii="Arial" w:cs="Arial" w:eastAsia="Arial" w:hAnsi="Arial"/>
                <w:sz w:val="18"/>
                <w:szCs w:val="18"/>
                <w:color w:val="auto"/>
              </w:rPr>
              <w:t>27%</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rPr>
              <w:t>25%</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w:t>
            </w:r>
          </w:p>
        </w:tc>
        <w:tc>
          <w:tcPr>
            <w:tcW w:w="39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15%</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r>
    </w:tbl>
    <w:p>
      <w:pPr>
        <w:spacing w:after="0" w:line="94"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Assets located in foreign countries were not significant. Net sales to customers, attributed to countries based on product shipment destination,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75,385</w:t>
            </w: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64,724</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53,078</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Singapore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69,276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56,756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42,684</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40,517</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Philippines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21,787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34,893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26,870</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15,335</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Costa Rica</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3,593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7,642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foreign countries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31,183</w:t>
            </w: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241,389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270,106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231,382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121"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460" w:right="7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lease certain of our facilities and equipment under non-cancelable operating leases. Rental expense for the years 2007, 2006 and 2005 was approximately $1.6 million, $1.5 million and $1.3 million, respectively. Future minimum lease payments at December 29, 2007 are: 2008 — $1,345,000; 2009 — $376,000; 2010 - $249,000; 2011 — $214,000; and 2012 — $108,000, totaling $2,292,000.</w:t>
      </w:r>
    </w:p>
    <w:p>
      <w:pPr>
        <w:spacing w:after="0" w:line="57"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previously disclosed in our Form 10-Q for the quarter ended June 30, 2007 that in May, 2007 BMS received a subpoena from a grand jury seated in the Southern District of California, requesting the production of certain documents related to BMS’ export of microwave communications equipment. BMS completed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60" w:right="400"/>
        <w:spacing w:after="0" w:line="264" w:lineRule="auto"/>
        <w:rPr>
          <w:sz w:val="20"/>
          <w:szCs w:val="20"/>
          <w:color w:val="auto"/>
        </w:rPr>
      </w:pPr>
      <w:r>
        <w:rPr>
          <w:rFonts w:ascii="Arial" w:cs="Arial" w:eastAsia="Arial" w:hAnsi="Arial"/>
          <w:sz w:val="18"/>
          <w:szCs w:val="18"/>
          <w:color w:val="auto"/>
        </w:rPr>
        <w:t>production of documents responsive to the request in September 2007 and has fully cooperated. BMS has not been informed that it is a target of an investigation. As of the date of this report, it is premature to assess whether this matter will have any impact on the BMS business or results of operations.</w:t>
      </w:r>
    </w:p>
    <w:p>
      <w:pPr>
        <w:spacing w:after="0" w:line="8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2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29, 2007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4,561</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accruals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8,690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13,198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(10,198)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8,118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29, 2007, the maximum potential amount of future payments that we could be required to make under these standby letters of credit was approximately $1.3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21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134"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accumulated other comprehensive income (loss) totaled approximately $0.5 million and $(0.4) million at December 29, 2007 and December 30, 2006, respectively, and was attributed to, net of income taxes where applicable, unrealized losses and gains on investments, adjustments resulting from the adoption of Statement No. 158, and, foreign currency adjustments resulting from the translation of certain accounts into U.S. dollars where the functional currency is the Euro.</w:t>
      </w:r>
    </w:p>
    <w:p>
      <w:pPr>
        <w:spacing w:after="0" w:line="9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rollforward of amounts included in “Accumulated other comprehensive income (loss)”, for 2007, 2006, and 2005,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Foreign Currency</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40" w:type="dxa"/>
            <w:vAlign w:val="bottom"/>
            <w:gridSpan w:val="4"/>
          </w:tcPr>
          <w:p>
            <w:pPr>
              <w:ind w:left="1760"/>
              <w:spacing w:after="0" w:line="149" w:lineRule="exact"/>
              <w:rPr>
                <w:sz w:val="20"/>
                <w:szCs w:val="20"/>
                <w:color w:val="auto"/>
              </w:rPr>
            </w:pPr>
            <w:r>
              <w:rPr>
                <w:rFonts w:ascii="Arial" w:cs="Arial" w:eastAsia="Arial" w:hAnsi="Arial"/>
                <w:sz w:val="14"/>
                <w:szCs w:val="14"/>
                <w:color w:val="auto"/>
              </w:rPr>
              <w:t>Investment Gain</w:t>
            </w:r>
          </w:p>
        </w:tc>
        <w:tc>
          <w:tcPr>
            <w:tcW w:w="170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Postretirement</w:t>
            </w:r>
          </w:p>
        </w:tc>
        <w:tc>
          <w:tcPr>
            <w:tcW w:w="1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Translation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Comprehensive</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rPr>
              <w:t>(Loss)</w:t>
            </w:r>
          </w:p>
        </w:tc>
        <w:tc>
          <w:tcPr>
            <w:tcW w:w="260" w:type="dxa"/>
            <w:vAlign w:val="bottom"/>
          </w:tcPr>
          <w:p>
            <w:pPr>
              <w:spacing w:after="0"/>
              <w:rPr>
                <w:sz w:val="15"/>
                <w:szCs w:val="15"/>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Adjustments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Income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80" w:type="dxa"/>
            <w:vAlign w:val="bottom"/>
            <w:tcBorders>
              <w:top w:val="single" w:sz="8" w:color="auto"/>
            </w:tcBorders>
            <w:gridSpan w:val="2"/>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5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Fiscal 2005 activity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Fiscal 2006 activity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30, 2006</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Fiscal 2007 activity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2007</w:t>
            </w:r>
          </w:p>
        </w:tc>
        <w:tc>
          <w:tcPr>
            <w:tcW w:w="18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00" w:type="dxa"/>
            <w:vAlign w:val="bottom"/>
            <w:gridSpan w:val="3"/>
          </w:tcPr>
          <w:p>
            <w:pPr>
              <w:jc w:val="right"/>
              <w:ind w:right="654"/>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4"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James A. Donahue, President and CEO of Cohu, is a member of the Board of Directors of Standard Microsystems Corporation (“SMSC”), a customer of Delta Design. During 2007, 2006, and 2005, total sales to SMSC were approximately $2.2 million, $3.9 million, and $0.7 million,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w w:val="91"/>
              </w:rPr>
              <w:t>First (a)</w:t>
            </w:r>
          </w:p>
        </w:tc>
        <w:tc>
          <w:tcPr>
            <w:tcW w:w="14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Second (a)</w:t>
            </w:r>
          </w:p>
        </w:tc>
        <w:tc>
          <w:tcPr>
            <w:tcW w:w="14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Third (a)</w:t>
            </w:r>
          </w:p>
        </w:tc>
        <w:tc>
          <w:tcPr>
            <w:tcW w:w="14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Fourth (a)</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3"/>
              </w:rPr>
              <w:t>53,368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66,407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64,490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57,124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241,389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3"/>
              </w:rPr>
              <w:t>56,770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61,942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74,787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76,607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270,106</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w w:val="83"/>
              </w:rPr>
              <w:t>19,665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19,304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20,605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19,238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78,812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w w:val="83"/>
              </w:rPr>
              <w:t>20,235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21,745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26,657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24,299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92,936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1,716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2,235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3,585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5,192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4,498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5,351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Net income (b):</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1,691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2,235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2,030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3,423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4,720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4,197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5,341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(c):</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from continuing</w:t>
            </w:r>
          </w:p>
        </w:tc>
        <w:tc>
          <w:tcPr>
            <w:tcW w:w="1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0.15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400"/>
              <w:spacing w:after="0" w:line="201" w:lineRule="exact"/>
              <w:rPr>
                <w:sz w:val="20"/>
                <w:szCs w:val="20"/>
                <w:color w:val="auto"/>
              </w:rPr>
            </w:pPr>
            <w:r>
              <w:rPr>
                <w:rFonts w:ascii="Arial" w:cs="Arial" w:eastAsia="Arial" w:hAnsi="Arial"/>
                <w:sz w:val="18"/>
                <w:szCs w:val="18"/>
                <w:color w:val="auto"/>
              </w:rPr>
              <w:t>Income from continuing</w:t>
            </w: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600"/>
              <w:spacing w:after="0"/>
              <w:rPr>
                <w:sz w:val="20"/>
                <w:szCs w:val="20"/>
                <w:color w:val="auto"/>
              </w:rPr>
            </w:pPr>
            <w:r>
              <w:rPr>
                <w:rFonts w:ascii="Arial" w:cs="Arial" w:eastAsia="Arial" w:hAnsi="Arial"/>
                <w:sz w:val="18"/>
                <w:szCs w:val="18"/>
                <w:color w:val="auto"/>
              </w:rPr>
              <w:t>operations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0.16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0.15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0.21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0.18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0.23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1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four quarters during 2007 was comprised of 13 weeks. The first quarter of 2006 contained 12 weeks, the second quarter of 2006 contained 13 weeks, the third quarter of 2006 contained 14 weeks and the fourth quarter of 2006 contained 13 weeks. As a result of the divestiture of FRL, we began reporting FRL as a discontinued operation for all periods presented in the second quarter of 2006 and, as a result, certain quarterly amounts will not agree to amounts presented in our previously filed Form 10-Qs.</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fourth quarter of 2006 the income tax provision was reduced by federal R&amp;D tax credits of approximately $1.1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22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4" w:lineRule="exact"/>
        <w:rPr>
          <w:rFonts w:ascii="Arial" w:cs="Arial" w:eastAsia="Arial" w:hAnsi="Arial"/>
          <w:sz w:val="18"/>
          <w:szCs w:val="18"/>
          <w:b w:val="1"/>
          <w:bCs w:val="1"/>
          <w:color w:val="auto"/>
        </w:rPr>
      </w:pPr>
    </w:p>
    <w:p>
      <w:pPr>
        <w:ind w:left="460"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31, 2008, we announced that the Cohu Board of Directors declared a $0.06 per share cash dividend payable on April 25, 2008 to stockholders of record on March 11,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29, 2007 and December 30, 2006, and the related consolidated statements of income, stockholders’ equity, and cash flows for each of the three years in the period ended December 29, 2007. Our audits also included the financial statement schedule listed in the Index at Item 15(a). These financial statements and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29, 2007 and December 30, 2006, and the consolidated results of its operations and its cash flows for each of the three years in the period ended December 29,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Cohu, Inc. adopted FASB Interpretation No. 48 “Accounting for Uncertainty in Income Taxes</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an interpretation of FASB Statement No. 109,” effective December 31, 2006 and Statement of Financial Accounting Standards No. 123(R), “Share-Based Payment,” as revised, effective January 1, 2006.</w:t>
      </w:r>
    </w:p>
    <w:p>
      <w:pPr>
        <w:spacing w:after="0" w:line="7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29, 2007, based on criteria established in Internal Control—Integrated Framework issued by the Committee of Sponsoring Organizations of the Treadway Commission and our report dated February 12, 2008 expressed an unqualified opinion thereon.</w:t>
      </w: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15. (b) The following exhibits are filed as part of, or incorporated into, the 2007 Cohu, Inc.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4"/>
                <w:szCs w:val="1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4"/>
              </w:rPr>
              <w:t>Amended and Restated Certificate of Incorporation of Cohu, Inc. incorporated herein by reference to Exhibit 3.1(a) from the Cohu,</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Inc. Form 10-Q for the quarterly period ended June 30, 1999</w:t>
            </w:r>
          </w:p>
        </w:tc>
      </w:tr>
      <w:tr>
        <w:trPr>
          <w:trHeight w:val="418"/>
        </w:trPr>
        <w:tc>
          <w:tcPr>
            <w:tcW w:w="1120" w:type="dxa"/>
            <w:vAlign w:val="bottom"/>
          </w:tcPr>
          <w:p>
            <w:pPr>
              <w:jc w:val="right"/>
              <w:ind w:right="51"/>
              <w:spacing w:after="0"/>
              <w:rPr>
                <w:sz w:val="20"/>
                <w:szCs w:val="20"/>
                <w:color w:val="auto"/>
              </w:rPr>
            </w:pPr>
            <w:r>
              <w:rPr>
                <w:rFonts w:ascii="Arial" w:cs="Arial" w:eastAsia="Arial" w:hAnsi="Arial"/>
                <w:sz w:val="18"/>
                <w:szCs w:val="18"/>
                <w:color w:val="auto"/>
              </w:rPr>
              <w:t>3.1(a)</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 herein by reference from</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the Cohu, Inc. Form S-8 filed June 30, 2000, Exhibit 4.1(a)</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Current Report on</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w:t>
            </w: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5"/>
              </w:rPr>
              <w:t>Agent, incorporated herein by reference from the Cohu, Inc. Current Report on Form 8-K, filed with the Securities and Exchange</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Commission on November 13, 2006, Exhibit 99.1</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1"/>
              </w:rPr>
              <w:t>Performance goals and targets for 2007 Executive Officer bonus awards incorporated herein by reference from the Cohu, Inc. Current</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Report on Form 8-K filed with the Securities and Exchange Commission on March 23, 2007*</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Loan Agreement between Bank of America, N.A. and Cohu, Inc. dated June 28, 2004, incorporated herein by reference from the Cohu,</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Inc. Current Report on Form 10-Q for the quarter ended June 30, 2004, Exhibit 10.1</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10.2.1</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5"/>
              </w:rPr>
              <w:t>Amendment No. 3 dated May 29, 2007 to Loan Agreement dated June 28, 2004 between Cohu, Inc. and Bank of America, N.A.,</w:t>
            </w: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1"/>
              </w:rPr>
              <w:t>incorporated herein by reference from the Cohu, Inc. Current Report on Form 8-K filed with the Securities and Exchange Commission</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on May 29, 2007, Exhibit 99.1</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2"/>
              </w:rPr>
              <w:t>Termination Agreement between Cohu, Inc. and John H. Allen, incorporated herein by reference from the Cohu 1996 Annual Report</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on Form 10-K , Exhibit 10.11*</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Amended Cohu, Inc. 1997 Employee Stock Purchase Plan, incorporated herein by reference from the Cohu, Inc. Current Report on</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May 10, 2006, Exhibit 10.2*</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6"/>
              </w:rPr>
              <w:t>Cohu, Inc. Deferred Compensation Plan incorporated herein by reference from the Cohu, Inc. Form 10-Q for the quarter ended</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September 30, 2001, Exhibit 10.2*</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2"/>
              </w:rPr>
              <w:t>Cohu, Inc. 2005 Equity Incentive Plan, incorporated herein by reference from the Cohu, Inc. Current Report on Form 8-K/A filed with</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the Securities and Exchange Commission on February 22, 2007, Exhibit 10.1*</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1"/>
              </w:rPr>
              <w:t>Termination Agreement between Cohu, Inc. and James A. Donahue, incorporated herein by reference from the Cohu, Inc. Form 10-Q</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 the quarter ended June 30, 1998, Exhibit 10.2*</w:t>
            </w:r>
          </w:p>
        </w:tc>
      </w:tr>
      <w:tr>
        <w:trPr>
          <w:trHeight w:val="418"/>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Lease Assignment Agreement dated June 25, 1999 by and between Cohu, Inc., Cubic Defense Systems, Inc. and Thomas G. Plein and</w:t>
            </w:r>
          </w:p>
        </w:tc>
      </w:tr>
      <w:tr>
        <w:trPr>
          <w:trHeight w:val="230"/>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4"/>
              </w:rPr>
              <w:t>Diane L. Plein, incorporated herein by reference from the Cohu, Inc. Form 10-Q for the quarter ended June 30, 1999, Exhibit 10.2</w:t>
            </w:r>
          </w:p>
        </w:tc>
      </w:tr>
      <w:tr>
        <w:trPr>
          <w:trHeight w:val="405"/>
        </w:trPr>
        <w:tc>
          <w:tcPr>
            <w:tcW w:w="1120" w:type="dxa"/>
            <w:vAlign w:val="bottom"/>
          </w:tcPr>
          <w:p>
            <w:pPr>
              <w:spacing w:after="0"/>
              <w:rPr>
                <w:sz w:val="24"/>
                <w:szCs w:val="24"/>
                <w:color w:val="auto"/>
              </w:rPr>
            </w:pPr>
          </w:p>
        </w:tc>
        <w:tc>
          <w:tcPr>
            <w:tcW w:w="10300" w:type="dxa"/>
            <w:vAlign w:val="bottom"/>
            <w:gridSpan w:val="2"/>
          </w:tcPr>
          <w:p>
            <w:pPr>
              <w:jc w:val="right"/>
              <w:ind w:right="5531"/>
              <w:spacing w:after="0"/>
              <w:rPr>
                <w:sz w:val="20"/>
                <w:szCs w:val="20"/>
                <w:color w:val="auto"/>
              </w:rPr>
            </w:pPr>
            <w:r>
              <w:rPr>
                <w:rFonts w:ascii="Arial" w:cs="Arial" w:eastAsia="Arial" w:hAnsi="Arial"/>
                <w:sz w:val="18"/>
                <w:szCs w:val="18"/>
                <w:color w:val="auto"/>
              </w:rPr>
              <w:t>60</w:t>
            </w:r>
          </w:p>
        </w:tc>
      </w:tr>
      <w:tr>
        <w:trPr>
          <w:trHeight w:val="226"/>
        </w:trPr>
        <w:tc>
          <w:tcPr>
            <w:tcW w:w="1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4"/>
                <w:szCs w:val="14"/>
                <w:color w:val="auto"/>
              </w:rPr>
            </w:pPr>
          </w:p>
        </w:tc>
        <w:tc>
          <w:tcPr>
            <w:tcW w:w="974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20" w:type="dxa"/>
            <w:vAlign w:val="bottom"/>
          </w:tcPr>
          <w:p>
            <w:pPr>
              <w:jc w:val="right"/>
              <w:ind w:right="233"/>
              <w:spacing w:after="0"/>
              <w:rPr>
                <w:sz w:val="20"/>
                <w:szCs w:val="20"/>
                <w:color w:val="auto"/>
              </w:rPr>
            </w:pPr>
            <w:r>
              <w:rPr>
                <w:rFonts w:ascii="Arial" w:cs="Arial" w:eastAsia="Arial" w:hAnsi="Arial"/>
                <w:sz w:val="18"/>
                <w:szCs w:val="18"/>
                <w:color w:val="auto"/>
              </w:rPr>
              <w:t>10.8.1</w:t>
            </w: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2"/>
              </w:rPr>
              <w:t>Extension of Lease dated August 19, 2005 by and between Cohu, Inc., Thomas G. Plein and Diane L. Plein, the Hurley Family Trust</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8"/>
              </w:rPr>
              <w:t>and Chesnut Family Trust, incorporated by reference from the Cohu, Inc. Current Report on Form 8-K filed August 22, 2005,</w:t>
            </w: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rPr>
              <w:t>Exhibit 99.1</w:t>
            </w:r>
          </w:p>
        </w:tc>
      </w:tr>
      <w:tr>
        <w:trPr>
          <w:trHeight w:val="418"/>
        </w:trPr>
        <w:tc>
          <w:tcPr>
            <w:tcW w:w="1120" w:type="dxa"/>
            <w:vAlign w:val="bottom"/>
          </w:tcPr>
          <w:p>
            <w:pPr>
              <w:jc w:val="right"/>
              <w:ind w:right="233"/>
              <w:spacing w:after="0"/>
              <w:rPr>
                <w:sz w:val="20"/>
                <w:szCs w:val="20"/>
                <w:color w:val="auto"/>
              </w:rPr>
            </w:pPr>
            <w:r>
              <w:rPr>
                <w:rFonts w:ascii="Arial" w:cs="Arial" w:eastAsia="Arial" w:hAnsi="Arial"/>
                <w:sz w:val="18"/>
                <w:szCs w:val="18"/>
                <w:color w:val="auto"/>
              </w:rPr>
              <w:t>10.9</w:t>
            </w: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0"/>
              </w:rPr>
              <w:t>Capital Equipment, Goods and Services Agreement, dated January 10, 2007, by and between Delta and Intel Corporation, incorporated</w:t>
            </w: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rPr>
              <w:t>by reference from the Cohu, Inc. Current Report on Form 8-K filed April 25, 2007, Exhibit 99.1</w:t>
            </w:r>
          </w:p>
        </w:tc>
      </w:tr>
      <w:tr>
        <w:trPr>
          <w:trHeight w:val="418"/>
        </w:trPr>
        <w:tc>
          <w:tcPr>
            <w:tcW w:w="1120" w:type="dxa"/>
            <w:vAlign w:val="bottom"/>
          </w:tcPr>
          <w:p>
            <w:pPr>
              <w:jc w:val="right"/>
              <w:ind w:right="233"/>
              <w:spacing w:after="0"/>
              <w:rPr>
                <w:sz w:val="20"/>
                <w:szCs w:val="20"/>
                <w:color w:val="auto"/>
              </w:rPr>
            </w:pPr>
            <w:r>
              <w:rPr>
                <w:rFonts w:ascii="Arial" w:cs="Arial" w:eastAsia="Arial" w:hAnsi="Arial"/>
                <w:sz w:val="18"/>
                <w:szCs w:val="18"/>
                <w:color w:val="auto"/>
              </w:rPr>
              <w:t>10.10</w:t>
            </w: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7"/>
              </w:rPr>
              <w:t>Corporate Purchase Option Agreement dated April 25, 2002 between Delta Design, Inc. and Texas Instruments Incorporated,</w:t>
            </w: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rPr>
              <w:t>incorporated by reference from the Cohu, Inc. Current Report on Form 8-K filed February 18, 2005, Exhibit 99.3</w:t>
            </w:r>
          </w:p>
        </w:tc>
      </w:tr>
      <w:tr>
        <w:trPr>
          <w:trHeight w:val="418"/>
        </w:trPr>
        <w:tc>
          <w:tcPr>
            <w:tcW w:w="1120" w:type="dxa"/>
            <w:vAlign w:val="bottom"/>
          </w:tcPr>
          <w:p>
            <w:pPr>
              <w:jc w:val="right"/>
              <w:ind w:right="233"/>
              <w:spacing w:after="0"/>
              <w:rPr>
                <w:sz w:val="20"/>
                <w:szCs w:val="20"/>
                <w:color w:val="auto"/>
              </w:rPr>
            </w:pPr>
            <w:r>
              <w:rPr>
                <w:rFonts w:ascii="Arial" w:cs="Arial" w:eastAsia="Arial" w:hAnsi="Arial"/>
                <w:sz w:val="18"/>
                <w:szCs w:val="18"/>
                <w:color w:val="auto"/>
              </w:rPr>
              <w:t>10.11</w:t>
            </w: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1"/>
              </w:rPr>
              <w:t>Business Agreement and Addendum by and between Advanced Micro Devices, Inc. and Delta Design, Inc. incorporated by reference</w:t>
            </w: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rPr>
              <w:t>from the Cohu, Inc. Current Report on Form 8-K filed February 22, 2006, Exhibit 99.1</w:t>
            </w:r>
          </w:p>
        </w:tc>
      </w:tr>
      <w:tr>
        <w:trPr>
          <w:trHeight w:val="418"/>
        </w:trPr>
        <w:tc>
          <w:tcPr>
            <w:tcW w:w="1120" w:type="dxa"/>
            <w:vAlign w:val="bottom"/>
          </w:tcPr>
          <w:p>
            <w:pPr>
              <w:jc w:val="right"/>
              <w:ind w:right="233"/>
              <w:spacing w:after="0"/>
              <w:rPr>
                <w:sz w:val="20"/>
                <w:szCs w:val="20"/>
                <w:color w:val="auto"/>
              </w:rPr>
            </w:pPr>
            <w:r>
              <w:rPr>
                <w:rFonts w:ascii="Arial" w:cs="Arial" w:eastAsia="Arial" w:hAnsi="Arial"/>
                <w:sz w:val="18"/>
                <w:szCs w:val="18"/>
                <w:color w:val="auto"/>
              </w:rPr>
              <w:t>10.12</w:t>
            </w: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1"/>
              </w:rPr>
              <w:t>Form of stock option agreement for use with stock options granted pursuant to the Cohu, Inc. 2005 Equity Incentive Plan incorporated</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1"/>
              </w:rPr>
              <w:t>herein by reference from the Cohu, Inc. Current Report on Form 8-K filed with the Securities and Exchange Commission on August 7,</w:t>
            </w: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rPr>
              <w:t>2006*</w:t>
            </w:r>
          </w:p>
        </w:tc>
      </w:tr>
      <w:tr>
        <w:trPr>
          <w:trHeight w:val="418"/>
        </w:trPr>
        <w:tc>
          <w:tcPr>
            <w:tcW w:w="1120" w:type="dxa"/>
            <w:vAlign w:val="bottom"/>
          </w:tcPr>
          <w:p>
            <w:pPr>
              <w:jc w:val="right"/>
              <w:ind w:right="233"/>
              <w:spacing w:after="0"/>
              <w:rPr>
                <w:sz w:val="20"/>
                <w:szCs w:val="20"/>
                <w:color w:val="auto"/>
              </w:rPr>
            </w:pPr>
            <w:r>
              <w:rPr>
                <w:rFonts w:ascii="Arial" w:cs="Arial" w:eastAsia="Arial" w:hAnsi="Arial"/>
                <w:sz w:val="18"/>
                <w:szCs w:val="18"/>
                <w:color w:val="auto"/>
              </w:rPr>
              <w:t>10.13</w:t>
            </w: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6"/>
              </w:rPr>
              <w:t>Restricted stock unit agreement for use with resticted stock units granted pursuant to the Cohu, Inc. 2005 Equity Incentive Plan</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w w:val="95"/>
              </w:rPr>
              <w:t>incorporated herein by reference from the Cohu, Inc. Report on Form 8-K filed with the Securities and Exchange Commission on</w:t>
            </w: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560"/>
              <w:spacing w:after="0"/>
              <w:rPr>
                <w:sz w:val="20"/>
                <w:szCs w:val="20"/>
                <w:color w:val="auto"/>
              </w:rPr>
            </w:pPr>
            <w:r>
              <w:rPr>
                <w:rFonts w:ascii="Arial" w:cs="Arial" w:eastAsia="Arial" w:hAnsi="Arial"/>
                <w:sz w:val="18"/>
                <w:szCs w:val="18"/>
                <w:color w:val="auto"/>
              </w:rPr>
              <w:t>April 20, 2006*</w:t>
            </w:r>
          </w:p>
        </w:tc>
      </w:tr>
    </w:tbl>
    <w:p>
      <w:pPr>
        <w:spacing w:after="0" w:line="202" w:lineRule="exact"/>
        <w:rPr>
          <w:sz w:val="20"/>
          <w:szCs w:val="20"/>
          <w:color w:val="auto"/>
        </w:rPr>
      </w:pPr>
    </w:p>
    <w:p>
      <w:pPr>
        <w:ind w:left="1680" w:right="60" w:hanging="1069"/>
        <w:spacing w:after="0" w:line="277"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Cohu, Inc. Code of Business Conduct and Ethics, incorporated herein by reference from the Cohu 2003 Annual Report on Form 10-K, Exhibit 14</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76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0120" w:type="dxa"/>
            <w:vAlign w:val="bottom"/>
          </w:tcPr>
          <w:p>
            <w:pPr>
              <w:ind w:left="440"/>
              <w:spacing w:after="0"/>
              <w:rPr>
                <w:sz w:val="20"/>
                <w:szCs w:val="20"/>
                <w:color w:val="auto"/>
              </w:rPr>
            </w:pPr>
            <w:r>
              <w:rPr>
                <w:rFonts w:ascii="Arial" w:cs="Arial" w:eastAsia="Arial" w:hAnsi="Arial"/>
                <w:sz w:val="18"/>
                <w:szCs w:val="18"/>
                <w:color w:val="auto"/>
              </w:rPr>
              <w:t>Subsidiaries of Cohu, Inc.</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10120" w:type="dxa"/>
            <w:vAlign w:val="bottom"/>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31.1</w:t>
            </w:r>
          </w:p>
        </w:tc>
        <w:tc>
          <w:tcPr>
            <w:tcW w:w="10120" w:type="dxa"/>
            <w:vAlign w:val="bottom"/>
          </w:tcPr>
          <w:p>
            <w:pPr>
              <w:ind w:left="44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10120" w:type="dxa"/>
            <w:vAlign w:val="bottom"/>
          </w:tcPr>
          <w:p>
            <w:pPr>
              <w:ind w:left="44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418"/>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1012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for James A.</w:t>
            </w:r>
          </w:p>
        </w:tc>
      </w:tr>
      <w:tr>
        <w:trPr>
          <w:trHeight w:val="230"/>
        </w:trPr>
        <w:tc>
          <w:tcPr>
            <w:tcW w:w="760" w:type="dxa"/>
            <w:vAlign w:val="bottom"/>
          </w:tcPr>
          <w:p>
            <w:pPr>
              <w:spacing w:after="0"/>
              <w:rPr>
                <w:sz w:val="20"/>
                <w:szCs w:val="20"/>
                <w:color w:val="auto"/>
              </w:rPr>
            </w:pPr>
          </w:p>
        </w:tc>
        <w:tc>
          <w:tcPr>
            <w:tcW w:w="10120" w:type="dxa"/>
            <w:vAlign w:val="bottom"/>
          </w:tcPr>
          <w:p>
            <w:pPr>
              <w:ind w:left="440"/>
              <w:spacing w:after="0"/>
              <w:rPr>
                <w:sz w:val="20"/>
                <w:szCs w:val="20"/>
                <w:color w:val="auto"/>
              </w:rPr>
            </w:pPr>
            <w:r>
              <w:rPr>
                <w:rFonts w:ascii="Arial" w:cs="Arial" w:eastAsia="Arial" w:hAnsi="Arial"/>
                <w:sz w:val="18"/>
                <w:szCs w:val="18"/>
                <w:color w:val="auto"/>
              </w:rPr>
              <w:t>Donahue</w:t>
            </w:r>
          </w:p>
        </w:tc>
      </w:tr>
      <w:tr>
        <w:trPr>
          <w:trHeight w:val="418"/>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1012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for Jeffrey D.</w:t>
            </w:r>
          </w:p>
        </w:tc>
      </w:tr>
      <w:tr>
        <w:trPr>
          <w:trHeight w:val="230"/>
        </w:trPr>
        <w:tc>
          <w:tcPr>
            <w:tcW w:w="760" w:type="dxa"/>
            <w:vAlign w:val="bottom"/>
          </w:tcPr>
          <w:p>
            <w:pPr>
              <w:spacing w:after="0"/>
              <w:rPr>
                <w:sz w:val="20"/>
                <w:szCs w:val="20"/>
                <w:color w:val="auto"/>
              </w:rPr>
            </w:pPr>
          </w:p>
        </w:tc>
        <w:tc>
          <w:tcPr>
            <w:tcW w:w="10120" w:type="dxa"/>
            <w:vAlign w:val="bottom"/>
          </w:tcPr>
          <w:p>
            <w:pPr>
              <w:ind w:left="440"/>
              <w:spacing w:after="0"/>
              <w:rPr>
                <w:sz w:val="20"/>
                <w:szCs w:val="20"/>
                <w:color w:val="auto"/>
              </w:rPr>
            </w:pPr>
            <w:r>
              <w:rPr>
                <w:rFonts w:ascii="Arial" w:cs="Arial" w:eastAsia="Arial" w:hAnsi="Arial"/>
                <w:sz w:val="18"/>
                <w:szCs w:val="18"/>
                <w:color w:val="auto"/>
              </w:rPr>
              <w:t>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840"/>
              <w:spacing w:after="0"/>
              <w:rPr>
                <w:sz w:val="20"/>
                <w:szCs w:val="20"/>
                <w:color w:val="auto"/>
              </w:rPr>
            </w:pPr>
            <w:r>
              <w:rPr>
                <w:rFonts w:ascii="Arial" w:cs="Arial" w:eastAsia="Arial" w:hAnsi="Arial"/>
                <w:sz w:val="18"/>
                <w:szCs w:val="18"/>
                <w:color w:val="auto"/>
              </w:rPr>
              <w:t>COHU,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February 15, 2008</w:t>
            </w:r>
          </w:p>
        </w:tc>
        <w:tc>
          <w:tcPr>
            <w:tcW w:w="6160" w:type="dxa"/>
            <w:vAlign w:val="bottom"/>
            <w:gridSpan w:val="2"/>
          </w:tcPr>
          <w:p>
            <w:pPr>
              <w:ind w:left="1840"/>
              <w:spacing w:after="0"/>
              <w:rPr>
                <w:sz w:val="20"/>
                <w:szCs w:val="20"/>
                <w:color w:val="auto"/>
              </w:rPr>
            </w:pPr>
            <w:r>
              <w:rPr>
                <w:rFonts w:ascii="Arial" w:cs="Arial" w:eastAsia="Arial" w:hAnsi="Arial"/>
                <w:sz w:val="18"/>
                <w:szCs w:val="18"/>
                <w:color w:val="auto"/>
              </w:rPr>
              <w:t>By  /s/ James A. Donahue</w:t>
            </w:r>
          </w:p>
        </w:tc>
      </w:tr>
      <w:tr>
        <w:trPr>
          <w:trHeight w:val="195"/>
        </w:trPr>
        <w:tc>
          <w:tcPr>
            <w:tcW w:w="3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A. Donahue</w:t>
            </w: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spacing w:after="0"/>
        <w:tabs>
          <w:tab w:leader="none" w:pos="4900" w:val="left"/>
          <w:tab w:leader="none" w:pos="9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 Charles A. Schwan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07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Charles A. Schwan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07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Harry L. Casari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Harry L. Casari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07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Robert L. Ciardella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Harold Harrigian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Harold Harrigian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6"/>
          <w:szCs w:val="16"/>
          <w:color w:val="auto"/>
        </w:rPr>
        <w:t>February 15,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President &amp; Chief Executive Officer,</w:t>
      </w:r>
      <w:r>
        <w:rPr>
          <w:sz w:val="20"/>
          <w:szCs w:val="20"/>
          <w:color w:val="auto"/>
        </w:rPr>
        <w:tab/>
      </w:r>
      <w:r>
        <w:rPr>
          <w:rFonts w:ascii="Arial" w:cs="Arial" w:eastAsia="Arial" w:hAnsi="Arial"/>
          <w:sz w:val="16"/>
          <w:szCs w:val="16"/>
          <w:color w:val="auto"/>
        </w:rPr>
        <w:t>February 15,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(Principal Executive Officer)</w:t>
      </w:r>
    </w:p>
    <w:p>
      <w:pPr>
        <w:spacing w:after="0" w:line="238"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Vice President, Finance &amp; Chief</w:t>
      </w:r>
      <w:r>
        <w:rPr>
          <w:sz w:val="20"/>
          <w:szCs w:val="20"/>
          <w:color w:val="auto"/>
        </w:rPr>
        <w:tab/>
      </w:r>
      <w:r>
        <w:rPr>
          <w:rFonts w:ascii="Arial" w:cs="Arial" w:eastAsia="Arial" w:hAnsi="Arial"/>
          <w:sz w:val="16"/>
          <w:szCs w:val="16"/>
          <w:color w:val="auto"/>
        </w:rPr>
        <w:t>February 15,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&amp; Accounting Officer)</w:t>
      </w:r>
    </w:p>
    <w:p>
      <w:pPr>
        <w:spacing w:after="0" w:line="211"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15, 2008</w:t>
      </w:r>
    </w:p>
    <w:p>
      <w:pPr>
        <w:spacing w:after="0" w:line="200" w:lineRule="exact"/>
        <w:rPr>
          <w:sz w:val="20"/>
          <w:szCs w:val="20"/>
          <w:color w:val="auto"/>
        </w:rPr>
      </w:pPr>
    </w:p>
    <w:p>
      <w:pPr>
        <w:spacing w:after="0" w:line="291"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15, 2008</w:t>
      </w:r>
    </w:p>
    <w:p>
      <w:pPr>
        <w:spacing w:after="0" w:line="200" w:lineRule="exact"/>
        <w:rPr>
          <w:sz w:val="20"/>
          <w:szCs w:val="20"/>
          <w:color w:val="auto"/>
        </w:rPr>
      </w:pPr>
    </w:p>
    <w:p>
      <w:pPr>
        <w:spacing w:after="0" w:line="291"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15, 2008</w:t>
      </w: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00" w:space="720"/>
            <w:col w:w="6480"/>
          </w:cols>
          <w:pgMar w:left="240" w:top="419" w:right="2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rPr>
              <w:t>Additions</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Additions</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(Reductions)</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Balance at</w:t>
            </w:r>
          </w:p>
        </w:tc>
        <w:tc>
          <w:tcPr>
            <w:tcW w:w="460" w:type="dxa"/>
            <w:vAlign w:val="bottom"/>
          </w:tcPr>
          <w:p>
            <w:pPr>
              <w:spacing w:after="0"/>
              <w:rPr>
                <w:sz w:val="12"/>
                <w:szCs w:val="12"/>
                <w:color w:val="auto"/>
              </w:rPr>
            </w:pPr>
          </w:p>
        </w:tc>
        <w:tc>
          <w:tcPr>
            <w:tcW w:w="1000" w:type="dxa"/>
            <w:vAlign w:val="bottom"/>
          </w:tcPr>
          <w:p>
            <w:pPr>
              <w:jc w:val="center"/>
              <w:ind w:right="473"/>
              <w:spacing w:after="0" w:line="149" w:lineRule="exact"/>
              <w:rPr>
                <w:sz w:val="20"/>
                <w:szCs w:val="20"/>
                <w:color w:val="auto"/>
              </w:rPr>
            </w:pPr>
            <w:r>
              <w:rPr>
                <w:rFonts w:ascii="Arial" w:cs="Arial" w:eastAsia="Arial" w:hAnsi="Arial"/>
                <w:sz w:val="14"/>
                <w:szCs w:val="14"/>
                <w:color w:val="auto"/>
                <w:w w:val="91"/>
              </w:rPr>
              <w:t>Not</w:t>
            </w:r>
          </w:p>
        </w:tc>
        <w:tc>
          <w:tcPr>
            <w:tcW w:w="520" w:type="dxa"/>
            <w:vAlign w:val="bottom"/>
          </w:tcPr>
          <w:p>
            <w:pPr>
              <w:spacing w:after="0"/>
              <w:rPr>
                <w:sz w:val="12"/>
                <w:szCs w:val="12"/>
                <w:color w:val="auto"/>
              </w:rPr>
            </w:pPr>
          </w:p>
        </w:tc>
        <w:tc>
          <w:tcPr>
            <w:tcW w:w="1040" w:type="dxa"/>
            <w:vAlign w:val="bottom"/>
          </w:tcPr>
          <w:p>
            <w:pPr>
              <w:jc w:val="center"/>
              <w:ind w:right="473"/>
              <w:spacing w:after="0" w:line="149" w:lineRule="exact"/>
              <w:rPr>
                <w:sz w:val="20"/>
                <w:szCs w:val="20"/>
                <w:color w:val="auto"/>
              </w:rPr>
            </w:pPr>
            <w:r>
              <w:rPr>
                <w:rFonts w:ascii="Arial" w:cs="Arial" w:eastAsia="Arial" w:hAnsi="Arial"/>
                <w:sz w:val="14"/>
                <w:szCs w:val="14"/>
                <w:color w:val="auto"/>
                <w:w w:val="89"/>
              </w:rPr>
              <w:t>Charged</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Beginning</w:t>
            </w:r>
          </w:p>
        </w:tc>
        <w:tc>
          <w:tcPr>
            <w:tcW w:w="1460" w:type="dxa"/>
            <w:vAlign w:val="bottom"/>
            <w:gridSpan w:val="2"/>
          </w:tcPr>
          <w:p>
            <w:pPr>
              <w:jc w:val="center"/>
              <w:ind w:right="13"/>
              <w:spacing w:after="0" w:line="149" w:lineRule="exact"/>
              <w:rPr>
                <w:sz w:val="20"/>
                <w:szCs w:val="20"/>
                <w:color w:val="auto"/>
              </w:rPr>
            </w:pPr>
            <w:r>
              <w:rPr>
                <w:rFonts w:ascii="Arial" w:cs="Arial" w:eastAsia="Arial" w:hAnsi="Arial"/>
                <w:sz w:val="14"/>
                <w:szCs w:val="14"/>
                <w:color w:val="auto"/>
                <w:w w:val="89"/>
              </w:rPr>
              <w:t>Charged</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(Credited)</w:t>
            </w:r>
          </w:p>
        </w:tc>
        <w:tc>
          <w:tcPr>
            <w:tcW w:w="15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Deductions/</w:t>
            </w:r>
          </w:p>
        </w:tc>
        <w:tc>
          <w:tcPr>
            <w:tcW w:w="520" w:type="dxa"/>
            <w:vAlign w:val="bottom"/>
          </w:tcPr>
          <w:p>
            <w:pPr>
              <w:spacing w:after="0"/>
              <w:rPr>
                <w:sz w:val="12"/>
                <w:szCs w:val="12"/>
                <w:color w:val="auto"/>
              </w:rPr>
            </w:pPr>
          </w:p>
        </w:tc>
        <w:tc>
          <w:tcPr>
            <w:tcW w:w="80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3"/>
              </w:rPr>
              <w:t>at End</w:t>
            </w:r>
          </w:p>
        </w:tc>
        <w:tc>
          <w:tcPr>
            <w:tcW w:w="0" w:type="dxa"/>
            <w:vAlign w:val="bottom"/>
          </w:tcPr>
          <w:p>
            <w:pPr>
              <w:spacing w:after="0"/>
              <w:rPr>
                <w:sz w:val="1"/>
                <w:szCs w:val="1"/>
                <w:color w:val="auto"/>
              </w:rPr>
            </w:pPr>
          </w:p>
        </w:tc>
      </w:tr>
      <w:tr>
        <w:trPr>
          <w:trHeight w:val="167"/>
        </w:trPr>
        <w:tc>
          <w:tcPr>
            <w:tcW w:w="38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620" w:type="dxa"/>
            <w:vAlign w:val="bottom"/>
          </w:tcPr>
          <w:p>
            <w:pPr>
              <w:spacing w:after="0"/>
              <w:rPr>
                <w:sz w:val="14"/>
                <w:szCs w:val="14"/>
                <w:color w:val="auto"/>
              </w:rPr>
            </w:pPr>
          </w:p>
        </w:tc>
        <w:tc>
          <w:tcPr>
            <w:tcW w:w="1080" w:type="dxa"/>
            <w:vAlign w:val="bottom"/>
          </w:tcPr>
          <w:p>
            <w:pPr>
              <w:jc w:val="center"/>
              <w:ind w:right="493"/>
              <w:spacing w:after="0"/>
              <w:rPr>
                <w:sz w:val="20"/>
                <w:szCs w:val="20"/>
                <w:color w:val="auto"/>
              </w:rPr>
            </w:pPr>
            <w:r>
              <w:rPr>
                <w:rFonts w:ascii="Arial" w:cs="Arial" w:eastAsia="Arial" w:hAnsi="Arial"/>
                <w:sz w:val="14"/>
                <w:szCs w:val="14"/>
                <w:color w:val="auto"/>
                <w:w w:val="92"/>
              </w:rPr>
              <w:t>of Year</w:t>
            </w:r>
          </w:p>
        </w:tc>
        <w:tc>
          <w:tcPr>
            <w:tcW w:w="1460" w:type="dxa"/>
            <w:vAlign w:val="bottom"/>
            <w:gridSpan w:val="2"/>
          </w:tcPr>
          <w:p>
            <w:pPr>
              <w:jc w:val="center"/>
              <w:ind w:right="13"/>
              <w:spacing w:after="0"/>
              <w:rPr>
                <w:sz w:val="20"/>
                <w:szCs w:val="20"/>
                <w:color w:val="auto"/>
              </w:rPr>
            </w:pPr>
            <w:r>
              <w:rPr>
                <w:rFonts w:ascii="Arial" w:cs="Arial" w:eastAsia="Arial" w:hAnsi="Arial"/>
                <w:sz w:val="14"/>
                <w:szCs w:val="14"/>
                <w:color w:val="auto"/>
                <w:w w:val="91"/>
              </w:rPr>
              <w:t>to Expense</w:t>
            </w:r>
          </w:p>
        </w:tc>
        <w:tc>
          <w:tcPr>
            <w:tcW w:w="1560" w:type="dxa"/>
            <w:vAlign w:val="bottom"/>
            <w:gridSpan w:val="2"/>
          </w:tcPr>
          <w:p>
            <w:pPr>
              <w:ind w:left="440"/>
              <w:spacing w:after="0"/>
              <w:rPr>
                <w:sz w:val="20"/>
                <w:szCs w:val="20"/>
                <w:color w:val="auto"/>
              </w:rPr>
            </w:pPr>
            <w:r>
              <w:rPr>
                <w:rFonts w:ascii="Arial" w:cs="Arial" w:eastAsia="Arial" w:hAnsi="Arial"/>
                <w:sz w:val="14"/>
                <w:szCs w:val="14"/>
                <w:color w:val="auto"/>
              </w:rPr>
              <w:t>to Expense</w:t>
            </w:r>
          </w:p>
        </w:tc>
        <w:tc>
          <w:tcPr>
            <w:tcW w:w="1540" w:type="dxa"/>
            <w:vAlign w:val="bottom"/>
            <w:gridSpan w:val="2"/>
          </w:tcPr>
          <w:p>
            <w:pPr>
              <w:ind w:left="480"/>
              <w:spacing w:after="0"/>
              <w:rPr>
                <w:sz w:val="20"/>
                <w:szCs w:val="20"/>
                <w:color w:val="auto"/>
              </w:rPr>
            </w:pPr>
            <w:r>
              <w:rPr>
                <w:rFonts w:ascii="Arial" w:cs="Arial" w:eastAsia="Arial" w:hAnsi="Arial"/>
                <w:sz w:val="14"/>
                <w:szCs w:val="14"/>
                <w:color w:val="auto"/>
              </w:rPr>
              <w:t>Write-offs</w:t>
            </w:r>
          </w:p>
        </w:tc>
        <w:tc>
          <w:tcPr>
            <w:tcW w:w="520" w:type="dxa"/>
            <w:vAlign w:val="bottom"/>
          </w:tcPr>
          <w:p>
            <w:pPr>
              <w:spacing w:after="0"/>
              <w:rPr>
                <w:sz w:val="14"/>
                <w:szCs w:val="14"/>
                <w:color w:val="auto"/>
              </w:rPr>
            </w:pPr>
          </w:p>
        </w:tc>
        <w:tc>
          <w:tcPr>
            <w:tcW w:w="800" w:type="dxa"/>
            <w:vAlign w:val="bottom"/>
          </w:tcPr>
          <w:p>
            <w:pPr>
              <w:jc w:val="center"/>
              <w:ind w:right="216"/>
              <w:spacing w:after="0"/>
              <w:rPr>
                <w:sz w:val="20"/>
                <w:szCs w:val="20"/>
                <w:color w:val="auto"/>
              </w:rPr>
            </w:pPr>
            <w:r>
              <w:rPr>
                <w:rFonts w:ascii="Arial" w:cs="Arial" w:eastAsia="Arial" w:hAnsi="Arial"/>
                <w:sz w:val="14"/>
                <w:szCs w:val="14"/>
                <w:color w:val="auto"/>
                <w:w w:val="92"/>
              </w:rPr>
              <w:t>of Year</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rPr>
              <w:t>889</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453"/>
              <w:spacing w:after="0"/>
              <w:rPr>
                <w:sz w:val="20"/>
                <w:szCs w:val="20"/>
                <w:color w:val="auto"/>
              </w:rPr>
            </w:pPr>
            <w:r>
              <w:rPr>
                <w:rFonts w:ascii="Arial" w:cs="Arial" w:eastAsia="Arial" w:hAnsi="Arial"/>
                <w:sz w:val="18"/>
                <w:szCs w:val="18"/>
                <w:color w:val="auto"/>
              </w:rPr>
              <w:t>428</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59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6"/>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1,258</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422</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Year ended December 29, 2007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rPr>
              <w:t>1,644</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15(1)</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93"/>
              <w:spacing w:after="0"/>
              <w:rPr>
                <w:sz w:val="20"/>
                <w:szCs w:val="20"/>
                <w:color w:val="auto"/>
              </w:rPr>
            </w:pPr>
            <w:r>
              <w:rPr>
                <w:rFonts w:ascii="Arial" w:cs="Arial" w:eastAsia="Arial" w:hAnsi="Arial"/>
                <w:sz w:val="18"/>
                <w:szCs w:val="18"/>
                <w:color w:val="auto"/>
              </w:rPr>
              <w:t>(92)</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12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6"/>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 *:</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Year ended December 31, 2005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w w:val="88"/>
              </w:rPr>
              <w:t>23,780(2)</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960(3)</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453"/>
              <w:spacing w:after="0"/>
              <w:rPr>
                <w:sz w:val="20"/>
                <w:szCs w:val="20"/>
                <w:color w:val="auto"/>
              </w:rPr>
            </w:pPr>
            <w:r>
              <w:rPr>
                <w:rFonts w:ascii="Arial" w:cs="Arial" w:eastAsia="Arial" w:hAnsi="Arial"/>
                <w:sz w:val="18"/>
                <w:szCs w:val="18"/>
                <w:color w:val="auto"/>
              </w:rPr>
              <w:t>6,147</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7,104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w w:val="88"/>
              </w:rPr>
              <w:t>23,783(4)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8"/>
              </w:rPr>
              <w:t>23,783(4)</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9"/>
              </w:rPr>
              <w:t>1,508(5)</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87"/>
              </w:rPr>
              <w:t>10,016</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4"/>
              </w:rPr>
              <w:t>4,904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30,403(6)</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Year ended December 29, 2007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w w:val="88"/>
              </w:rPr>
              <w:t>30,403(6)</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93"/>
              <w:spacing w:after="0"/>
              <w:rPr>
                <w:sz w:val="20"/>
                <w:szCs w:val="20"/>
                <w:color w:val="auto"/>
              </w:rPr>
            </w:pPr>
            <w:r>
              <w:rPr>
                <w:rFonts w:ascii="Arial" w:cs="Arial" w:eastAsia="Arial" w:hAnsi="Arial"/>
                <w:sz w:val="18"/>
                <w:szCs w:val="18"/>
                <w:color w:val="auto"/>
                <w:w w:val="89"/>
              </w:rPr>
              <w:t>1,279(7)</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453"/>
              <w:spacing w:after="0"/>
              <w:rPr>
                <w:sz w:val="20"/>
                <w:szCs w:val="20"/>
                <w:color w:val="auto"/>
              </w:rPr>
            </w:pPr>
            <w:r>
              <w:rPr>
                <w:rFonts w:ascii="Arial" w:cs="Arial" w:eastAsia="Arial" w:hAnsi="Arial"/>
                <w:sz w:val="18"/>
                <w:szCs w:val="18"/>
                <w:color w:val="auto"/>
              </w:rPr>
              <w:t>4,556</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4,701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6"/>
              <w:spacing w:after="0"/>
              <w:rPr>
                <w:sz w:val="20"/>
                <w:szCs w:val="20"/>
                <w:color w:val="auto"/>
              </w:rPr>
            </w:pPr>
            <w:r>
              <w:rPr>
                <w:rFonts w:ascii="Arial" w:cs="Arial" w:eastAsia="Arial" w:hAnsi="Arial"/>
                <w:sz w:val="18"/>
                <w:szCs w:val="18"/>
                <w:color w:val="auto"/>
                <w:w w:val="83"/>
              </w:rPr>
              <w:t>31,537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exclude discontinued business (FRL) sold in May, 2006.</w:t>
      </w:r>
    </w:p>
    <w:p>
      <w:pPr>
        <w:spacing w:after="0" w:line="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 resulting from AVS acquisition in March,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$463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Reclass from other reserves.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$447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 resulting from Unigen acquisition in March,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$95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 resulting from AVS acquisition in March, 2007 and reclass from other reserves.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1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760"/>
              <w:spacing w:after="0"/>
              <w:rPr>
                <w:sz w:val="20"/>
                <w:szCs w:val="20"/>
                <w:color w:val="auto"/>
              </w:rPr>
            </w:pPr>
            <w:r>
              <w:rPr>
                <w:rFonts w:ascii="Arial" w:cs="Arial" w:eastAsia="Arial" w:hAnsi="Arial"/>
                <w:sz w:val="18"/>
                <w:szCs w:val="18"/>
                <w:b w:val="1"/>
                <w:bCs w:val="1"/>
                <w:color w:val="auto"/>
              </w:rPr>
              <w:t>SUBSIDIARIES OF COHU, INC.</w:t>
            </w:r>
          </w:p>
        </w:tc>
      </w:tr>
      <w:tr>
        <w:trPr>
          <w:trHeight w:val="346"/>
        </w:trPr>
        <w:tc>
          <w:tcPr>
            <w:tcW w:w="3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PLACE OF</w:t>
            </w:r>
          </w:p>
        </w:tc>
      </w:tr>
      <w:tr>
        <w:trPr>
          <w:trHeight w:val="167"/>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ENTITY NAME</w:t>
            </w:r>
          </w:p>
        </w:tc>
        <w:tc>
          <w:tcPr>
            <w:tcW w:w="1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INCORPORATION</w:t>
            </w:r>
          </w:p>
        </w:tc>
      </w:tr>
      <w:tr>
        <w:trPr>
          <w:trHeight w:val="411"/>
        </w:trPr>
        <w:tc>
          <w:tcPr>
            <w:tcW w:w="3640" w:type="dxa"/>
            <w:vAlign w:val="bottom"/>
          </w:tcPr>
          <w:p>
            <w:pPr>
              <w:spacing w:after="0"/>
              <w:rPr>
                <w:sz w:val="20"/>
                <w:szCs w:val="20"/>
                <w:color w:val="auto"/>
              </w:rPr>
            </w:pPr>
            <w:r>
              <w:rPr>
                <w:rFonts w:ascii="Arial" w:cs="Arial" w:eastAsia="Arial" w:hAnsi="Arial"/>
                <w:sz w:val="18"/>
                <w:szCs w:val="18"/>
                <w:color w:val="auto"/>
              </w:rPr>
              <w:t>Delta Design, Inc. (1)</w:t>
            </w: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FRL, Incorporated.</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Broadcast Microwave Services, Inc. (2)</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Cohu Foreign Sales Ltd.</w:t>
            </w: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935" w:right="239"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Delta Design Singapore PTE LTD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Cohu S.A.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Costa Rica</w:t>
      </w:r>
    </w:p>
    <w:p>
      <w:pPr>
        <w:spacing w:after="0" w:line="234" w:lineRule="exact"/>
        <w:rPr>
          <w:sz w:val="20"/>
          <w:szCs w:val="20"/>
          <w:color w:val="auto"/>
        </w:rPr>
      </w:pPr>
    </w:p>
    <w:p>
      <w:pPr>
        <w:sectPr>
          <w:pgSz w:w="11900" w:h="16838" w:orient="portrait"/>
          <w:cols w:equalWidth="0" w:num="2">
            <w:col w:w="5000" w:space="720"/>
            <w:col w:w="5700"/>
          </w:cols>
          <w:pgMar w:left="240" w:top="935" w:right="239" w:bottom="1440" w:gutter="0" w:footer="0" w:header="0"/>
          <w:type w:val="continuous"/>
        </w:sectPr>
      </w:pPr>
    </w:p>
    <w:p>
      <w:pPr>
        <w:spacing w:after="0" w:line="1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Broadcast Microwave Services, Inc. owns the following subsidiaries:</w:t>
      </w:r>
    </w:p>
    <w:p>
      <w:pPr>
        <w:sectPr>
          <w:pgSz w:w="11900" w:h="16838" w:orient="portrait"/>
          <w:cols w:equalWidth="0" w:num="1">
            <w:col w:w="11420"/>
          </w:cols>
          <w:pgMar w:left="240" w:top="935" w:right="239" w:bottom="1440" w:gutter="0" w:footer="0" w:header="0"/>
          <w:type w:val="continuous"/>
        </w:sectPr>
      </w:pPr>
    </w:p>
    <w:p>
      <w:pPr>
        <w:spacing w:after="0" w:line="248" w:lineRule="exact"/>
        <w:rPr>
          <w:sz w:val="20"/>
          <w:szCs w:val="20"/>
          <w:color w:val="auto"/>
        </w:rPr>
      </w:pPr>
    </w:p>
    <w:p>
      <w:pPr>
        <w:ind w:left="460" w:right="240"/>
        <w:spacing w:after="0" w:line="312" w:lineRule="auto"/>
        <w:rPr>
          <w:sz w:val="20"/>
          <w:szCs w:val="20"/>
          <w:color w:val="auto"/>
        </w:rPr>
      </w:pPr>
      <w:r>
        <w:rPr>
          <w:rFonts w:ascii="Arial" w:cs="Arial" w:eastAsia="Arial" w:hAnsi="Arial"/>
          <w:sz w:val="16"/>
          <w:szCs w:val="16"/>
          <w:color w:val="auto"/>
        </w:rPr>
        <w:t>Broadcast Microwave Services Europe Holding GmbH Broadcast Microwave Services Europe Verwaltungs GmbH Broadcast Microwave Services Europe GmbH &amp; Co. KG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5000" w:space="720"/>
            <w:col w:w="5700"/>
          </w:cols>
          <w:pgMar w:left="240" w:top="935"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23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(Form S-8 Nos. 33-60735, 333-16293, 333-62803, 333-27663, 333-40610, 333-66466, 333-97449, 333-117554 333-132605 and 333-142579) pertaining to the Cohu, Inc. 1994, 1996 and 1998 Stock Option Plans, 1996 Outside Directors Stock Option Plan, 1997 Employee Stock Purchase Plan and 2005 Equity Incentive Plan of Cohu, Inc. of our reports dated February 12, 2008, with respect to the consolidated financial statements and schedule of Cohu, Inc., and the effectiveness of internal control over financial reporting of Cohu, Inc., included in this Annual Report (Form 10-K) for the year ended December 29, 2007.</w:t>
      </w:r>
    </w:p>
    <w:p>
      <w:pPr>
        <w:spacing w:after="0" w:line="200" w:lineRule="exact"/>
        <w:rPr>
          <w:sz w:val="20"/>
          <w:szCs w:val="20"/>
          <w:color w:val="auto"/>
        </w:rPr>
      </w:pPr>
    </w:p>
    <w:p>
      <w:pPr>
        <w:spacing w:after="0" w:line="20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2008</w:t>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420" w:hanging="187"/>
        <w:spacing w:after="0"/>
        <w:tabs>
          <w:tab w:leader="none" w:pos="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780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117" w:lineRule="exact"/>
        <w:rPr>
          <w:sz w:val="20"/>
          <w:szCs w:val="20"/>
          <w:color w:val="auto"/>
        </w:rPr>
      </w:pPr>
    </w:p>
    <w:p>
      <w:pPr>
        <w:ind w:left="420" w:hanging="187"/>
        <w:spacing w:after="0"/>
        <w:tabs>
          <w:tab w:leader="none" w:pos="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78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29, 2007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780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29, 2007 (the “Report”), I, Jeffrey D. Jones,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78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Roman"/>
      <w:start w:val="1"/>
    </w:lvl>
  </w:abstractNum>
  <w:abstractNum w:abstractNumId="10">
    <w:nsid w:val="4353D0CD"/>
    <w:multiLevelType w:val="hybridMultilevel"/>
    <w:lvl w:ilvl="0">
      <w:lvlJc w:val="left"/>
      <w:lvlText w:val="(%1)"/>
      <w:numFmt w:val="lowerLetter"/>
      <w:start w:val="1"/>
    </w:lvl>
    <w:lvl w:ilvl="1">
      <w:lvlJc w:val="left"/>
      <w:lvlText w:val="(%2)"/>
      <w:numFmt w:val="decimal"/>
      <w:start w:val="1"/>
    </w:lvl>
  </w:abstractNum>
  <w:abstractNum w:abstractNumId="11">
    <w:nsid w:val="B03E0C6"/>
    <w:multiLevelType w:val="hybridMultilevel"/>
    <w:lvl w:ilvl="0">
      <w:lvlJc w:val="left"/>
      <w:lvlText w:val="(%1)"/>
      <w:numFmt w:val="decimal"/>
      <w:start w:val="3"/>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2"/>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1."/>
      <w:numFmt w:val="decimal"/>
      <w:start w:val="4"/>
    </w:lvl>
  </w:abstractNum>
  <w:abstractNum w:abstractNumId="16">
    <w:nsid w:val="836C40E"/>
    <w:multiLevelType w:val="hybridMultilevel"/>
    <w:lvl w:ilvl="0">
      <w:lvlJc w:val="left"/>
      <w:lvlText w:val="%1."/>
      <w:numFmt w:val="decimal"/>
      <w:start w:val="5"/>
    </w:lvl>
  </w:abstractNum>
  <w:abstractNum w:abstractNumId="17">
    <w:nsid w:val="2901D82"/>
    <w:multiLevelType w:val="hybridMultilevel"/>
    <w:lvl w:ilvl="0">
      <w:lvlJc w:val="left"/>
      <w:lvlText w:val="%1."/>
      <w:numFmt w:val="decimal"/>
      <w:start w:val="6"/>
    </w:lvl>
  </w:abstractNum>
  <w:abstractNum w:abstractNumId="18">
    <w:nsid w:val="3A95F874"/>
    <w:multiLevelType w:val="hybridMultilevel"/>
    <w:lvl w:ilvl="0">
      <w:lvlJc w:val="left"/>
      <w:lvlText w:val="%1."/>
      <w:numFmt w:val="decimal"/>
      <w:start w:val="8"/>
    </w:lvl>
  </w:abstractNum>
  <w:abstractNum w:abstractNumId="19">
    <w:nsid w:val="8138641"/>
    <w:multiLevelType w:val="hybridMultilevel"/>
    <w:lvl w:ilvl="0">
      <w:lvlJc w:val="left"/>
      <w:lvlText w:val="%1."/>
      <w:numFmt w:val="decimal"/>
      <w:start w:val="9"/>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1."/>
      <w:numFmt w:val="decimal"/>
      <w:start w:val="12"/>
    </w:lvl>
  </w:abstractNum>
  <w:abstractNum w:abstractNumId="22">
    <w:nsid w:val="737B8DDC"/>
    <w:multiLevelType w:val="hybridMultilevel"/>
    <w:lvl w:ilvl="0">
      <w:lvlJc w:val="left"/>
      <w:lvlText w:val="%1."/>
      <w:numFmt w:val="decimal"/>
      <w:start w:val="13"/>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decimal"/>
      <w:start w:val="15"/>
    </w:lvl>
  </w:abstractNum>
  <w:abstractNum w:abstractNumId="25">
    <w:nsid w:val="4516DDE9"/>
    <w:multiLevelType w:val="hybridMultilevel"/>
    <w:lvl w:ilvl="0">
      <w:lvlJc w:val="left"/>
      <w:lvlText w:val="\emdash "/>
      <w:numFmt w:val="bullet"/>
      <w:start w:val="1"/>
    </w:lvl>
  </w:abstractNum>
  <w:abstractNum w:abstractNumId="26">
    <w:nsid w:val="3006C83E"/>
    <w:multiLevelType w:val="hybridMultilevel"/>
    <w:lvl w:ilvl="0">
      <w:lvlJc w:val="left"/>
      <w:lvlText w:val="%1"/>
      <w:numFmt w:val="decimal"/>
      <w:start w:val="14"/>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lowerLetter"/>
      <w:start w:val="1"/>
    </w:lvl>
    <w:lvl w:ilvl="1">
      <w:lvlJc w:val="left"/>
      <w:lvlText w:val="%2."/>
      <w:numFmt w:val="decimal"/>
      <w:start w:val="1"/>
    </w:lvl>
  </w:abstractNum>
  <w:abstractNum w:abstractNumId="33">
    <w:nsid w:val="77465F01"/>
    <w:multiLevelType w:val="hybridMultilevel"/>
    <w:lvl w:ilvl="0">
      <w:lvlJc w:val="left"/>
      <w:lvlText w:val="%1)"/>
      <w:numFmt w:val="lowerLetter"/>
      <w:start w:val="1"/>
    </w:lvl>
    <w:lvl w:ilvl="1">
      <w:lvlJc w:val="left"/>
      <w:lvlText w:val="%2."/>
      <w:numFmt w:val="decimal"/>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lvl w:ilvl="1">
      <w:lvlJc w:val="left"/>
      <w:lvlText w:val="%2."/>
      <w:numFmt w:val="decimal"/>
      <w:start w:val="1"/>
    </w:lvl>
  </w:abstractNum>
  <w:abstractNum w:abstractNumId="36">
    <w:nsid w:val="2463B9EA"/>
    <w:multiLevelType w:val="hybridMultilevel"/>
    <w:lvl w:ilvl="0">
      <w:lvlJc w:val="left"/>
      <w:lvlText w:val="%1)"/>
      <w:numFmt w:val="lowerLetter"/>
      <w:start w:val="1"/>
    </w:lvl>
    <w:lvl w:ilvl="1">
      <w:lvlJc w:val="left"/>
      <w:lvlText w:val="%2."/>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2019-12-11T12:06:47Z</dcterms:created>
  <dcterms:modified xsi:type="dcterms:W3CDTF">2019-12-11T12:06:47Z</dcterms:modified>
</cp:coreProperties>
</file>