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STATESPRIVATE</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29, 2007</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ind w:left="640"/>
              <w:spacing w:after="0"/>
              <w:rPr>
                <w:sz w:val="20"/>
                <w:szCs w:val="20"/>
                <w:color w:val="auto"/>
              </w:rPr>
            </w:pPr>
            <w:r>
              <w:rPr>
                <w:rFonts w:ascii="Arial" w:cs="Arial" w:eastAsia="Arial" w:hAnsi="Arial"/>
                <w:sz w:val="18"/>
                <w:szCs w:val="18"/>
                <w:i w:val="1"/>
                <w:iCs w:val="1"/>
                <w:color w:val="auto"/>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4"/>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21" w:lineRule="exact"/>
        <w:rPr>
          <w:sz w:val="20"/>
          <w:szCs w:val="20"/>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0" w:lineRule="exact"/>
        <w:rPr>
          <w:sz w:val="20"/>
          <w:szCs w:val="20"/>
          <w:color w:val="auto"/>
        </w:rPr>
      </w:pPr>
    </w:p>
    <w:p>
      <w:pPr>
        <w:ind w:left="2560"/>
        <w:spacing w:after="0" w:line="207" w:lineRule="exact"/>
        <w:tabs>
          <w:tab w:leader="none" w:pos="5000" w:val="left"/>
          <w:tab w:leader="none" w:pos="714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124" w:lineRule="exact"/>
        <w:rPr>
          <w:sz w:val="20"/>
          <w:szCs w:val="20"/>
          <w:color w:val="auto"/>
        </w:rPr>
      </w:pPr>
    </w:p>
    <w:p>
      <w:pPr>
        <w:spacing w:after="0" w:line="196" w:lineRule="exact"/>
        <w:tabs>
          <w:tab w:leader="none" w:pos="81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 Yes o</w:t>
        <w:tab/>
        <w:t xml:space="preserve">No </w:t>
      </w:r>
      <w:r>
        <w:rPr>
          <w:rFonts w:ascii="MS PGothic" w:cs="MS PGothic" w:eastAsia="MS PGothic" w:hAnsi="MS PGothic"/>
          <w:sz w:val="17"/>
          <w:szCs w:val="17"/>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29, 2007 the Registrant had 22,996,882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29,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 Number</w:t>
            </w:r>
          </w:p>
        </w:tc>
      </w:tr>
      <w:tr>
        <w:trPr>
          <w:trHeight w:val="426"/>
        </w:trPr>
        <w:tc>
          <w:tcPr>
            <w:tcW w:w="1160" w:type="dxa"/>
            <w:vAlign w:val="bottom"/>
            <w:gridSpan w:val="7"/>
          </w:tcPr>
          <w:p>
            <w:pPr>
              <w:spacing w:after="0"/>
              <w:rPr>
                <w:sz w:val="20"/>
                <w:szCs w:val="20"/>
                <w:color w:val="auto"/>
              </w:rPr>
            </w:pPr>
            <w:r>
              <w:rPr>
                <w:rFonts w:ascii="Arial" w:cs="Arial" w:eastAsia="Arial" w:hAnsi="Arial"/>
                <w:sz w:val="18"/>
                <w:szCs w:val="18"/>
                <w:b w:val="1"/>
                <w:bCs w:val="1"/>
                <w:color w:val="auto"/>
              </w:rPr>
              <w:t>Part I</w:t>
            </w:r>
          </w:p>
        </w:tc>
        <w:tc>
          <w:tcPr>
            <w:tcW w:w="9360" w:type="dxa"/>
            <w:vAlign w:val="bottom"/>
            <w:gridSpan w:val="21"/>
          </w:tcPr>
          <w:p>
            <w:pPr>
              <w:spacing w:after="0"/>
              <w:rPr>
                <w:sz w:val="20"/>
                <w:szCs w:val="20"/>
                <w:color w:val="auto"/>
              </w:rPr>
            </w:pPr>
            <w:r>
              <w:rPr>
                <w:rFonts w:ascii="Arial" w:cs="Arial" w:eastAsia="Arial" w:hAnsi="Arial"/>
                <w:sz w:val="18"/>
                <w:szCs w:val="18"/>
                <w:b w:val="1"/>
                <w:bCs w:val="1"/>
                <w:color w:val="auto"/>
              </w:rPr>
              <w:t>Financial Information</w:t>
            </w:r>
          </w:p>
        </w:tc>
        <w:tc>
          <w:tcPr>
            <w:tcW w:w="900" w:type="dxa"/>
            <w:vAlign w:val="bottom"/>
          </w:tcPr>
          <w:p>
            <w:pPr>
              <w:spacing w:after="0"/>
              <w:rPr>
                <w:sz w:val="24"/>
                <w:szCs w:val="24"/>
                <w:color w:val="auto"/>
              </w:rPr>
            </w:pPr>
          </w:p>
        </w:tc>
      </w:tr>
      <w:tr>
        <w:trPr>
          <w:trHeight w:val="39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40" w:type="dxa"/>
            <w:vAlign w:val="bottom"/>
            <w:gridSpan w:val="5"/>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7800" w:type="dxa"/>
            <w:vAlign w:val="bottom"/>
            <w:gridSpan w:val="15"/>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Balance Sheets</w:t>
              </w:r>
            </w:hyperlink>
          </w:p>
        </w:tc>
        <w:tc>
          <w:tcPr>
            <w:tcW w:w="6420" w:type="dxa"/>
            <w:vAlign w:val="bottom"/>
            <w:gridSpan w:val="12"/>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September 29, 2007 (unaudited) and December 30, 2006</w:t>
              </w:r>
            </w:hyperlink>
          </w:p>
        </w:tc>
        <w:tc>
          <w:tcPr>
            <w:tcW w:w="5280" w:type="dxa"/>
            <w:vAlign w:val="bottom"/>
            <w:gridSpan w:val="8"/>
          </w:tcPr>
          <w:p>
            <w:pPr>
              <w:spacing w:after="0"/>
              <w:rPr>
                <w:sz w:val="17"/>
                <w:szCs w:val="17"/>
                <w:color w:val="auto"/>
              </w:rPr>
            </w:pPr>
          </w:p>
        </w:tc>
        <w:tc>
          <w:tcPr>
            <w:tcW w:w="900" w:type="dxa"/>
            <w:vAlign w:val="bottom"/>
          </w:tcPr>
          <w:p>
            <w:pPr>
              <w:jc w:val="right"/>
              <w:ind w:right="271"/>
              <w:spacing w:after="0" w:line="196" w:lineRule="exact"/>
              <w:rPr>
                <w:sz w:val="20"/>
                <w:szCs w:val="20"/>
                <w:color w:val="auto"/>
              </w:rPr>
            </w:pPr>
            <w:r>
              <w:rPr>
                <w:rFonts w:ascii="Arial" w:cs="Arial" w:eastAsia="Arial" w:hAnsi="Arial"/>
                <w:sz w:val="18"/>
                <w:szCs w:val="18"/>
                <w:color w:val="auto"/>
              </w:rPr>
              <w:t>3</w:t>
            </w: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w:t>
              </w:r>
            </w:hyperlink>
          </w:p>
        </w:tc>
        <w:tc>
          <w:tcPr>
            <w:tcW w:w="508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Three and Nine Months Ended September 29, 2007 and September 30, 2006</w:t>
              </w:r>
            </w:hyperlink>
          </w:p>
        </w:tc>
        <w:tc>
          <w:tcPr>
            <w:tcW w:w="3860" w:type="dxa"/>
            <w:vAlign w:val="bottom"/>
          </w:tcPr>
          <w:p>
            <w:pPr>
              <w:spacing w:after="0"/>
              <w:rPr>
                <w:sz w:val="17"/>
                <w:szCs w:val="17"/>
                <w:color w:val="auto"/>
              </w:rPr>
            </w:pPr>
          </w:p>
        </w:tc>
        <w:tc>
          <w:tcPr>
            <w:tcW w:w="900" w:type="dxa"/>
            <w:vAlign w:val="bottom"/>
          </w:tcPr>
          <w:p>
            <w:pPr>
              <w:jc w:val="right"/>
              <w:ind w:right="271"/>
              <w:spacing w:after="0" w:line="196" w:lineRule="exact"/>
              <w:rPr>
                <w:sz w:val="20"/>
                <w:szCs w:val="20"/>
                <w:color w:val="auto"/>
              </w:rPr>
            </w:pPr>
            <w:r>
              <w:rPr>
                <w:rFonts w:ascii="Arial" w:cs="Arial" w:eastAsia="Arial" w:hAnsi="Arial"/>
                <w:sz w:val="18"/>
                <w:szCs w:val="18"/>
                <w:color w:val="auto"/>
              </w:rPr>
              <w:t>4</w:t>
            </w: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36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9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Nine Months Ended September 29, 2007 and September 30, 2006</w:t>
              </w:r>
            </w:hyperlink>
          </w:p>
        </w:tc>
        <w:tc>
          <w:tcPr>
            <w:tcW w:w="4620" w:type="dxa"/>
            <w:vAlign w:val="bottom"/>
            <w:gridSpan w:val="3"/>
          </w:tcPr>
          <w:p>
            <w:pPr>
              <w:spacing w:after="0"/>
              <w:rPr>
                <w:sz w:val="17"/>
                <w:szCs w:val="17"/>
                <w:color w:val="auto"/>
              </w:rPr>
            </w:pPr>
          </w:p>
        </w:tc>
        <w:tc>
          <w:tcPr>
            <w:tcW w:w="900" w:type="dxa"/>
            <w:vAlign w:val="bottom"/>
          </w:tcPr>
          <w:p>
            <w:pPr>
              <w:jc w:val="right"/>
              <w:ind w:right="271"/>
              <w:spacing w:after="0" w:line="196" w:lineRule="exact"/>
              <w:rPr>
                <w:sz w:val="20"/>
                <w:szCs w:val="20"/>
                <w:color w:val="auto"/>
              </w:rPr>
            </w:pPr>
            <w:r>
              <w:rPr>
                <w:rFonts w:ascii="Arial" w:cs="Arial" w:eastAsia="Arial" w:hAnsi="Arial"/>
                <w:sz w:val="18"/>
                <w:szCs w:val="18"/>
                <w:color w:val="auto"/>
              </w:rPr>
              <w:t>5</w:t>
            </w:r>
          </w:p>
        </w:tc>
      </w:tr>
      <w:tr>
        <w:trPr>
          <w:trHeight w:val="412"/>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360" w:type="dxa"/>
            <w:vAlign w:val="bottom"/>
            <w:gridSpan w:val="21"/>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7</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640" w:type="dxa"/>
            <w:vAlign w:val="bottom"/>
            <w:gridSpan w:val="5"/>
          </w:tcPr>
          <w:p>
            <w:pPr>
              <w:spacing w:after="0"/>
              <w:rPr>
                <w:sz w:val="24"/>
                <w:szCs w:val="24"/>
                <w:color w:val="auto"/>
              </w:rPr>
            </w:pPr>
          </w:p>
        </w:tc>
        <w:tc>
          <w:tcPr>
            <w:tcW w:w="4780" w:type="dxa"/>
            <w:vAlign w:val="bottom"/>
            <w:tcBorders>
              <w:top w:val="single" w:sz="8" w:color="0000EE"/>
            </w:tcBorders>
            <w:gridSpan w:val="19"/>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w:t>
              </w:r>
            </w:hyperlink>
          </w:p>
        </w:tc>
        <w:tc>
          <w:tcPr>
            <w:tcW w:w="458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60" w:type="dxa"/>
            <w:vAlign w:val="bottom"/>
            <w:gridSpan w:val="21"/>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Financial Condition and Results of Operations</w:t>
              </w:r>
            </w:hyperlink>
          </w:p>
        </w:tc>
        <w:tc>
          <w:tcPr>
            <w:tcW w:w="900" w:type="dxa"/>
            <w:vAlign w:val="bottom"/>
          </w:tcPr>
          <w:p>
            <w:pPr>
              <w:jc w:val="right"/>
              <w:ind w:right="271"/>
              <w:spacing w:after="0" w:line="196" w:lineRule="exact"/>
              <w:rPr>
                <w:sz w:val="20"/>
                <w:szCs w:val="20"/>
                <w:color w:val="auto"/>
              </w:rPr>
            </w:pPr>
            <w:r>
              <w:rPr>
                <w:rFonts w:ascii="Arial" w:cs="Arial" w:eastAsia="Arial" w:hAnsi="Arial"/>
                <w:sz w:val="18"/>
                <w:szCs w:val="18"/>
                <w:color w:val="auto"/>
              </w:rPr>
              <w:t>15</w:t>
            </w: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640" w:type="dxa"/>
            <w:vAlign w:val="bottom"/>
            <w:gridSpan w:val="5"/>
          </w:tcPr>
          <w:p>
            <w:pPr>
              <w:spacing w:after="0"/>
              <w:rPr>
                <w:sz w:val="24"/>
                <w:szCs w:val="24"/>
                <w:color w:val="auto"/>
              </w:rPr>
            </w:pP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Quantitative and Qualitative Disclosures About Market Risk</w:t>
              </w:r>
            </w:hyperlink>
          </w:p>
        </w:tc>
        <w:tc>
          <w:tcPr>
            <w:tcW w:w="5000" w:type="dxa"/>
            <w:vAlign w:val="bottom"/>
            <w:gridSpan w:val="5"/>
          </w:tcPr>
          <w:p>
            <w:pPr>
              <w:spacing w:after="0"/>
              <w:rPr>
                <w:sz w:val="24"/>
                <w:szCs w:val="24"/>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24</w:t>
            </w: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640" w:type="dxa"/>
            <w:vAlign w:val="bottom"/>
            <w:gridSpan w:val="5"/>
          </w:tcPr>
          <w:p>
            <w:pPr>
              <w:spacing w:after="0"/>
              <w:rPr>
                <w:sz w:val="24"/>
                <w:szCs w:val="24"/>
                <w:color w:val="auto"/>
              </w:rPr>
            </w:pPr>
          </w:p>
        </w:tc>
        <w:tc>
          <w:tcPr>
            <w:tcW w:w="9360" w:type="dxa"/>
            <w:vAlign w:val="bottom"/>
            <w:gridSpan w:val="2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24</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w:t>
              </w:r>
            </w:hyperlink>
          </w:p>
        </w:tc>
        <w:tc>
          <w:tcPr>
            <w:tcW w:w="620" w:type="dxa"/>
            <w:vAlign w:val="bottom"/>
            <w:gridSpan w:val="4"/>
          </w:tcPr>
          <w:p>
            <w:pPr>
              <w:spacing w:after="0"/>
              <w:rPr>
                <w:sz w:val="24"/>
                <w:szCs w:val="24"/>
                <w:color w:val="auto"/>
              </w:rPr>
            </w:pPr>
          </w:p>
        </w:tc>
        <w:tc>
          <w:tcPr>
            <w:tcW w:w="9360" w:type="dxa"/>
            <w:vAlign w:val="bottom"/>
            <w:gridSpan w:val="21"/>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Other Information</w:t>
              </w:r>
            </w:hyperlink>
          </w:p>
        </w:tc>
        <w:tc>
          <w:tcPr>
            <w:tcW w:w="900" w:type="dxa"/>
            <w:vAlign w:val="bottom"/>
          </w:tcPr>
          <w:p>
            <w:pPr>
              <w:spacing w:after="0"/>
              <w:rPr>
                <w:sz w:val="24"/>
                <w:szCs w:val="24"/>
                <w:color w:val="auto"/>
              </w:rPr>
            </w:pP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24"/>
                <w:szCs w:val="24"/>
                <w:color w:val="auto"/>
              </w:rPr>
            </w:pPr>
          </w:p>
        </w:tc>
        <w:tc>
          <w:tcPr>
            <w:tcW w:w="620" w:type="dxa"/>
            <w:vAlign w:val="bottom"/>
            <w:gridSpan w:val="4"/>
          </w:tcPr>
          <w:p>
            <w:pPr>
              <w:spacing w:after="0"/>
              <w:rPr>
                <w:sz w:val="24"/>
                <w:szCs w:val="24"/>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100" w:type="dxa"/>
            <w:vAlign w:val="bottom"/>
            <w:tcBorders>
              <w:top w:val="single" w:sz="8" w:color="0000EE"/>
            </w:tcBorders>
          </w:tcPr>
          <w:p>
            <w:pPr>
              <w:spacing w:after="0"/>
              <w:rPr>
                <w:sz w:val="24"/>
                <w:szCs w:val="24"/>
                <w:color w:val="auto"/>
              </w:rPr>
            </w:pPr>
          </w:p>
        </w:tc>
        <w:tc>
          <w:tcPr>
            <w:tcW w:w="7920" w:type="dxa"/>
            <w:vAlign w:val="bottom"/>
            <w:gridSpan w:val="16"/>
          </w:tcPr>
          <w:p>
            <w:pPr>
              <w:spacing w:after="0"/>
              <w:rPr>
                <w:sz w:val="24"/>
                <w:szCs w:val="24"/>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25</w:t>
            </w:r>
          </w:p>
        </w:tc>
      </w:tr>
      <w:tr>
        <w:trPr>
          <w:trHeight w:val="412"/>
        </w:trPr>
        <w:tc>
          <w:tcPr>
            <w:tcW w:w="1160" w:type="dxa"/>
            <w:vAlign w:val="bottom"/>
            <w:gridSpan w:val="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1A.</w:t>
              </w:r>
            </w:hyperlink>
          </w:p>
        </w:tc>
        <w:tc>
          <w:tcPr>
            <w:tcW w:w="936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25</w:t>
            </w:r>
          </w:p>
        </w:tc>
      </w:tr>
      <w:tr>
        <w:trPr>
          <w:trHeight w:val="20"/>
        </w:trPr>
        <w:tc>
          <w:tcPr>
            <w:tcW w:w="6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2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2.</w:t>
              </w:r>
            </w:hyperlink>
          </w:p>
        </w:tc>
        <w:tc>
          <w:tcPr>
            <w:tcW w:w="120" w:type="dxa"/>
            <w:vAlign w:val="bottom"/>
            <w:gridSpan w:val="2"/>
          </w:tcPr>
          <w:p>
            <w:pPr>
              <w:spacing w:after="0"/>
              <w:rPr>
                <w:sz w:val="24"/>
                <w:szCs w:val="24"/>
                <w:color w:val="auto"/>
              </w:rPr>
            </w:pPr>
          </w:p>
        </w:tc>
        <w:tc>
          <w:tcPr>
            <w:tcW w:w="520" w:type="dxa"/>
            <w:vAlign w:val="bottom"/>
            <w:gridSpan w:val="3"/>
          </w:tcPr>
          <w:p>
            <w:pPr>
              <w:spacing w:after="0"/>
              <w:rPr>
                <w:sz w:val="24"/>
                <w:szCs w:val="24"/>
                <w:color w:val="auto"/>
              </w:rPr>
            </w:pPr>
          </w:p>
        </w:tc>
        <w:tc>
          <w:tcPr>
            <w:tcW w:w="936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25</w:t>
            </w: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3.</w:t>
              </w:r>
            </w:hyperlink>
          </w:p>
        </w:tc>
        <w:tc>
          <w:tcPr>
            <w:tcW w:w="640" w:type="dxa"/>
            <w:vAlign w:val="bottom"/>
            <w:gridSpan w:val="5"/>
          </w:tcPr>
          <w:p>
            <w:pPr>
              <w:spacing w:after="0"/>
              <w:rPr>
                <w:sz w:val="24"/>
                <w:szCs w:val="24"/>
                <w:color w:val="auto"/>
              </w:rPr>
            </w:pPr>
          </w:p>
        </w:tc>
        <w:tc>
          <w:tcPr>
            <w:tcW w:w="4340" w:type="dxa"/>
            <w:vAlign w:val="bottom"/>
            <w:tcBorders>
              <w:top w:val="single" w:sz="8" w:color="0000EE"/>
            </w:tcBorders>
            <w:gridSpan w:val="1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5020" w:type="dxa"/>
            <w:vAlign w:val="bottom"/>
            <w:gridSpan w:val="6"/>
          </w:tcPr>
          <w:p>
            <w:pPr>
              <w:spacing w:after="0"/>
              <w:rPr>
                <w:sz w:val="24"/>
                <w:szCs w:val="24"/>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25</w:t>
            </w:r>
          </w:p>
        </w:tc>
      </w:tr>
      <w:tr>
        <w:trPr>
          <w:trHeight w:val="20"/>
        </w:trPr>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560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640" w:type="dxa"/>
            <w:vAlign w:val="bottom"/>
            <w:gridSpan w:val="5"/>
          </w:tcPr>
          <w:p>
            <w:pPr>
              <w:spacing w:after="0"/>
              <w:rPr>
                <w:sz w:val="24"/>
                <w:szCs w:val="24"/>
                <w:color w:val="auto"/>
              </w:rPr>
            </w:pPr>
          </w:p>
        </w:tc>
        <w:tc>
          <w:tcPr>
            <w:tcW w:w="936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Submission of Matters to a Vote of Security Holders</w:t>
              </w:r>
            </w:hyperlink>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25</w:t>
            </w: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5.</w:t>
              </w:r>
            </w:hyperlink>
          </w:p>
        </w:tc>
        <w:tc>
          <w:tcPr>
            <w:tcW w:w="640" w:type="dxa"/>
            <w:vAlign w:val="bottom"/>
            <w:gridSpan w:val="5"/>
          </w:tcPr>
          <w:p>
            <w:pPr>
              <w:spacing w:after="0"/>
              <w:rPr>
                <w:sz w:val="24"/>
                <w:szCs w:val="24"/>
                <w:color w:val="auto"/>
              </w:rPr>
            </w:pP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Other Information</w:t>
              </w:r>
            </w:hyperlink>
          </w:p>
        </w:tc>
        <w:tc>
          <w:tcPr>
            <w:tcW w:w="2440" w:type="dxa"/>
            <w:vAlign w:val="bottom"/>
            <w:tcBorders>
              <w:top w:val="single" w:sz="8" w:color="0000EE"/>
            </w:tcBorders>
            <w:gridSpan w:val="9"/>
          </w:tcPr>
          <w:p>
            <w:pPr>
              <w:spacing w:after="0"/>
              <w:rPr>
                <w:sz w:val="24"/>
                <w:szCs w:val="24"/>
                <w:color w:val="auto"/>
              </w:rPr>
            </w:pPr>
          </w:p>
        </w:tc>
        <w:tc>
          <w:tcPr>
            <w:tcW w:w="5600" w:type="dxa"/>
            <w:vAlign w:val="bottom"/>
            <w:gridSpan w:val="9"/>
          </w:tcPr>
          <w:p>
            <w:pPr>
              <w:spacing w:after="0"/>
              <w:rPr>
                <w:sz w:val="24"/>
                <w:szCs w:val="24"/>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25</w:t>
            </w: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640" w:type="dxa"/>
            <w:vAlign w:val="bottom"/>
            <w:gridSpan w:val="5"/>
          </w:tcPr>
          <w:p>
            <w:pPr>
              <w:spacing w:after="0"/>
              <w:rPr>
                <w:sz w:val="24"/>
                <w:szCs w:val="24"/>
                <w:color w:val="auto"/>
              </w:rPr>
            </w:pP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8760" w:type="dxa"/>
            <w:vAlign w:val="bottom"/>
            <w:gridSpan w:val="20"/>
          </w:tcPr>
          <w:p>
            <w:pPr>
              <w:spacing w:after="0"/>
              <w:rPr>
                <w:sz w:val="24"/>
                <w:szCs w:val="24"/>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26</w:t>
            </w:r>
          </w:p>
        </w:tc>
      </w:tr>
      <w:tr>
        <w:trPr>
          <w:trHeight w:val="412"/>
        </w:trPr>
        <w:tc>
          <w:tcPr>
            <w:tcW w:w="1160" w:type="dxa"/>
            <w:vAlign w:val="bottom"/>
            <w:gridSpan w:val="7"/>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color w:val="auto"/>
              </w:rPr>
              <w:t>27</w:t>
            </w: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100" w:type="dxa"/>
            <w:vAlign w:val="bottom"/>
            <w:gridSpan w:val="6"/>
          </w:tcPr>
          <w:p>
            <w:pPr>
              <w:spacing w:after="0" w:line="196" w:lineRule="exact"/>
              <w:rPr>
                <w:sz w:val="20"/>
                <w:szCs w:val="20"/>
                <w:color w:val="auto"/>
              </w:rPr>
            </w:pPr>
            <w:r>
              <w:rPr>
                <w:rFonts w:ascii="Arial" w:cs="Arial" w:eastAsia="Arial" w:hAnsi="Arial"/>
                <w:sz w:val="18"/>
                <w:szCs w:val="18"/>
                <w:color w:val="0000EE"/>
                <w:w w:val="98"/>
              </w:rPr>
              <w:t>EXHIBIT 31.1</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100" w:type="dxa"/>
            <w:vAlign w:val="bottom"/>
            <w:gridSpan w:val="6"/>
          </w:tcPr>
          <w:p>
            <w:pPr>
              <w:spacing w:after="0" w:line="196" w:lineRule="exact"/>
              <w:rPr>
                <w:sz w:val="20"/>
                <w:szCs w:val="20"/>
                <w:color w:val="auto"/>
              </w:rPr>
            </w:pPr>
            <w:r>
              <w:rPr>
                <w:rFonts w:ascii="Arial" w:cs="Arial" w:eastAsia="Arial" w:hAnsi="Arial"/>
                <w:sz w:val="18"/>
                <w:szCs w:val="18"/>
                <w:color w:val="0000EE"/>
                <w:w w:val="98"/>
              </w:rPr>
              <w:t>EXHIBIT 31.2</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29,</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30,</w:t>
            </w: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2006 *</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1"/>
              <w:spacing w:after="0" w:line="142" w:lineRule="exact"/>
              <w:rPr>
                <w:sz w:val="20"/>
                <w:szCs w:val="20"/>
                <w:color w:val="auto"/>
              </w:rPr>
            </w:pPr>
            <w:r>
              <w:rPr>
                <w:rFonts w:ascii="Arial" w:cs="Arial" w:eastAsia="Arial" w:hAnsi="Arial"/>
                <w:sz w:val="14"/>
                <w:szCs w:val="14"/>
                <w:color w:val="auto"/>
                <w:w w:val="92"/>
              </w:rPr>
              <w:t>(Unaudited)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40,232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24,829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116,003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123,087</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Accounts receivable, less allowance for doubtful accounts of $1,700 in 2007 and $1,644 in 2006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47,643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50,088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Raw materials and purchased parts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22,418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24,394</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220" w:type="dxa"/>
            <w:vAlign w:val="bottom"/>
            <w:gridSpan w:val="2"/>
          </w:tcPr>
          <w:p>
            <w:pPr>
              <w:ind w:left="260"/>
              <w:spacing w:after="0"/>
              <w:rPr>
                <w:sz w:val="20"/>
                <w:szCs w:val="20"/>
                <w:color w:val="auto"/>
              </w:rPr>
            </w:pPr>
            <w:r>
              <w:rPr>
                <w:rFonts w:ascii="Arial" w:cs="Arial" w:eastAsia="Arial" w:hAnsi="Arial"/>
                <w:sz w:val="18"/>
                <w:szCs w:val="18"/>
                <w:color w:val="auto"/>
              </w:rPr>
              <w:t>Work in process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9,638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13,820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Finished goods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9,806</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43,729</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Deferred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18,199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5,647</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5,534</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assets of discontinued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8220" w:type="dxa"/>
            <w:vAlign w:val="bottom"/>
            <w:gridSpan w:val="2"/>
          </w:tcPr>
          <w:p>
            <w:pPr>
              <w:ind w:left="26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271,481</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rPr>
              <w:t>Land and land improvements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7,015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Buildings and building improvements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23,405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23,134</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rPr>
              <w:t>Machinery and equipment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31,941</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62,361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58,628</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(32,035)</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(29,042)</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property, plant and equipment</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30,326</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3,312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16"/>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16,038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12,898</w:t>
            </w:r>
          </w:p>
        </w:tc>
        <w:tc>
          <w:tcPr>
            <w:tcW w:w="0" w:type="dxa"/>
            <w:vAlign w:val="bottom"/>
          </w:tcPr>
          <w:p>
            <w:pPr>
              <w:spacing w:after="0"/>
              <w:rPr>
                <w:sz w:val="1"/>
                <w:szCs w:val="1"/>
                <w:color w:val="auto"/>
              </w:rPr>
            </w:pPr>
          </w:p>
        </w:tc>
      </w:tr>
      <w:tr>
        <w:trPr>
          <w:trHeight w:val="216"/>
        </w:trPr>
        <w:tc>
          <w:tcPr>
            <w:tcW w:w="8380" w:type="dxa"/>
            <w:vAlign w:val="bottom"/>
            <w:gridSpan w:val="3"/>
          </w:tcPr>
          <w:p>
            <w:pPr>
              <w:spacing w:after="0"/>
              <w:rPr>
                <w:sz w:val="20"/>
                <w:szCs w:val="20"/>
                <w:color w:val="auto"/>
              </w:rPr>
            </w:pPr>
            <w:r>
              <w:rPr>
                <w:rFonts w:ascii="Arial" w:cs="Arial" w:eastAsia="Arial" w:hAnsi="Arial"/>
                <w:sz w:val="18"/>
                <w:szCs w:val="18"/>
                <w:color w:val="auto"/>
              </w:rPr>
              <w:t>Intangible assets, net of accumulated amortization of $4,015 in 2007 and $2,178 in 2006 (Note 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7,145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6,792</w:t>
            </w:r>
          </w:p>
        </w:tc>
        <w:tc>
          <w:tcPr>
            <w:tcW w:w="0" w:type="dxa"/>
            <w:vAlign w:val="bottom"/>
          </w:tcPr>
          <w:p>
            <w:pPr>
              <w:spacing w:after="0"/>
              <w:rPr>
                <w:sz w:val="1"/>
                <w:szCs w:val="1"/>
                <w:color w:val="auto"/>
              </w:rPr>
            </w:pPr>
          </w:p>
        </w:tc>
      </w:tr>
      <w:tr>
        <w:trPr>
          <w:trHeight w:val="216"/>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8380" w:type="dxa"/>
            <w:vAlign w:val="bottom"/>
            <w:gridSpan w:val="3"/>
          </w:tcPr>
          <w:p>
            <w:pPr>
              <w:spacing w:after="0"/>
              <w:rPr>
                <w:sz w:val="20"/>
                <w:szCs w:val="20"/>
                <w:color w:val="auto"/>
              </w:rPr>
            </w:pPr>
            <w:r>
              <w:rPr>
                <w:rFonts w:ascii="Arial" w:cs="Arial" w:eastAsia="Arial" w:hAnsi="Arial"/>
                <w:sz w:val="18"/>
                <w:szCs w:val="18"/>
                <w:color w:val="auto"/>
              </w:rPr>
              <w:t>Noncurrent assets of discontinued operations</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328,944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326,339</w:t>
            </w:r>
          </w:p>
        </w:tc>
        <w:tc>
          <w:tcPr>
            <w:tcW w:w="0" w:type="dxa"/>
            <w:vAlign w:val="bottom"/>
          </w:tcPr>
          <w:p>
            <w:pPr>
              <w:spacing w:after="0"/>
              <w:rPr>
                <w:sz w:val="1"/>
                <w:szCs w:val="1"/>
                <w:color w:val="auto"/>
              </w:rPr>
            </w:pPr>
          </w:p>
        </w:tc>
      </w:tr>
      <w:tr>
        <w:trPr>
          <w:trHeight w:val="20"/>
        </w:trPr>
        <w:tc>
          <w:tcPr>
            <w:tcW w:w="83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gridSpan w:val="3"/>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rPr>
              <w:t>Accounts payable</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12,609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7,494</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Accrued compensation and benefits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10,502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rPr>
              <w:t>Accrued warranty</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5,780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Customer advances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2,966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rPr>
              <w:t>Deferred profit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4,570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9,841</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rPr>
              <w:t>Other accrued liabilities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4,375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liabilities of discontinued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8220" w:type="dxa"/>
            <w:vAlign w:val="bottom"/>
            <w:gridSpan w:val="2"/>
          </w:tcPr>
          <w:p>
            <w:pPr>
              <w:ind w:left="260"/>
              <w:spacing w:after="0"/>
              <w:rPr>
                <w:sz w:val="20"/>
                <w:szCs w:val="20"/>
                <w:color w:val="auto"/>
              </w:rPr>
            </w:pPr>
            <w:r>
              <w:rPr>
                <w:rFonts w:ascii="Arial" w:cs="Arial" w:eastAsia="Arial" w:hAnsi="Arial"/>
                <w:sz w:val="18"/>
                <w:szCs w:val="18"/>
                <w:color w:val="auto"/>
              </w:rPr>
              <w:t>Total current liabilities</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41,351</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2,546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6"/>
        </w:trPr>
        <w:tc>
          <w:tcPr>
            <w:tcW w:w="83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4,544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16"/>
        </w:trPr>
        <w:tc>
          <w:tcPr>
            <w:tcW w:w="8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Preferred stock, $1 par value; 1,000 shares authorized, none issued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60" w:type="dxa"/>
            <w:vAlign w:val="bottom"/>
          </w:tcPr>
          <w:p>
            <w:pPr>
              <w:spacing w:after="0"/>
              <w:rPr>
                <w:sz w:val="17"/>
                <w:szCs w:val="17"/>
                <w:color w:val="auto"/>
              </w:rPr>
            </w:pPr>
          </w:p>
        </w:tc>
        <w:tc>
          <w:tcPr>
            <w:tcW w:w="822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5"/>
              </w:rPr>
              <w:t>Common stock, $1 par value; 60,000 shares authorized, 22,997 shares issued and outstanding in 2007 and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8220" w:type="dxa"/>
            <w:vAlign w:val="bottom"/>
            <w:gridSpan w:val="2"/>
          </w:tcPr>
          <w:p>
            <w:pPr>
              <w:ind w:left="260"/>
              <w:spacing w:after="0"/>
              <w:rPr>
                <w:sz w:val="20"/>
                <w:szCs w:val="20"/>
                <w:color w:val="auto"/>
              </w:rPr>
            </w:pPr>
            <w:r>
              <w:rPr>
                <w:rFonts w:ascii="Arial" w:cs="Arial" w:eastAsia="Arial" w:hAnsi="Arial"/>
                <w:sz w:val="18"/>
                <w:szCs w:val="18"/>
                <w:color w:val="auto"/>
              </w:rPr>
              <w:t>22,700 shares in 2006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22,997</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22,700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Paid-in capital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53,384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46,825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220" w:type="dxa"/>
            <w:vAlign w:val="bottom"/>
            <w:gridSpan w:val="2"/>
          </w:tcPr>
          <w:p>
            <w:pPr>
              <w:ind w:left="60"/>
              <w:spacing w:after="0"/>
              <w:rPr>
                <w:sz w:val="20"/>
                <w:szCs w:val="20"/>
                <w:color w:val="auto"/>
              </w:rPr>
            </w:pPr>
            <w:r>
              <w:rPr>
                <w:rFonts w:ascii="Arial" w:cs="Arial" w:eastAsia="Arial" w:hAnsi="Arial"/>
                <w:sz w:val="18"/>
                <w:szCs w:val="18"/>
                <w:color w:val="auto"/>
              </w:rPr>
              <w:t>Retained earnings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204,350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202,477</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Accumulated other comprehensive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8220" w:type="dxa"/>
            <w:vAlign w:val="bottom"/>
            <w:gridSpan w:val="2"/>
          </w:tcPr>
          <w:p>
            <w:pPr>
              <w:ind w:left="260"/>
              <w:spacing w:after="0"/>
              <w:rPr>
                <w:sz w:val="20"/>
                <w:szCs w:val="20"/>
                <w:color w:val="auto"/>
              </w:rPr>
            </w:pPr>
            <w:r>
              <w:rPr>
                <w:rFonts w:ascii="Arial" w:cs="Arial" w:eastAsia="Arial" w:hAnsi="Arial"/>
                <w:sz w:val="18"/>
                <w:szCs w:val="18"/>
                <w:color w:val="auto"/>
              </w:rPr>
              <w:t>Total stockholders’ equity</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280,503</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271,588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328,944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326,339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8220" w:type="dxa"/>
            <w:vAlign w:val="bottom"/>
            <w:gridSpan w:val="2"/>
          </w:tcPr>
          <w:p>
            <w:pPr>
              <w:ind w:left="300"/>
              <w:spacing w:after="0"/>
              <w:rPr>
                <w:sz w:val="20"/>
                <w:szCs w:val="20"/>
                <w:color w:val="auto"/>
              </w:rPr>
            </w:pPr>
            <w:r>
              <w:rPr>
                <w:rFonts w:ascii="Arial" w:cs="Arial" w:eastAsia="Arial" w:hAnsi="Arial"/>
                <w:sz w:val="18"/>
                <w:szCs w:val="18"/>
                <w:color w:val="auto"/>
              </w:rPr>
              <w:t>Derived from December 30, 2006 audited financial statements.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80" w:type="dxa"/>
            <w:vAlign w:val="bottom"/>
            <w:gridSpan w:val="3"/>
          </w:tcPr>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420"/>
          </w:cols>
          <w:pgMar w:left="240" w:top="419" w:right="239" w:bottom="948"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948"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29,</w:t>
            </w: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5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29,</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64,490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74,787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184,265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Cost and expenses: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43,885</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48,130</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124,691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9,575</w:t>
            </w: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11,267</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29,298</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9,861</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10,698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27,408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Gain on sale of facilities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70,095</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181,397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178,433</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4,692</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2,106</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1,764</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6,286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6,456</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1,040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1,958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3,163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224"/>
        </w:trPr>
        <w:tc>
          <w:tcPr>
            <w:tcW w:w="55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4,498</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5,991</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(Note 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00" w:type="dxa"/>
            <w:vAlign w:val="bottom"/>
          </w:tcPr>
          <w:p>
            <w:pPr>
              <w:ind w:left="200"/>
              <w:spacing w:after="0" w:line="201" w:lineRule="exact"/>
              <w:rPr>
                <w:sz w:val="20"/>
                <w:szCs w:val="20"/>
                <w:color w:val="auto"/>
              </w:rPr>
            </w:pPr>
            <w:r>
              <w:rPr>
                <w:rFonts w:ascii="Arial" w:cs="Arial" w:eastAsia="Arial" w:hAnsi="Arial"/>
                <w:sz w:val="18"/>
                <w:szCs w:val="18"/>
                <w:color w:val="auto"/>
                <w:w w:val="93"/>
              </w:rPr>
              <w:t>Loss from discontinued metal detection equipment operation, including</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00"/>
              <w:spacing w:after="0"/>
              <w:rPr>
                <w:sz w:val="20"/>
                <w:szCs w:val="20"/>
                <w:color w:val="auto"/>
              </w:rPr>
            </w:pPr>
            <w:r>
              <w:rPr>
                <w:rFonts w:ascii="Arial" w:cs="Arial" w:eastAsia="Arial" w:hAnsi="Arial"/>
                <w:sz w:val="18"/>
                <w:szCs w:val="18"/>
                <w:color w:val="auto"/>
                <w:w w:val="92"/>
              </w:rPr>
              <w:t>loss on sale of $466 and $1,272 for the three and nine months ended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400"/>
              <w:spacing w:after="0"/>
              <w:rPr>
                <w:sz w:val="20"/>
                <w:szCs w:val="20"/>
                <w:color w:val="auto"/>
              </w:rPr>
            </w:pPr>
            <w:r>
              <w:rPr>
                <w:rFonts w:ascii="Arial" w:cs="Arial" w:eastAsia="Arial" w:hAnsi="Arial"/>
                <w:sz w:val="18"/>
                <w:szCs w:val="18"/>
                <w:color w:val="auto"/>
              </w:rPr>
              <w:t>September 30, 2006, before income taxes, respectively</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(459)</w:t>
            </w:r>
          </w:p>
        </w:tc>
        <w:tc>
          <w:tcPr>
            <w:tcW w:w="20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Loss from discontinued operations</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2,235</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4,197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5,948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12,340</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w:t>
            </w: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0.26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operations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0.19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0.26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from discontinued operations</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shares used in computing income (loss) per share:</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22,945</w:t>
            </w:r>
          </w:p>
        </w:tc>
        <w:tc>
          <w:tcPr>
            <w:tcW w:w="20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22,609</w:t>
            </w:r>
          </w:p>
        </w:tc>
        <w:tc>
          <w:tcPr>
            <w:tcW w:w="2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22,830</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22,806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23,282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22,892</w:t>
            </w:r>
          </w:p>
        </w:tc>
        <w:tc>
          <w:tcPr>
            <w:tcW w:w="0" w:type="dxa"/>
            <w:vAlign w:val="bottom"/>
          </w:tcPr>
          <w:p>
            <w:pPr>
              <w:spacing w:after="0"/>
              <w:rPr>
                <w:sz w:val="1"/>
                <w:szCs w:val="1"/>
                <w:color w:val="auto"/>
              </w:rPr>
            </w:pPr>
          </w:p>
        </w:tc>
      </w:tr>
      <w:tr>
        <w:trPr>
          <w:trHeight w:val="20"/>
        </w:trPr>
        <w:tc>
          <w:tcPr>
            <w:tcW w:w="5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2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5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4"/>
          </w:tcPr>
          <w:p>
            <w:pPr>
              <w:ind w:left="440"/>
              <w:spacing w:after="0"/>
              <w:rPr>
                <w:sz w:val="20"/>
                <w:szCs w:val="20"/>
                <w:color w:val="auto"/>
              </w:rPr>
            </w:pPr>
            <w:r>
              <w:rPr>
                <w:rFonts w:ascii="Arial" w:cs="Arial" w:eastAsia="Arial" w:hAnsi="Arial"/>
                <w:sz w:val="14"/>
                <w:szCs w:val="14"/>
                <w:b w:val="1"/>
                <w:bCs w:val="1"/>
                <w:color w:val="auto"/>
                <w:w w:val="93"/>
              </w:rPr>
              <w:t>Nine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8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29,</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71"/>
        </w:trPr>
        <w:tc>
          <w:tcPr>
            <w:tcW w:w="8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5,948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12,340</w:t>
            </w: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from discontinued operations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w:t>
            </w: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from continuing operating activities: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w:t>
            </w: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Gain on sale of facilities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(2,963)</w:t>
            </w: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2,625</w:t>
            </w: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2,096</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(2,390)</w:t>
            </w: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other accrued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8860" w:type="dxa"/>
            <w:vAlign w:val="bottom"/>
          </w:tcPr>
          <w:p>
            <w:pPr>
              <w:ind w:left="420"/>
              <w:spacing w:after="0"/>
              <w:rPr>
                <w:sz w:val="20"/>
                <w:szCs w:val="20"/>
                <w:color w:val="auto"/>
              </w:rPr>
            </w:pPr>
            <w:r>
              <w:rPr>
                <w:rFonts w:ascii="Arial" w:cs="Arial" w:eastAsia="Arial" w:hAnsi="Arial"/>
                <w:sz w:val="18"/>
                <w:szCs w:val="18"/>
                <w:color w:val="auto"/>
              </w:rPr>
              <w:t>Excess tax benefits from stock options exercised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(482)</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(850)</w:t>
            </w:r>
          </w:p>
        </w:tc>
      </w:tr>
      <w:tr>
        <w:trPr>
          <w:trHeight w:val="216"/>
        </w:trPr>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current assets and liabilities, excluding effects from acquisitions and divestitures: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62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2,612</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2,618</w:t>
            </w:r>
          </w:p>
        </w:tc>
      </w:tr>
      <w:tr>
        <w:trPr>
          <w:trHeight w:val="216"/>
        </w:trPr>
        <w:tc>
          <w:tcPr>
            <w:tcW w:w="8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(9,161)</w:t>
            </w:r>
          </w:p>
        </w:tc>
      </w:tr>
      <w:tr>
        <w:trPr>
          <w:trHeight w:val="216"/>
        </w:trPr>
        <w:tc>
          <w:tcPr>
            <w:tcW w:w="8860" w:type="dxa"/>
            <w:vAlign w:val="bottom"/>
          </w:tcPr>
          <w:p>
            <w:pPr>
              <w:ind w:left="62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1,746</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940</w:t>
            </w:r>
          </w:p>
        </w:tc>
      </w:tr>
      <w:tr>
        <w:trPr>
          <w:trHeight w:val="216"/>
        </w:trPr>
        <w:tc>
          <w:tcPr>
            <w:tcW w:w="8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(3,530)</w:t>
            </w:r>
          </w:p>
        </w:tc>
      </w:tr>
      <w:tr>
        <w:trPr>
          <w:trHeight w:val="216"/>
        </w:trPr>
        <w:tc>
          <w:tcPr>
            <w:tcW w:w="8860" w:type="dxa"/>
            <w:vAlign w:val="bottom"/>
          </w:tcPr>
          <w:p>
            <w:pPr>
              <w:ind w:left="620"/>
              <w:spacing w:after="0"/>
              <w:rPr>
                <w:sz w:val="20"/>
                <w:szCs w:val="20"/>
                <w:color w:val="auto"/>
              </w:rPr>
            </w:pPr>
            <w:r>
              <w:rPr>
                <w:rFonts w:ascii="Arial" w:cs="Arial" w:eastAsia="Arial" w:hAnsi="Arial"/>
                <w:sz w:val="18"/>
                <w:szCs w:val="18"/>
                <w:color w:val="auto"/>
              </w:rPr>
              <w:t>Customer advances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691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r>
      <w:tr>
        <w:trPr>
          <w:trHeight w:val="216"/>
        </w:trPr>
        <w:tc>
          <w:tcPr>
            <w:tcW w:w="8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Deferred profit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(5,271)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(2,840)</w:t>
            </w:r>
          </w:p>
        </w:tc>
      </w:tr>
      <w:tr>
        <w:trPr>
          <w:trHeight w:val="216"/>
        </w:trPr>
        <w:tc>
          <w:tcPr>
            <w:tcW w:w="8860" w:type="dxa"/>
            <w:vAlign w:val="bottom"/>
          </w:tcPr>
          <w:p>
            <w:pPr>
              <w:ind w:left="620"/>
              <w:spacing w:after="0"/>
              <w:rPr>
                <w:sz w:val="20"/>
                <w:szCs w:val="20"/>
                <w:color w:val="auto"/>
              </w:rPr>
            </w:pPr>
            <w:r>
              <w:rPr>
                <w:rFonts w:ascii="Arial" w:cs="Arial" w:eastAsia="Arial" w:hAnsi="Arial"/>
                <w:sz w:val="18"/>
                <w:szCs w:val="18"/>
                <w:color w:val="auto"/>
              </w:rPr>
              <w:t>Income taxes payable, including excess stock option exercise benefit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(2,927)</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2,954</w:t>
            </w:r>
          </w:p>
        </w:tc>
      </w:tr>
      <w:tr>
        <w:trPr>
          <w:trHeight w:val="216"/>
        </w:trPr>
        <w:tc>
          <w:tcPr>
            <w:tcW w:w="8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Accrued compensation, warranty and other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(4,505)</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(1,705)</w:t>
            </w:r>
          </w:p>
        </w:tc>
      </w:tr>
      <w:tr>
        <w:trPr>
          <w:trHeight w:val="223"/>
        </w:trPr>
        <w:tc>
          <w:tcPr>
            <w:tcW w:w="8860" w:type="dxa"/>
            <w:vAlign w:val="bottom"/>
          </w:tcPr>
          <w:p>
            <w:pPr>
              <w:ind w:left="620"/>
              <w:spacing w:after="0"/>
              <w:rPr>
                <w:sz w:val="20"/>
                <w:szCs w:val="20"/>
                <w:color w:val="auto"/>
              </w:rPr>
            </w:pPr>
            <w:r>
              <w:rPr>
                <w:rFonts w:ascii="Arial" w:cs="Arial" w:eastAsia="Arial" w:hAnsi="Arial"/>
                <w:sz w:val="18"/>
                <w:szCs w:val="18"/>
                <w:color w:val="auto"/>
              </w:rPr>
              <w:t>Net cash provided from continuing operating activities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18,695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investing activities, excluding effects from acquisitions and divestitures: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Purchases of short-term investments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w w:val="98"/>
              </w:rPr>
              <w:t>(122,891)</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(63,097)</w:t>
            </w: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maturities of short-term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130,017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48,382</w:t>
            </w: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(1,848)</w:t>
            </w:r>
          </w:p>
        </w:tc>
        <w:tc>
          <w:tcPr>
            <w:tcW w:w="3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(4,028)</w:t>
            </w: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received from facility sale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6,239</w:t>
            </w: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Payment for purchase of AVS, net of cash received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(8,169)</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for purchase of Unigen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(7,700)</w:t>
            </w: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Cash received from disposition of discontinued operations,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2,663</w:t>
            </w: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advances to discontinued operations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(150)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7"/>
        </w:trPr>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Net cash used for continuing investing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(3,051)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(17,501)</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Cash flows from continuing financing activities: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stock,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3,484</w:t>
            </w:r>
          </w:p>
        </w:tc>
      </w:tr>
      <w:tr>
        <w:trPr>
          <w:trHeight w:val="216"/>
        </w:trPr>
        <w:tc>
          <w:tcPr>
            <w:tcW w:w="8860" w:type="dxa"/>
            <w:vAlign w:val="bottom"/>
          </w:tcPr>
          <w:p>
            <w:pPr>
              <w:ind w:left="220"/>
              <w:spacing w:after="0"/>
              <w:rPr>
                <w:sz w:val="20"/>
                <w:szCs w:val="20"/>
                <w:color w:val="auto"/>
              </w:rPr>
            </w:pPr>
            <w:r>
              <w:rPr>
                <w:rFonts w:ascii="Arial" w:cs="Arial" w:eastAsia="Arial" w:hAnsi="Arial"/>
                <w:sz w:val="18"/>
                <w:szCs w:val="18"/>
                <w:color w:val="auto"/>
              </w:rPr>
              <w:t>Excess tax benefits from stock options exercised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482</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8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(4,099)</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(4,050)</w:t>
            </w: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Net cash provided from (used for) continuing financing activities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Net increase (decrease) in cash and cash equivalents from continuing operations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(13,586)</w:t>
            </w:r>
          </w:p>
        </w:tc>
        <w:tc>
          <w:tcPr>
            <w:tcW w:w="100" w:type="dxa"/>
            <w:vAlign w:val="bottom"/>
          </w:tcPr>
          <w:p>
            <w:pPr>
              <w:spacing w:after="0"/>
              <w:rPr>
                <w:sz w:val="19"/>
                <w:szCs w:val="19"/>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continuing operations at beginning of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24,829</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38,543</w:t>
            </w:r>
          </w:p>
        </w:tc>
      </w:tr>
      <w:tr>
        <w:trPr>
          <w:trHeight w:val="223"/>
        </w:trPr>
        <w:tc>
          <w:tcPr>
            <w:tcW w:w="8860" w:type="dxa"/>
            <w:vAlign w:val="bottom"/>
          </w:tcPr>
          <w:p>
            <w:pPr>
              <w:spacing w:after="0"/>
              <w:rPr>
                <w:sz w:val="20"/>
                <w:szCs w:val="20"/>
                <w:color w:val="auto"/>
              </w:rPr>
            </w:pPr>
            <w:r>
              <w:rPr>
                <w:rFonts w:ascii="Arial" w:cs="Arial" w:eastAsia="Arial" w:hAnsi="Arial"/>
                <w:sz w:val="18"/>
                <w:szCs w:val="18"/>
                <w:color w:val="auto"/>
              </w:rPr>
              <w:t>Cash and cash equivalents of continuing operations at end of period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40,232</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24,957</w:t>
            </w:r>
          </w:p>
        </w:tc>
        <w:tc>
          <w:tcPr>
            <w:tcW w:w="100" w:type="dxa"/>
            <w:vAlign w:val="bottom"/>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3"/>
          </w:tcPr>
          <w:p>
            <w:pPr>
              <w:ind w:left="420"/>
              <w:spacing w:after="0"/>
              <w:rPr>
                <w:sz w:val="20"/>
                <w:szCs w:val="20"/>
                <w:color w:val="auto"/>
              </w:rPr>
            </w:pPr>
            <w:r>
              <w:rPr>
                <w:rFonts w:ascii="Arial" w:cs="Arial" w:eastAsia="Arial" w:hAnsi="Arial"/>
                <w:sz w:val="14"/>
                <w:szCs w:val="14"/>
                <w:b w:val="1"/>
                <w:bCs w:val="1"/>
                <w:color w:val="auto"/>
                <w:w w:val="93"/>
              </w:rPr>
              <w:t>Nine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29,</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Cash used for operating activities of discontinued operations</w:t>
            </w:r>
          </w:p>
        </w:tc>
        <w:tc>
          <w:tcPr>
            <w:tcW w:w="18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(150)</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used for investing activities of discontinued operations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Cash advances from continuing operations, net</w:t>
            </w:r>
          </w:p>
        </w:tc>
        <w:tc>
          <w:tcPr>
            <w:tcW w:w="1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 of discontinued operations</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Cash and cash equivalents of discontinued operations at beginning of period</w:t>
            </w:r>
          </w:p>
        </w:tc>
        <w:tc>
          <w:tcPr>
            <w:tcW w:w="16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of discontinued operations at end of period</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during the period for:</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00"/>
              <w:spacing w:after="0"/>
              <w:rPr>
                <w:sz w:val="20"/>
                <w:szCs w:val="20"/>
                <w:color w:val="auto"/>
              </w:rPr>
            </w:pPr>
            <w:r>
              <w:rPr>
                <w:rFonts w:ascii="Arial" w:cs="Arial" w:eastAsia="Arial" w:hAnsi="Arial"/>
                <w:sz w:val="18"/>
                <w:szCs w:val="18"/>
                <w:color w:val="auto"/>
              </w:rPr>
              <w:t>Income taxes, net of refunds</w:t>
            </w:r>
          </w:p>
        </w:tc>
        <w:tc>
          <w:tcPr>
            <w:tcW w:w="18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3,442</w:t>
            </w:r>
          </w:p>
        </w:tc>
        <w:tc>
          <w:tcPr>
            <w:tcW w:w="66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capitalized as capital assets</w:t>
            </w:r>
          </w:p>
        </w:tc>
        <w:tc>
          <w:tcPr>
            <w:tcW w:w="18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200"/>
              <w:spacing w:after="0"/>
              <w:rPr>
                <w:sz w:val="20"/>
                <w:szCs w:val="20"/>
                <w:color w:val="auto"/>
              </w:rPr>
            </w:pPr>
            <w:r>
              <w:rPr>
                <w:rFonts w:ascii="Arial" w:cs="Arial" w:eastAsia="Arial" w:hAnsi="Arial"/>
                <w:sz w:val="18"/>
                <w:szCs w:val="18"/>
                <w:color w:val="auto"/>
              </w:rPr>
              <w:t>Dividends declared but not yet paid</w:t>
            </w:r>
          </w:p>
        </w:tc>
        <w:tc>
          <w:tcPr>
            <w:tcW w:w="18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1,380</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29, 2007</w:t>
      </w:r>
    </w:p>
    <w:p>
      <w:pPr>
        <w:spacing w:after="0" w:line="207" w:lineRule="exact"/>
        <w:rPr>
          <w:sz w:val="20"/>
          <w:szCs w:val="20"/>
          <w:color w:val="auto"/>
        </w:rPr>
      </w:pPr>
    </w:p>
    <w:p>
      <w:pPr>
        <w:ind w:left="260" w:right="7780" w:hanging="252"/>
        <w:spacing w:after="0" w:line="393" w:lineRule="auto"/>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rFonts w:ascii="Arial" w:cs="Arial" w:eastAsia="Arial" w:hAnsi="Arial"/>
          <w:sz w:val="18"/>
          <w:szCs w:val="18"/>
          <w:b w:val="1"/>
          <w:bCs w:val="1"/>
          <w:color w:val="auto"/>
        </w:rPr>
      </w:pPr>
    </w:p>
    <w:p>
      <w:pPr>
        <w:ind w:left="26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Our fiscal years are based on a 52- or 53-week period ending on the last Saturday in December. The condensed consolidated balance sheet at December 30, 2006 has been derived from our audited financial statements at that date. The interim condensed consolidated financial statements as of September 29, 2007 (also referred to as “the third quarter of fiscal 2007” and “the first nine months of fiscal 2007”) and September 30, 2006 (also referred to as “the third quarter of fiscal 2006” and “the first nine months of fiscal 2006”) are unaudited. However, in management’s opinion, these financial statements reflect all adjustments (consisting only of normal, recurring items) necessary to provide a fair presentation of our financial position, results of operations and cash flows for the periods presented. The third quarter of fiscal 2007 and the first nine months of fiscal 2007 were comprised of 13 and 39 weeks, respectively. The third quarter of fiscal 2006 and the first nine months of fiscal 2006 were comprised of 14 and 39 weeks, respectively.</w:t>
      </w:r>
    </w:p>
    <w:p>
      <w:pPr>
        <w:spacing w:after="0" w:line="72" w:lineRule="exact"/>
        <w:rPr>
          <w:rFonts w:ascii="Arial" w:cs="Arial" w:eastAsia="Arial" w:hAnsi="Arial"/>
          <w:sz w:val="18"/>
          <w:szCs w:val="18"/>
          <w:b w:val="1"/>
          <w:bCs w:val="1"/>
          <w:color w:val="auto"/>
        </w:rPr>
      </w:pPr>
    </w:p>
    <w:p>
      <w:pPr>
        <w:ind w:left="260"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Our interim results are not necessarily indicative of the results that should be expected for the full year. For a better understanding of Cohu, Inc. and our financial statements, we recommend reading these interim condensed consolidated financial statements in conjunction with our audited financial statements for the year ended December 30, 2006, which are included in our 2006 Annual Report on Form 10-K, filed with the U. S. Securities and Exchange Commission (“SEC”). In the following notes to our interim condensed consolidated financial statements, Cohu, Inc. is referred to as “Cohu”, “we”, “our” and “us”.</w:t>
      </w:r>
    </w:p>
    <w:p>
      <w:pPr>
        <w:spacing w:after="0" w:line="21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134" w:lineRule="exact"/>
        <w:rPr>
          <w:rFonts w:ascii="Arial" w:cs="Arial" w:eastAsia="Arial" w:hAnsi="Arial"/>
          <w:sz w:val="18"/>
          <w:szCs w:val="18"/>
          <w:b w:val="1"/>
          <w:bCs w:val="1"/>
          <w:color w:val="auto"/>
        </w:rPr>
      </w:pPr>
    </w:p>
    <w:p>
      <w:pPr>
        <w:ind w:left="260"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are subject to a number of risks and uncertainties that may significantly impact our future operating results. These risks and uncertainties are discussed under Item 1A. “Risk Factors” included in this Form 10-Q. As our interim description of risks and uncertainties only includes any material changes to our annual description, we also recommend reading the description of the risk factors associated with our business previously disclosed in Item 1A. of our 2006 Annual Report on Form 10-K. Understanding these risks and uncertainties is integral to the review of our interim condensed consolidated financial statements.</w:t>
      </w:r>
    </w:p>
    <w:p>
      <w:pPr>
        <w:spacing w:after="0" w:line="21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34" w:lineRule="exact"/>
        <w:rPr>
          <w:rFonts w:ascii="Arial" w:cs="Arial" w:eastAsia="Arial" w:hAnsi="Arial"/>
          <w:sz w:val="18"/>
          <w:szCs w:val="18"/>
          <w:b w:val="1"/>
          <w:bCs w:val="1"/>
          <w:color w:val="auto"/>
        </w:rPr>
      </w:pPr>
    </w:p>
    <w:p>
      <w:pPr>
        <w:ind w:left="260" w:right="2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On May 12, 2006, we sold our metal detection equipment business, FRL, Incorporated (“FRL”). Subsequent to the sale, the operating results of FRL are being presented as discontinued operations (Note 2) and all prior period financial statements have been reclassified accordingly.</w:t>
      </w:r>
    </w:p>
    <w:p>
      <w:pPr>
        <w:spacing w:after="0" w:line="16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34" w:lineRule="exact"/>
        <w:rPr>
          <w:rFonts w:ascii="Arial" w:cs="Arial" w:eastAsia="Arial" w:hAnsi="Arial"/>
          <w:sz w:val="18"/>
          <w:szCs w:val="18"/>
          <w:b w:val="1"/>
          <w:bCs w:val="1"/>
          <w:color w:val="auto"/>
        </w:rPr>
      </w:pPr>
    </w:p>
    <w:p>
      <w:pPr>
        <w:ind w:left="26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On January 1, 2006, we adopted the provisions of Financial Accounting Standards Board (“FASB”) Statement No. 123 (revised 2004),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w:t>
      </w:r>
      <w:r>
        <w:rPr>
          <w:rFonts w:ascii="Arial" w:cs="Arial" w:eastAsia="Arial" w:hAnsi="Arial"/>
          <w:sz w:val="18"/>
          <w:szCs w:val="18"/>
          <w:color w:val="auto"/>
        </w:rPr>
        <w:t>, (“Statement No. 123R”) and SEC Staff Accounting Bulletin No. 107, (“SAB No. 107”) requiring the measurement and recognition of all share-based compensation under the fair value method. Share-based compensation expense related to stock options is recorded based on the fair value of the award on its grant date which we estimate using the Black-Scholes valuation model based on the provisions prescribed under Statement No. 123R and SAB No. 107.</w:t>
      </w:r>
    </w:p>
    <w:p>
      <w:pPr>
        <w:spacing w:after="0" w:line="93" w:lineRule="exact"/>
        <w:rPr>
          <w:rFonts w:ascii="Arial" w:cs="Arial" w:eastAsia="Arial" w:hAnsi="Arial"/>
          <w:sz w:val="18"/>
          <w:szCs w:val="18"/>
          <w:b w:val="1"/>
          <w:bCs w:val="1"/>
          <w:color w:val="auto"/>
        </w:rPr>
      </w:pPr>
    </w:p>
    <w:p>
      <w:pPr>
        <w:ind w:left="260" w:right="1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5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 xml:space="preserve">Reported share-based compensation is classified, in the condensed consolidated interim financial statements,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3"/>
          </w:tcPr>
          <w:p>
            <w:pPr>
              <w:ind w:left="380"/>
              <w:spacing w:after="0"/>
              <w:rPr>
                <w:sz w:val="20"/>
                <w:szCs w:val="20"/>
                <w:color w:val="auto"/>
              </w:rPr>
            </w:pPr>
            <w:r>
              <w:rPr>
                <w:rFonts w:ascii="Arial" w:cs="Arial" w:eastAsia="Arial" w:hAnsi="Arial"/>
                <w:sz w:val="14"/>
                <w:szCs w:val="14"/>
                <w:color w:val="auto"/>
                <w:w w:val="89"/>
              </w:rPr>
              <w:t>Three months ended</w:t>
            </w: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ind w:left="400"/>
              <w:spacing w:after="0"/>
              <w:rPr>
                <w:sz w:val="20"/>
                <w:szCs w:val="20"/>
                <w:color w:val="auto"/>
              </w:rPr>
            </w:pPr>
            <w:r>
              <w:rPr>
                <w:rFonts w:ascii="Arial" w:cs="Arial" w:eastAsia="Arial" w:hAnsi="Arial"/>
                <w:sz w:val="14"/>
                <w:szCs w:val="14"/>
                <w:color w:val="auto"/>
                <w:w w:val="92"/>
              </w:rPr>
              <w:t>Nine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color w:val="auto"/>
              </w:rPr>
              <w:t>September 29,</w:t>
            </w: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rPr>
              <w:t>September 30,</w:t>
            </w:r>
          </w:p>
        </w:tc>
        <w:tc>
          <w:tcPr>
            <w:tcW w:w="148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September 29,</w:t>
            </w:r>
          </w:p>
        </w:tc>
        <w:tc>
          <w:tcPr>
            <w:tcW w:w="122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4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2007</w:t>
            </w: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83"/>
              </w:rPr>
              <w:t>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88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119</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343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937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share-based compensation</w:t>
            </w:r>
          </w:p>
        </w:tc>
        <w:tc>
          <w:tcPr>
            <w:tcW w:w="1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6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share-based compensation, net of tax</w:t>
            </w:r>
          </w:p>
        </w:tc>
        <w:tc>
          <w:tcPr>
            <w:tcW w:w="17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700" w:type="dxa"/>
            <w:vAlign w:val="bottom"/>
            <w:vMerge w:val="restart"/>
          </w:tcPr>
          <w:p>
            <w:pPr>
              <w:jc w:val="right"/>
              <w:ind w:right="23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8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29, 2007</w:t>
      </w:r>
    </w:p>
    <w:p>
      <w:pPr>
        <w:spacing w:after="0" w:line="20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Income Per Share</w:t>
      </w:r>
    </w:p>
    <w:p>
      <w:pPr>
        <w:spacing w:after="0" w:line="135" w:lineRule="exact"/>
        <w:rPr>
          <w:sz w:val="20"/>
          <w:szCs w:val="20"/>
          <w:color w:val="auto"/>
        </w:rPr>
      </w:pPr>
    </w:p>
    <w:p>
      <w:pPr>
        <w:ind w:left="220" w:right="20"/>
        <w:spacing w:after="0" w:line="254" w:lineRule="auto"/>
        <w:rPr>
          <w:sz w:val="20"/>
          <w:szCs w:val="20"/>
          <w:color w:val="auto"/>
        </w:rPr>
      </w:pPr>
      <w:r>
        <w:rPr>
          <w:rFonts w:ascii="Arial" w:cs="Arial" w:eastAsia="Arial" w:hAnsi="Arial"/>
          <w:sz w:val="18"/>
          <w:szCs w:val="18"/>
          <w:color w:val="auto"/>
        </w:rPr>
        <w:t xml:space="preserve">Income per share is computed in accordance with FASB Statement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Basic income per share is computed using the weighted average number of common shares outstanding during each period. Diluted income per share includes the dilutive effect of common shares potentially issuable upon the exercise of stock options utilizing the treasury stock method. For purposes of computing diluted income per share, stock options with exercise prices that exceed the average fair market value of our common stock for the period are excluded. For the three and nine months ended September 29, 2007, options to purchase approximately 143,000 and 426,000 shares of common stock, respectively, were excluded from the computation. For the three and nine months ended September 30, 2006, options to purchase approximately 1,496,000 and 964,000 shares of common stock, respectively, were excluded from the computation. The following table reconciles the denominators used in computing basic and diluted income per share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color w:val="auto"/>
              </w:rPr>
              <w:t>Three months ended</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gridSpan w:val="6"/>
          </w:tcPr>
          <w:p>
            <w:pPr>
              <w:jc w:val="right"/>
              <w:ind w:right="800"/>
              <w:spacing w:after="0"/>
              <w:rPr>
                <w:sz w:val="20"/>
                <w:szCs w:val="20"/>
                <w:color w:val="auto"/>
              </w:rPr>
            </w:pPr>
            <w:r>
              <w:rPr>
                <w:rFonts w:ascii="Arial" w:cs="Arial" w:eastAsia="Arial" w:hAnsi="Arial"/>
                <w:sz w:val="14"/>
                <w:szCs w:val="14"/>
                <w:color w:val="auto"/>
              </w:rPr>
              <w:t>Nine months ended</w:t>
            </w:r>
          </w:p>
        </w:tc>
      </w:tr>
      <w:tr>
        <w:trPr>
          <w:trHeight w:val="149"/>
        </w:trPr>
        <w:tc>
          <w:tcPr>
            <w:tcW w:w="5500" w:type="dxa"/>
            <w:vAlign w:val="bottom"/>
          </w:tcPr>
          <w:p>
            <w:pPr>
              <w:spacing w:after="0"/>
              <w:rPr>
                <w:sz w:val="12"/>
                <w:szCs w:val="12"/>
                <w:color w:val="auto"/>
              </w:rPr>
            </w:pPr>
          </w:p>
        </w:tc>
        <w:tc>
          <w:tcPr>
            <w:tcW w:w="12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September 29,</w:t>
            </w:r>
          </w:p>
        </w:tc>
        <w:tc>
          <w:tcPr>
            <w:tcW w:w="420" w:type="dxa"/>
            <w:vAlign w:val="bottom"/>
          </w:tcPr>
          <w:p>
            <w:pPr>
              <w:spacing w:after="0"/>
              <w:rPr>
                <w:sz w:val="12"/>
                <w:szCs w:val="12"/>
                <w:color w:val="auto"/>
              </w:rPr>
            </w:pPr>
          </w:p>
        </w:tc>
        <w:tc>
          <w:tcPr>
            <w:tcW w:w="12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September 30,</w:t>
            </w:r>
          </w:p>
        </w:tc>
        <w:tc>
          <w:tcPr>
            <w:tcW w:w="400" w:type="dxa"/>
            <w:vAlign w:val="bottom"/>
          </w:tcPr>
          <w:p>
            <w:pPr>
              <w:spacing w:after="0"/>
              <w:rPr>
                <w:sz w:val="12"/>
                <w:szCs w:val="12"/>
                <w:color w:val="auto"/>
              </w:rPr>
            </w:pP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September 29,</w:t>
            </w:r>
          </w:p>
        </w:tc>
        <w:tc>
          <w:tcPr>
            <w:tcW w:w="300" w:type="dxa"/>
            <w:vAlign w:val="bottom"/>
          </w:tcPr>
          <w:p>
            <w:pPr>
              <w:spacing w:after="0"/>
              <w:rPr>
                <w:sz w:val="12"/>
                <w:szCs w:val="12"/>
                <w:color w:val="auto"/>
              </w:rPr>
            </w:pPr>
          </w:p>
        </w:tc>
        <w:tc>
          <w:tcPr>
            <w:tcW w:w="12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September 30,</w:t>
            </w:r>
          </w:p>
        </w:tc>
      </w:tr>
      <w:tr>
        <w:trPr>
          <w:trHeight w:val="167"/>
        </w:trPr>
        <w:tc>
          <w:tcPr>
            <w:tcW w:w="550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color w:val="auto"/>
              </w:rPr>
              <w:t>2007</w:t>
            </w: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color w:val="auto"/>
              </w:rPr>
              <w:t>2006</w:t>
            </w:r>
          </w:p>
        </w:tc>
        <w:tc>
          <w:tcPr>
            <w:tcW w:w="3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2007</w:t>
            </w:r>
          </w:p>
        </w:tc>
        <w:tc>
          <w:tcPr>
            <w:tcW w:w="3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2006</w:t>
            </w:r>
          </w:p>
        </w:tc>
        <w:tc>
          <w:tcPr>
            <w:tcW w:w="360" w:type="dxa"/>
            <w:vAlign w:val="bottom"/>
            <w:tcBorders>
              <w:bottom w:val="single" w:sz="8" w:color="auto"/>
            </w:tcBorders>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22,945</w:t>
            </w:r>
          </w:p>
        </w:tc>
        <w:tc>
          <w:tcPr>
            <w:tcW w:w="16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22,609</w:t>
            </w: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22,830</w:t>
            </w:r>
          </w:p>
        </w:tc>
        <w:tc>
          <w:tcPr>
            <w:tcW w:w="15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22,563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3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488</w:t>
            </w:r>
          </w:p>
        </w:tc>
        <w:tc>
          <w:tcPr>
            <w:tcW w:w="34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197</w:t>
            </w:r>
          </w:p>
        </w:tc>
        <w:tc>
          <w:tcPr>
            <w:tcW w:w="1600" w:type="dxa"/>
            <w:vAlign w:val="bottom"/>
            <w:gridSpan w:val="4"/>
          </w:tcPr>
          <w:p>
            <w:pPr>
              <w:jc w:val="right"/>
              <w:ind w:right="360"/>
              <w:spacing w:after="0"/>
              <w:rPr>
                <w:sz w:val="20"/>
                <w:szCs w:val="20"/>
                <w:color w:val="auto"/>
              </w:rPr>
            </w:pPr>
            <w:r>
              <w:rPr>
                <w:rFonts w:ascii="Arial" w:cs="Arial" w:eastAsia="Arial" w:hAnsi="Arial"/>
                <w:sz w:val="18"/>
                <w:szCs w:val="18"/>
                <w:color w:val="auto"/>
              </w:rPr>
              <w:t>452</w:t>
            </w:r>
          </w:p>
        </w:tc>
        <w:tc>
          <w:tcPr>
            <w:tcW w:w="1500" w:type="dxa"/>
            <w:vAlign w:val="bottom"/>
            <w:gridSpan w:val="4"/>
          </w:tcPr>
          <w:p>
            <w:pPr>
              <w:jc w:val="right"/>
              <w:ind w:right="360"/>
              <w:spacing w:after="0"/>
              <w:rPr>
                <w:sz w:val="20"/>
                <w:szCs w:val="20"/>
                <w:color w:val="auto"/>
              </w:rPr>
            </w:pPr>
            <w:r>
              <w:rPr>
                <w:rFonts w:ascii="Arial" w:cs="Arial" w:eastAsia="Arial" w:hAnsi="Arial"/>
                <w:sz w:val="18"/>
                <w:szCs w:val="18"/>
                <w:color w:val="auto"/>
              </w:rPr>
              <w:t>329</w:t>
            </w:r>
          </w:p>
        </w:tc>
      </w:tr>
      <w:tr>
        <w:trPr>
          <w:trHeight w:val="27"/>
        </w:trPr>
        <w:tc>
          <w:tcPr>
            <w:tcW w:w="5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r>
      <w:tr>
        <w:trPr>
          <w:trHeight w:val="216"/>
        </w:trPr>
        <w:tc>
          <w:tcPr>
            <w:tcW w:w="5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23,433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22,806</w:t>
            </w:r>
          </w:p>
        </w:tc>
        <w:tc>
          <w:tcPr>
            <w:tcW w:w="16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23,282</w:t>
            </w:r>
          </w:p>
        </w:tc>
        <w:tc>
          <w:tcPr>
            <w:tcW w:w="15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22,892</w:t>
            </w:r>
          </w:p>
        </w:tc>
      </w:tr>
      <w:tr>
        <w:trPr>
          <w:trHeight w:val="20"/>
        </w:trPr>
        <w:tc>
          <w:tcPr>
            <w:tcW w:w="5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left="260" w:right="100"/>
        <w:spacing w:after="0" w:line="259" w:lineRule="auto"/>
        <w:rPr>
          <w:sz w:val="20"/>
          <w:szCs w:val="20"/>
          <w:color w:val="auto"/>
        </w:rPr>
      </w:pPr>
      <w:r>
        <w:rPr>
          <w:rFonts w:ascii="Arial" w:cs="Arial" w:eastAsia="Arial" w:hAnsi="Arial"/>
          <w:sz w:val="18"/>
          <w:szCs w:val="18"/>
          <w:color w:val="auto"/>
        </w:rPr>
        <w:t>Our revenue recognition policy is disclosed in Note 1 of the Notes to Consolidated Financial Statements included in our Annual Report on Form 10-K for the year ended December 30, 2006. As more fully described in that policy, revenue from products that have not previously satisfied customer acceptance requirements is recognized upon customer acceptance. The gross profit on sales that are not recognized is generally recorded as deferred profit and reflected as a current liability in the consolidated balance sheet.</w:t>
      </w:r>
    </w:p>
    <w:p>
      <w:pPr>
        <w:spacing w:after="0" w:line="92" w:lineRule="exact"/>
        <w:rPr>
          <w:sz w:val="20"/>
          <w:szCs w:val="20"/>
          <w:color w:val="auto"/>
        </w:rPr>
      </w:pPr>
    </w:p>
    <w:p>
      <w:pPr>
        <w:ind w:left="260" w:right="180"/>
        <w:spacing w:after="0" w:line="277" w:lineRule="auto"/>
        <w:rPr>
          <w:sz w:val="20"/>
          <w:szCs w:val="20"/>
          <w:color w:val="auto"/>
        </w:rPr>
      </w:pPr>
      <w:r>
        <w:rPr>
          <w:rFonts w:ascii="Arial" w:cs="Arial" w:eastAsia="Arial" w:hAnsi="Arial"/>
          <w:sz w:val="18"/>
          <w:szCs w:val="18"/>
          <w:color w:val="auto"/>
        </w:rPr>
        <w:t>At September 29, 2007, we had deferred revenue totaling approximately $7.2 million and deferred profit of $4.6 million. At December 30, 2006, we had deferred revenue totaling approximately $22.0 million and deferred profit of $9.8 million.</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Retiree Medical Benefits</w:t>
      </w:r>
    </w:p>
    <w:p>
      <w:pPr>
        <w:spacing w:after="0" w:line="135" w:lineRule="exact"/>
        <w:rPr>
          <w:sz w:val="20"/>
          <w:szCs w:val="20"/>
          <w:color w:val="auto"/>
        </w:rPr>
      </w:pPr>
    </w:p>
    <w:p>
      <w:pPr>
        <w:ind w:left="260" w:right="140"/>
        <w:spacing w:after="0" w:line="277" w:lineRule="auto"/>
        <w:rPr>
          <w:sz w:val="20"/>
          <w:szCs w:val="20"/>
          <w:color w:val="auto"/>
        </w:rPr>
      </w:pPr>
      <w:r>
        <w:rPr>
          <w:rFonts w:ascii="Arial" w:cs="Arial" w:eastAsia="Arial" w:hAnsi="Arial"/>
          <w:sz w:val="18"/>
          <w:szCs w:val="18"/>
          <w:color w:val="auto"/>
        </w:rPr>
        <w:t>We provide post-retirement health benefits to certain executives and directors under a noncontributory plan. The net periodic benefit cost incurred during the first nine months of fiscal 2007 and 2006 was not significant.</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Recent Accounting Pronouncements</w:t>
      </w:r>
    </w:p>
    <w:p>
      <w:pPr>
        <w:spacing w:after="0" w:line="135" w:lineRule="exact"/>
        <w:rPr>
          <w:sz w:val="20"/>
          <w:szCs w:val="20"/>
          <w:color w:val="auto"/>
        </w:rPr>
      </w:pPr>
    </w:p>
    <w:p>
      <w:pPr>
        <w:jc w:val="both"/>
        <w:ind w:left="260" w:right="440"/>
        <w:spacing w:after="0" w:line="259" w:lineRule="auto"/>
        <w:rPr>
          <w:sz w:val="20"/>
          <w:szCs w:val="20"/>
          <w:color w:val="auto"/>
        </w:rPr>
      </w:pPr>
      <w:r>
        <w:rPr>
          <w:rFonts w:ascii="Arial" w:cs="Arial" w:eastAsia="Arial" w:hAnsi="Arial"/>
          <w:sz w:val="18"/>
          <w:szCs w:val="18"/>
          <w:color w:val="auto"/>
        </w:rPr>
        <w:t xml:space="preserve">In February 2007, the FASB issued Statement No. 159, </w:t>
      </w:r>
      <w:r>
        <w:rPr>
          <w:rFonts w:ascii="Arial" w:cs="Arial" w:eastAsia="Arial" w:hAnsi="Arial"/>
          <w:sz w:val="18"/>
          <w:szCs w:val="18"/>
          <w:i w:val="1"/>
          <w:iCs w:val="1"/>
          <w:color w:val="auto"/>
        </w:rPr>
        <w:t>The Fair Value Option for Financial Assets and Financial Liabilities</w:t>
      </w:r>
      <w:r>
        <w:rPr>
          <w:rFonts w:ascii="Arial" w:cs="Arial" w:eastAsia="Arial" w:hAnsi="Arial"/>
          <w:sz w:val="18"/>
          <w:szCs w:val="18"/>
          <w:color w:val="auto"/>
        </w:rPr>
        <w:t>, (“Statement No. 159”). Statement No. 159 gives entities the option to carry many financial assets and liabilities at fair value, with changes in fair value recorded in earnings. Statement No. 159, which will be effective in our first quarter of fiscal 2008, is not expected to have a material impact on our consolidated financial position or results of operations.</w:t>
      </w:r>
    </w:p>
    <w:p>
      <w:pPr>
        <w:spacing w:after="0" w:line="21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34" w:lineRule="exact"/>
        <w:rPr>
          <w:rFonts w:ascii="Arial" w:cs="Arial" w:eastAsia="Arial" w:hAnsi="Arial"/>
          <w:sz w:val="18"/>
          <w:szCs w:val="18"/>
          <w:b w:val="1"/>
          <w:bCs w:val="1"/>
          <w:color w:val="auto"/>
        </w:rPr>
      </w:pPr>
    </w:p>
    <w:p>
      <w:pPr>
        <w:ind w:left="260" w:right="1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On May 12, 2006, we sold substantially all the assets of our metal detection equipment business, FRL. Our decision to sell FRL resulted from management’s determination that this industry segment was no longer a strategic fit within our organization. We are currently attempting to sell our FRL facility in Los Banos, California and believe the current fair value of the property is in excess of its $0.5 million carrying value at September 29, 2007.</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29, 2007</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A summary of key financial information of our discontinued operations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4"/>
          </w:tcPr>
          <w:p>
            <w:pPr>
              <w:ind w:left="380"/>
              <w:spacing w:after="0"/>
              <w:rPr>
                <w:sz w:val="20"/>
                <w:szCs w:val="20"/>
                <w:color w:val="auto"/>
              </w:rPr>
            </w:pPr>
            <w:r>
              <w:rPr>
                <w:rFonts w:ascii="Arial" w:cs="Arial" w:eastAsia="Arial" w:hAnsi="Arial"/>
                <w:sz w:val="14"/>
                <w:szCs w:val="14"/>
                <w:color w:val="auto"/>
                <w:w w:val="88"/>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ind w:left="400"/>
              <w:spacing w:after="0"/>
              <w:rPr>
                <w:sz w:val="20"/>
                <w:szCs w:val="20"/>
                <w:color w:val="auto"/>
              </w:rPr>
            </w:pPr>
            <w:r>
              <w:rPr>
                <w:rFonts w:ascii="Arial" w:cs="Arial" w:eastAsia="Arial" w:hAnsi="Arial"/>
                <w:sz w:val="14"/>
                <w:szCs w:val="14"/>
                <w:color w:val="auto"/>
                <w:w w:val="92"/>
              </w:rPr>
              <w:t>Nine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460" w:type="dxa"/>
            <w:vAlign w:val="bottom"/>
            <w:gridSpan w:val="5"/>
          </w:tcPr>
          <w:p>
            <w:pPr>
              <w:spacing w:after="0" w:line="149" w:lineRule="exact"/>
              <w:rPr>
                <w:sz w:val="20"/>
                <w:szCs w:val="20"/>
                <w:color w:val="auto"/>
              </w:rPr>
            </w:pPr>
            <w:r>
              <w:rPr>
                <w:rFonts w:ascii="Arial" w:cs="Arial" w:eastAsia="Arial" w:hAnsi="Arial"/>
                <w:sz w:val="14"/>
                <w:szCs w:val="14"/>
                <w:color w:val="auto"/>
              </w:rPr>
              <w:t>September 29,</w:t>
            </w: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September 30,</w:t>
            </w:r>
          </w:p>
        </w:tc>
        <w:tc>
          <w:tcPr>
            <w:tcW w:w="1720" w:type="dxa"/>
            <w:vAlign w:val="bottom"/>
            <w:gridSpan w:val="4"/>
          </w:tcPr>
          <w:p>
            <w:pPr>
              <w:ind w:left="540"/>
              <w:spacing w:after="0" w:line="149" w:lineRule="exact"/>
              <w:rPr>
                <w:sz w:val="20"/>
                <w:szCs w:val="20"/>
                <w:color w:val="auto"/>
              </w:rPr>
            </w:pPr>
            <w:r>
              <w:rPr>
                <w:rFonts w:ascii="Arial" w:cs="Arial" w:eastAsia="Arial" w:hAnsi="Arial"/>
                <w:sz w:val="14"/>
                <w:szCs w:val="14"/>
                <w:color w:val="auto"/>
              </w:rPr>
              <w:t>September 29,</w:t>
            </w:r>
          </w:p>
        </w:tc>
        <w:tc>
          <w:tcPr>
            <w:tcW w:w="122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September 30,</w:t>
            </w: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2007</w:t>
            </w: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89"/>
              </w:rPr>
              <w:t>2006</w:t>
            </w:r>
          </w:p>
        </w:tc>
        <w:tc>
          <w:tcPr>
            <w:tcW w:w="12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2007</w:t>
            </w:r>
          </w:p>
        </w:tc>
        <w:tc>
          <w:tcPr>
            <w:tcW w:w="3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w w:val="89"/>
              </w:rPr>
              <w:t>2006</w:t>
            </w:r>
          </w:p>
        </w:tc>
        <w:tc>
          <w:tcPr>
            <w:tcW w:w="100" w:type="dxa"/>
            <w:vAlign w:val="bottom"/>
            <w:tcBorders>
              <w:bottom w:val="single" w:sz="8" w:color="auto"/>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w:t>
            </w:r>
          </w:p>
        </w:tc>
      </w:tr>
      <w:tr>
        <w:trPr>
          <w:trHeight w:val="20"/>
        </w:trPr>
        <w:tc>
          <w:tcPr>
            <w:tcW w:w="6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60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metal detection equipment business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(466)</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(1,272)</w:t>
            </w: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Loss from discontinued operations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Discontinued operations, net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260" w:right="8520" w:hanging="252"/>
        <w:spacing w:after="0" w:line="472" w:lineRule="auto"/>
        <w:tabs>
          <w:tab w:leader="none" w:pos="26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and Intangible Assets </w:t>
      </w:r>
      <w:r>
        <w:rPr>
          <w:rFonts w:ascii="Arial" w:cs="Arial" w:eastAsia="Arial" w:hAnsi="Arial"/>
          <w:sz w:val="15"/>
          <w:szCs w:val="15"/>
          <w:i w:val="1"/>
          <w:iCs w:val="1"/>
          <w:u w:val="single" w:color="auto"/>
          <w:color w:val="auto"/>
        </w:rPr>
        <w:t>Tandberg Television AVS GmbH</w:t>
      </w:r>
    </w:p>
    <w:p>
      <w:pPr>
        <w:ind w:left="260" w:right="18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On March 30, 2007, we purchased Tandberg Television AVS GmbH (“AVS”). The results of AVS’ operations have been included in our consolidated financial statements since that date. Pro forma results of operations have not been presented because the effect of the acquisition was not material. AVS, located near Frankfurt, Germany, designs, develops, manufactures and sells digital microwave transmitters, receivers and communications systems. This acquisition expands our digital microwave communications solutions, especially in high definition broadcast television and public safety and law enforcement applications.</w:t>
      </w:r>
    </w:p>
    <w:p>
      <w:pPr>
        <w:spacing w:after="0" w:line="93" w:lineRule="exact"/>
        <w:rPr>
          <w:rFonts w:ascii="Arial" w:cs="Arial" w:eastAsia="Arial" w:hAnsi="Arial"/>
          <w:sz w:val="15"/>
          <w:szCs w:val="15"/>
          <w:b w:val="1"/>
          <w:bCs w:val="1"/>
          <w:color w:val="auto"/>
        </w:rPr>
      </w:pPr>
    </w:p>
    <w:p>
      <w:pPr>
        <w:jc w:val="both"/>
        <w:ind w:left="260" w:right="340"/>
        <w:spacing w:after="0" w:line="286" w:lineRule="auto"/>
        <w:rPr>
          <w:rFonts w:ascii="Arial" w:cs="Arial" w:eastAsia="Arial" w:hAnsi="Arial"/>
          <w:sz w:val="15"/>
          <w:szCs w:val="15"/>
          <w:b w:val="1"/>
          <w:bCs w:val="1"/>
          <w:color w:val="auto"/>
        </w:rPr>
      </w:pPr>
      <w:r>
        <w:rPr>
          <w:rFonts w:ascii="Arial" w:cs="Arial" w:eastAsia="Arial" w:hAnsi="Arial"/>
          <w:sz w:val="17"/>
          <w:szCs w:val="17"/>
          <w:color w:val="auto"/>
        </w:rPr>
        <w:t>The purchase price of this acquisition was approximately $8.2 million, and was funded primarily by our cash reserves ($8.0 million), other acquisition costs ($0.2 million) and certain AVS liabilities assumed ($2.3 million). The purchase price allocation is preliminary and, as a result, adjustments to the amounts noted below may occur. We expect to finalize the purchase price allocation in the fourth quarter of fiscal 2007.</w:t>
      </w:r>
    </w:p>
    <w:p>
      <w:pPr>
        <w:spacing w:after="0" w:line="70" w:lineRule="exact"/>
        <w:rPr>
          <w:rFonts w:ascii="Arial" w:cs="Arial" w:eastAsia="Arial" w:hAnsi="Arial"/>
          <w:sz w:val="15"/>
          <w:szCs w:val="15"/>
          <w:b w:val="1"/>
          <w:bCs w:val="1"/>
          <w:color w:val="auto"/>
        </w:rPr>
      </w:pPr>
    </w:p>
    <w:p>
      <w:pPr>
        <w:ind w:left="260" w:right="180"/>
        <w:spacing w:after="0" w:line="288" w:lineRule="auto"/>
        <w:rPr>
          <w:rFonts w:ascii="Arial" w:cs="Arial" w:eastAsia="Arial" w:hAnsi="Arial"/>
          <w:sz w:val="15"/>
          <w:szCs w:val="15"/>
          <w:b w:val="1"/>
          <w:bCs w:val="1"/>
          <w:color w:val="auto"/>
        </w:rPr>
      </w:pPr>
      <w:r>
        <w:rPr>
          <w:rFonts w:ascii="Arial" w:cs="Arial" w:eastAsia="Arial" w:hAnsi="Arial"/>
          <w:sz w:val="16"/>
          <w:szCs w:val="16"/>
          <w:color w:val="auto"/>
        </w:rPr>
        <w:t>The acquisition was considered a business in accordance with EITF 98-3, “</w:t>
      </w:r>
      <w:r>
        <w:rPr>
          <w:rFonts w:ascii="Arial" w:cs="Arial" w:eastAsia="Arial" w:hAnsi="Arial"/>
          <w:sz w:val="16"/>
          <w:szCs w:val="16"/>
          <w:i w:val="1"/>
          <w:iCs w:val="1"/>
          <w:color w:val="auto"/>
        </w:rPr>
        <w:t>Determining Whether a Nonmonetary Transaction Involves Receipt of</w:t>
      </w:r>
      <w:r>
        <w:rPr>
          <w:rFonts w:ascii="Arial" w:cs="Arial" w:eastAsia="Arial" w:hAnsi="Arial"/>
          <w:sz w:val="16"/>
          <w:szCs w:val="16"/>
          <w:color w:val="auto"/>
        </w:rPr>
        <w:t xml:space="preserve"> </w:t>
      </w:r>
      <w:r>
        <w:rPr>
          <w:rFonts w:ascii="Arial" w:cs="Arial" w:eastAsia="Arial" w:hAnsi="Arial"/>
          <w:sz w:val="16"/>
          <w:szCs w:val="16"/>
          <w:i w:val="1"/>
          <w:iCs w:val="1"/>
          <w:color w:val="auto"/>
        </w:rPr>
        <w:t>Productive Assets or of a Business</w:t>
      </w:r>
      <w:r>
        <w:rPr>
          <w:rFonts w:ascii="Arial" w:cs="Arial" w:eastAsia="Arial" w:hAnsi="Arial"/>
          <w:sz w:val="16"/>
          <w:szCs w:val="16"/>
          <w:color w:val="auto"/>
        </w:rPr>
        <w:t>” (“EITF 98-3”), and the total cost of the acquisition was allocated to the assets acquired and liabilities assumed based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their estimated respective fair values, subject to adjustment, in accordance with FASB Statement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(“Statement</w:t>
      </w:r>
    </w:p>
    <w:p>
      <w:pPr>
        <w:ind w:left="260" w:right="80"/>
        <w:spacing w:after="0" w:line="261" w:lineRule="auto"/>
        <w:rPr>
          <w:rFonts w:ascii="Arial" w:cs="Arial" w:eastAsia="Arial" w:hAnsi="Arial"/>
          <w:sz w:val="15"/>
          <w:szCs w:val="15"/>
          <w:b w:val="1"/>
          <w:bCs w:val="1"/>
          <w:color w:val="auto"/>
        </w:rPr>
      </w:pPr>
      <w:r>
        <w:rPr>
          <w:rFonts w:ascii="Arial" w:cs="Arial" w:eastAsia="Arial" w:hAnsi="Arial"/>
          <w:sz w:val="18"/>
          <w:szCs w:val="18"/>
          <w:color w:val="auto"/>
        </w:rPr>
        <w:t>No. 141”). The acquisition was nontaxable and certain of the assets acquired, including goodwill and intangibles, are not expected to be deductible for tax purposes. The goodwill was assigned to our microwave communications segment.</w:t>
      </w:r>
    </w:p>
    <w:p>
      <w:pPr>
        <w:spacing w:after="0" w:line="89" w:lineRule="exact"/>
        <w:rPr>
          <w:rFonts w:ascii="Arial" w:cs="Arial" w:eastAsia="Arial" w:hAnsi="Arial"/>
          <w:sz w:val="15"/>
          <w:szCs w:val="15"/>
          <w:b w:val="1"/>
          <w:bCs w:val="1"/>
          <w:color w:val="auto"/>
        </w:rPr>
      </w:pPr>
    </w:p>
    <w:p>
      <w:pPr>
        <w:ind w:left="260"/>
        <w:spacing w:after="0"/>
        <w:rPr>
          <w:rFonts w:ascii="Arial" w:cs="Arial" w:eastAsia="Arial" w:hAnsi="Arial"/>
          <w:sz w:val="15"/>
          <w:szCs w:val="15"/>
          <w:b w:val="1"/>
          <w:bCs w:val="1"/>
          <w:color w:val="auto"/>
        </w:rPr>
      </w:pPr>
      <w:r>
        <w:rPr>
          <w:rFonts w:ascii="Arial" w:cs="Arial" w:eastAsia="Arial" w:hAnsi="Arial"/>
          <w:sz w:val="18"/>
          <w:szCs w:val="18"/>
          <w:color w:val="auto"/>
        </w:rPr>
        <w:t xml:space="preserve">The preliminary allocation of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4,344</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Fixed assets</w:t>
            </w: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Goodwill</w:t>
            </w:r>
          </w:p>
        </w:tc>
        <w:tc>
          <w:tcPr>
            <w:tcW w:w="4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10,505</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Liabilities assumed</w:t>
            </w: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(2,336)</w:t>
            </w:r>
          </w:p>
        </w:tc>
      </w:tr>
      <w:tr>
        <w:trPr>
          <w:trHeight w:val="27"/>
        </w:trPr>
        <w:tc>
          <w:tcPr>
            <w:tcW w:w="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assets acquired</w:t>
            </w:r>
          </w:p>
        </w:tc>
        <w:tc>
          <w:tcPr>
            <w:tcW w:w="4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220" w:right="560"/>
        <w:spacing w:after="0" w:line="312" w:lineRule="auto"/>
        <w:rPr>
          <w:sz w:val="20"/>
          <w:szCs w:val="20"/>
          <w:color w:val="auto"/>
        </w:rPr>
      </w:pPr>
      <w:r>
        <w:rPr>
          <w:rFonts w:ascii="Arial" w:cs="Arial" w:eastAsia="Arial" w:hAnsi="Arial"/>
          <w:sz w:val="16"/>
          <w:szCs w:val="16"/>
          <w:color w:val="auto"/>
        </w:rPr>
        <w:t>The purchase price allocation was based on management’s preliminary valuation and the estimates and assumptions used are subject to change. The primary areas of the purchase price allocation that are not yet finalized relate to deferred income taxes and residual goodwill. Amounts allocated to intangible assets are being amortized on a straight-line basis over their estimated useful lives currently estimated at four years.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29, 2007</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i w:val="1"/>
          <w:iCs w:val="1"/>
          <w:u w:val="single" w:color="auto"/>
          <w:color w:val="auto"/>
        </w:rPr>
        <w:t>Unigen Acquisition</w:t>
      </w:r>
    </w:p>
    <w:p>
      <w:pPr>
        <w:spacing w:after="0" w:line="131" w:lineRule="exact"/>
        <w:rPr>
          <w:sz w:val="20"/>
          <w:szCs w:val="20"/>
          <w:color w:val="auto"/>
        </w:rPr>
      </w:pPr>
    </w:p>
    <w:p>
      <w:pPr>
        <w:ind w:left="220" w:right="40"/>
        <w:spacing w:after="0" w:line="302" w:lineRule="auto"/>
        <w:rPr>
          <w:sz w:val="20"/>
          <w:szCs w:val="20"/>
          <w:color w:val="auto"/>
        </w:rPr>
      </w:pPr>
      <w:r>
        <w:rPr>
          <w:rFonts w:ascii="Arial" w:cs="Arial" w:eastAsia="Arial" w:hAnsi="Arial"/>
          <w:sz w:val="16"/>
          <w:szCs w:val="16"/>
          <w:color w:val="auto"/>
        </w:rPr>
        <w:t>On December 29, 2005, we entered into an exclusive, perpetual, irrevocable, world-wide, royalty-free license for certain patents with Unisys Corporation (“Unisys”) for a one-time cash payment of $5.0 million. On March 16, 2006, we purchased certain intellectual property, fixed assets, inventory and a customer contract of Unisys’ Unigen operation (“Unigen”). The results of Unigen’s operations have been included in our consolidated financial statements since that date. Unigen developed, manufactured and marketed advanced thermal solutions for use in semiconductor test and burn-in.</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Included in the assets we acquired were the patents licensed from Unisys in December 2005 and, as a result, these two transactions have been combined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for purposes of allocating the total purchase price to the assets acquired. The purchase price of this acquisition was approximately $17.2 million, and was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funded primarily by our cash reserves ($7.7 million), cash previously paid in December 2005 for the patent license and a deposit on the acquisition</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($5.3 million), other acquisition costs ($0.2 million) and certain Unigen liabilities assumed ($0.1 million). We also recorded a $4.0 million liability for</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amounts owed to Unisys for inventory we acquired. The acquisition was considered a business in accordance with EITF 98-3, and the total cost of the</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acquisition was allocated to the assets acquired and liabilities assumed based on their respective fair values in accordance with Statement No. 141. All</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assets are expected to be fully deductible for tax purposes. The goodwill was assigned to our semiconductor equipment segment.</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The allocation of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Fixed assets</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1,522</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Goodwill</w:t>
            </w:r>
          </w:p>
        </w:tc>
        <w:tc>
          <w:tcPr>
            <w:tcW w:w="4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17,307</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assets acquired</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17,165</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240"/>
        <w:spacing w:after="0" w:line="277" w:lineRule="auto"/>
        <w:rPr>
          <w:sz w:val="20"/>
          <w:szCs w:val="20"/>
          <w:color w:val="auto"/>
        </w:rPr>
      </w:pPr>
      <w:r>
        <w:rPr>
          <w:rFonts w:ascii="Arial" w:cs="Arial" w:eastAsia="Arial" w:hAnsi="Arial"/>
          <w:sz w:val="18"/>
          <w:szCs w:val="18"/>
          <w:color w:val="auto"/>
        </w:rPr>
        <w:t>Amounts allocated to intangible assets are being amortized on a straight-line basis over their estimated useful lives currently estimated at five years. Pro forma results of operations have not been presented because the effect of the acquisition was not material.</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 xml:space="preserve">Purchased intangible assets, subject to amortization,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color w:val="auto"/>
              </w:rPr>
              <w:t>September 29, 2007</w:t>
            </w: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color w:val="auto"/>
                <w:w w:val="97"/>
              </w:rPr>
              <w:t>December 30, 2006</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spacing w:after="0" w:line="123" w:lineRule="exact"/>
              <w:rPr>
                <w:sz w:val="20"/>
                <w:szCs w:val="20"/>
                <w:color w:val="auto"/>
              </w:rPr>
            </w:pPr>
            <w:r>
              <w:rPr>
                <w:rFonts w:ascii="Arial" w:cs="Arial" w:eastAsia="Arial" w:hAnsi="Arial"/>
                <w:sz w:val="14"/>
                <w:szCs w:val="14"/>
                <w:color w:val="auto"/>
                <w:w w:val="89"/>
              </w:rPr>
              <w:t>Gross Carrying</w:t>
            </w:r>
          </w:p>
        </w:tc>
        <w:tc>
          <w:tcPr>
            <w:tcW w:w="1740" w:type="dxa"/>
            <w:vAlign w:val="bottom"/>
            <w:gridSpan w:val="4"/>
          </w:tcPr>
          <w:p>
            <w:pPr>
              <w:jc w:val="right"/>
              <w:ind w:right="320"/>
              <w:spacing w:after="0" w:line="123" w:lineRule="exact"/>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0"/>
                <w:szCs w:val="10"/>
                <w:color w:val="auto"/>
              </w:rPr>
            </w:pPr>
          </w:p>
        </w:tc>
        <w:tc>
          <w:tcPr>
            <w:tcW w:w="1220" w:type="dxa"/>
            <w:vAlign w:val="bottom"/>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1080" w:type="dxa"/>
            <w:vAlign w:val="bottom"/>
            <w:gridSpan w:val="3"/>
          </w:tcPr>
          <w:p>
            <w:pPr>
              <w:ind w:left="320"/>
              <w:spacing w:after="0" w:line="123" w:lineRule="exact"/>
              <w:rPr>
                <w:sz w:val="20"/>
                <w:szCs w:val="20"/>
                <w:color w:val="auto"/>
              </w:rPr>
            </w:pPr>
            <w:r>
              <w:rPr>
                <w:rFonts w:ascii="Arial" w:cs="Arial" w:eastAsia="Arial" w:hAnsi="Arial"/>
                <w:sz w:val="14"/>
                <w:szCs w:val="14"/>
                <w:color w:val="auto"/>
                <w:w w:val="91"/>
              </w:rPr>
              <w:t>Accumulated</w:t>
            </w:r>
          </w:p>
        </w:tc>
        <w:tc>
          <w:tcPr>
            <w:tcW w:w="100" w:type="dxa"/>
            <w:vAlign w:val="bottom"/>
          </w:tcPr>
          <w:p>
            <w:pPr>
              <w:spacing w:after="0"/>
              <w:rPr>
                <w:sz w:val="10"/>
                <w:szCs w:val="10"/>
                <w:color w:val="auto"/>
              </w:rPr>
            </w:pPr>
          </w:p>
        </w:tc>
      </w:tr>
      <w:tr>
        <w:trPr>
          <w:trHeight w:val="174"/>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color w:val="auto"/>
              </w:rPr>
              <w:t>Amount</w:t>
            </w:r>
          </w:p>
        </w:tc>
        <w:tc>
          <w:tcPr>
            <w:tcW w:w="17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color w:val="auto"/>
              </w:rPr>
              <w:t>Amortization</w:t>
            </w: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color w:val="auto"/>
              </w:rPr>
              <w:t>Amount</w:t>
            </w:r>
          </w:p>
        </w:tc>
        <w:tc>
          <w:tcPr>
            <w:tcW w:w="11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color w:val="auto"/>
              </w:rPr>
              <w:t>Amortization</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Unigen technology</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9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2,162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7,020</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KryoTech technology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1,950</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1,568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AVS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11,160</w:t>
            </w:r>
          </w:p>
        </w:tc>
        <w:tc>
          <w:tcPr>
            <w:tcW w:w="6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right="480"/>
        <w:spacing w:after="0" w:line="257" w:lineRule="auto"/>
        <w:rPr>
          <w:sz w:val="20"/>
          <w:szCs w:val="20"/>
          <w:color w:val="auto"/>
        </w:rPr>
      </w:pPr>
      <w:r>
        <w:rPr>
          <w:rFonts w:ascii="Arial" w:cs="Arial" w:eastAsia="Arial" w:hAnsi="Arial"/>
          <w:sz w:val="18"/>
          <w:szCs w:val="18"/>
          <w:color w:val="auto"/>
        </w:rPr>
        <w:t>Amortization expense related to purchased intangible assets, noted above, was approximately $0.8 million in the third quarter of fiscal 2007, and approximately $1.8 million in the first nine months of fiscal 2007. Amortization expense related to purchased intangible assets was approximately $0.5 million in the third quarter of fiscal 2006, and approximately $1.2 million in the first nine months of fiscal 2006. As of September 29, 2007, we expect amortization expense in future periods, to be as follows: remainder of 2007 — $655,000; 2008 — $2,183,000; 2009 — $1,966,000; 2010 — $1,966,000; 2011 — $375,000.</w:t>
      </w:r>
    </w:p>
    <w:p>
      <w:pPr>
        <w:spacing w:after="0" w:line="21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Benefit Plans</w:t>
      </w:r>
    </w:p>
    <w:p>
      <w:pPr>
        <w:spacing w:after="0" w:line="130" w:lineRule="exact"/>
        <w:rPr>
          <w:rFonts w:ascii="Arial" w:cs="Arial" w:eastAsia="Arial" w:hAnsi="Arial"/>
          <w:sz w:val="18"/>
          <w:szCs w:val="18"/>
          <w:b w:val="1"/>
          <w:bCs w:val="1"/>
          <w:color w:val="auto"/>
        </w:rPr>
      </w:pPr>
    </w:p>
    <w:p>
      <w:pPr>
        <w:ind w:left="260" w:right="10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 The Cohu, Inc. 1997 Employee Stock Purchase Plan (“the Plan”) provides for the issuance of a maximum of</w:t>
      </w:r>
      <w:r>
        <w:rPr>
          <w:rFonts w:ascii="Arial" w:cs="Arial" w:eastAsia="Arial" w:hAnsi="Arial"/>
          <w:sz w:val="18"/>
          <w:szCs w:val="18"/>
          <w:b w:val="1"/>
          <w:bCs w:val="1"/>
          <w:color w:val="auto"/>
        </w:rPr>
        <w:t xml:space="preserve"> </w:t>
      </w:r>
      <w:r>
        <w:rPr>
          <w:rFonts w:ascii="Arial" w:cs="Arial" w:eastAsia="Arial" w:hAnsi="Arial"/>
          <w:sz w:val="18"/>
          <w:szCs w:val="18"/>
          <w:color w:val="auto"/>
        </w:rPr>
        <w:t>1,400,000 shares of our Common Stock. Under the Plan, eligible employees may purchase shares of common stock through payroll deductions. The price paid for the common stock is equal to 85% of the fair market value of our Common Stock on specified dates. At September 29, 2007, there were 647,265 shares available for issuance under the Plan.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29, 2007</w:t>
      </w:r>
    </w:p>
    <w:p>
      <w:pPr>
        <w:spacing w:after="0" w:line="99" w:lineRule="exact"/>
        <w:rPr>
          <w:sz w:val="20"/>
          <w:szCs w:val="20"/>
          <w:color w:val="auto"/>
        </w:rPr>
      </w:pPr>
    </w:p>
    <w:p>
      <w:pPr>
        <w:ind w:left="260" w:right="40"/>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Under our equity incentive plans, stock options may be granted to employees, consultants and directors to purchase a fixed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our Common Stock at prices not less than 100% of the fair market value at the date of grant. Options generally vest and become exercisable after one year or in four annual increments beginning one year after the grant date and expire five to ten years from the grant date. At September 29, 2007, 1,403,742 shares were available for future equity grants under the Cohu, Inc. 2005 Equity Incentive Plan. We have historically issued new shares of Cohu Common Stock upon share option exercise.</w:t>
      </w:r>
    </w:p>
    <w:p>
      <w:pPr>
        <w:spacing w:after="0" w:line="93" w:lineRule="exact"/>
        <w:rPr>
          <w:sz w:val="20"/>
          <w:szCs w:val="20"/>
          <w:color w:val="auto"/>
        </w:rPr>
      </w:pPr>
    </w:p>
    <w:p>
      <w:pPr>
        <w:ind w:left="260" w:right="700"/>
        <w:spacing w:after="0" w:line="342" w:lineRule="auto"/>
        <w:rPr>
          <w:sz w:val="20"/>
          <w:szCs w:val="20"/>
          <w:color w:val="auto"/>
        </w:rPr>
      </w:pPr>
      <w:r>
        <w:rPr>
          <w:rFonts w:ascii="Arial" w:cs="Arial" w:eastAsia="Arial" w:hAnsi="Arial"/>
          <w:sz w:val="16"/>
          <w:szCs w:val="16"/>
          <w:color w:val="auto"/>
        </w:rPr>
        <w:t>At September 29, 2007 we had 2,163,735 stock options outstanding. These options had a weighted-average exercise price of $16.02 per share, an aggregate intrinsic value of approximately $6.6 million and the weighted average remaining contractual term was approximately 5.6 years.</w:t>
      </w:r>
    </w:p>
    <w:p>
      <w:pPr>
        <w:spacing w:after="0" w:line="29" w:lineRule="exact"/>
        <w:rPr>
          <w:sz w:val="20"/>
          <w:szCs w:val="20"/>
          <w:color w:val="auto"/>
        </w:rPr>
      </w:pPr>
    </w:p>
    <w:p>
      <w:pPr>
        <w:jc w:val="both"/>
        <w:ind w:left="260" w:right="100"/>
        <w:spacing w:after="0" w:line="342" w:lineRule="auto"/>
        <w:rPr>
          <w:sz w:val="20"/>
          <w:szCs w:val="20"/>
          <w:color w:val="auto"/>
        </w:rPr>
      </w:pPr>
      <w:r>
        <w:rPr>
          <w:rFonts w:ascii="Arial" w:cs="Arial" w:eastAsia="Arial" w:hAnsi="Arial"/>
          <w:sz w:val="16"/>
          <w:szCs w:val="16"/>
          <w:color w:val="auto"/>
        </w:rPr>
        <w:t>At September 29, 2007 we had 1,521,983 stock options outstanding that were exercisable. These options had a weighted-average exercise price of $15.75 per share, an aggregate intrinsic value of approximately $5.1 million and the weighted average remaining contractual term was approximately 4.9 years.</w:t>
      </w:r>
    </w:p>
    <w:p>
      <w:pPr>
        <w:spacing w:after="0" w:line="25" w:lineRule="exact"/>
        <w:rPr>
          <w:sz w:val="20"/>
          <w:szCs w:val="20"/>
          <w:color w:val="auto"/>
        </w:rPr>
      </w:pPr>
    </w:p>
    <w:p>
      <w:pPr>
        <w:jc w:val="both"/>
        <w:ind w:left="260" w:right="120"/>
        <w:spacing w:after="0" w:line="261"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We issue restricted stock units to certain employees and directors. Restricted stock units vest over either a one-year or a four-year period from the date of grant. Prior to vesting, restricted stock units do not have dividend equivalent rights, do not have voting rights and the shares underlying the restricted stock units are not considered issued and outstanding. Shares of our common stock will be issued on the date the restricted stock units vest.</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At September 29, 2007 we had 180,813 restricted stock units outstanding with an aggregate intrinsic value of approximately $3.4 million.</w:t>
      </w:r>
    </w:p>
    <w:p>
      <w:pPr>
        <w:spacing w:after="0" w:line="248"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34" w:lineRule="exact"/>
        <w:rPr>
          <w:rFonts w:ascii="Arial" w:cs="Arial" w:eastAsia="Arial" w:hAnsi="Arial"/>
          <w:sz w:val="18"/>
          <w:szCs w:val="18"/>
          <w:b w:val="1"/>
          <w:bCs w:val="1"/>
          <w:color w:val="auto"/>
        </w:rPr>
      </w:pPr>
    </w:p>
    <w:p>
      <w:pPr>
        <w:ind w:left="2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Comprehensive income represents all non-owner changes in stockholders’ equity and consists of, on an after-tax basis where applicable, the following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3"/>
          </w:tcPr>
          <w:p>
            <w:pPr>
              <w:ind w:left="380"/>
              <w:spacing w:after="0"/>
              <w:rPr>
                <w:sz w:val="20"/>
                <w:szCs w:val="20"/>
                <w:color w:val="auto"/>
              </w:rPr>
            </w:pPr>
            <w:r>
              <w:rPr>
                <w:rFonts w:ascii="Arial" w:cs="Arial" w:eastAsia="Arial" w:hAnsi="Arial"/>
                <w:sz w:val="14"/>
                <w:szCs w:val="14"/>
                <w:color w:val="auto"/>
                <w:w w:val="89"/>
              </w:rPr>
              <w:t>Three months ended</w:t>
            </w: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4"/>
          </w:tcPr>
          <w:p>
            <w:pPr>
              <w:ind w:left="400"/>
              <w:spacing w:after="0"/>
              <w:rPr>
                <w:sz w:val="20"/>
                <w:szCs w:val="20"/>
                <w:color w:val="auto"/>
              </w:rPr>
            </w:pPr>
            <w:r>
              <w:rPr>
                <w:rFonts w:ascii="Arial" w:cs="Arial" w:eastAsia="Arial" w:hAnsi="Arial"/>
                <w:sz w:val="14"/>
                <w:szCs w:val="14"/>
                <w:color w:val="auto"/>
                <w:w w:val="92"/>
              </w:rPr>
              <w:t>Nine months ended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color w:val="auto"/>
              </w:rPr>
              <w:t>September 29,</w:t>
            </w: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rPr>
              <w:t>September 30,</w:t>
            </w:r>
          </w:p>
        </w:tc>
        <w:tc>
          <w:tcPr>
            <w:tcW w:w="148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September 29,</w:t>
            </w:r>
          </w:p>
        </w:tc>
        <w:tc>
          <w:tcPr>
            <w:tcW w:w="122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2007</w:t>
            </w:r>
          </w:p>
        </w:tc>
        <w:tc>
          <w:tcPr>
            <w:tcW w:w="6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83"/>
              </w:rPr>
              <w:t>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4,498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5,991</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80" w:type="dxa"/>
            <w:vAlign w:val="bottom"/>
          </w:tcPr>
          <w:p>
            <w:pPr>
              <w:spacing w:after="0"/>
              <w:rPr>
                <w:sz w:val="18"/>
                <w:szCs w:val="18"/>
                <w:color w:val="auto"/>
              </w:rPr>
            </w:pP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5,948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loss on investments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right="80"/>
        <w:spacing w:after="0" w:line="257" w:lineRule="auto"/>
        <w:rPr>
          <w:sz w:val="20"/>
          <w:szCs w:val="20"/>
          <w:color w:val="auto"/>
        </w:rPr>
      </w:pPr>
      <w:r>
        <w:rPr>
          <w:rFonts w:ascii="Arial" w:cs="Arial" w:eastAsia="Arial" w:hAnsi="Arial"/>
          <w:sz w:val="18"/>
          <w:szCs w:val="18"/>
          <w:color w:val="auto"/>
        </w:rPr>
        <w:t xml:space="preserve">Our accumulated other comprehensive loss totaled approximately $0.2 million and $0.4 million at September 29, 2007 and December 30, 2006, respectively, and was attributed to, net of income taxes, unrealized losses and gains on investments, adjustments resulting from the adoption of FASB Statement No. 158, </w:t>
      </w:r>
      <w:r>
        <w:rPr>
          <w:rFonts w:ascii="Arial" w:cs="Arial" w:eastAsia="Arial" w:hAnsi="Arial"/>
          <w:sz w:val="18"/>
          <w:szCs w:val="18"/>
          <w:i w:val="1"/>
          <w:iCs w:val="1"/>
          <w:color w:val="auto"/>
        </w:rPr>
        <w:t>Employers’ Accounting for Defined Benefit Pension and Other Postretirement Plans</w:t>
      </w:r>
      <w:r>
        <w:rPr>
          <w:rFonts w:ascii="Arial" w:cs="Arial" w:eastAsia="Arial" w:hAnsi="Arial"/>
          <w:sz w:val="18"/>
          <w:szCs w:val="18"/>
          <w:color w:val="auto"/>
        </w:rPr>
        <w:t>, (an amendment of FASB Statements No. 87, 88, 106, and 132R) and, beginning in the second quarter of fiscal 2007, foreign currency adjustments resulting from the translation of certain accounts into U.S. dollars where the functional currency is the Euro.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135" w:lineRule="exact"/>
        <w:rPr>
          <w:sz w:val="20"/>
          <w:szCs w:val="20"/>
          <w:color w:val="auto"/>
        </w:rPr>
      </w:pPr>
    </w:p>
    <w:p>
      <w:pPr>
        <w:ind w:left="260" w:right="40"/>
        <w:spacing w:after="0" w:line="255" w:lineRule="auto"/>
        <w:rPr>
          <w:sz w:val="20"/>
          <w:szCs w:val="20"/>
          <w:color w:val="auto"/>
        </w:rPr>
      </w:pPr>
      <w:r>
        <w:rPr>
          <w:rFonts w:ascii="Arial" w:cs="Arial" w:eastAsia="Arial" w:hAnsi="Arial"/>
          <w:sz w:val="18"/>
          <w:szCs w:val="18"/>
          <w:color w:val="auto"/>
        </w:rPr>
        <w:t>The income tax provision included in the statements of income for the three and nine months ended September 29, 2007 and September 30, 2006, is based on the estimated annual effective tax rate for the entire year. These estimated effective tax rates are subject to adjustment in subsequent quarterly periods as our estimates of pretax income for the year are increased or decreased. The effective tax rates of 34.6% and 33.2%, for the nine months ended September 29, 2007 and September 30, 2006, respectively, differ from the U.S. federal statutory rate primarily due to state taxes, research and development tax credits, foreign income taxed at lower rates and export sales and manufacturing activities tax benefits offset by the effects of Statement No. 123R that does not allow deferred tax benefits to be initially recognized on compensation expense related to incentive stock options and employee stock purchase plans.</w:t>
      </w:r>
    </w:p>
    <w:p>
      <w:pPr>
        <w:spacing w:after="0" w:line="95" w:lineRule="exact"/>
        <w:rPr>
          <w:sz w:val="20"/>
          <w:szCs w:val="20"/>
          <w:color w:val="auto"/>
        </w:rPr>
      </w:pPr>
    </w:p>
    <w:p>
      <w:pPr>
        <w:ind w:left="260" w:right="220"/>
        <w:spacing w:after="0" w:line="277" w:lineRule="auto"/>
        <w:rPr>
          <w:sz w:val="20"/>
          <w:szCs w:val="20"/>
          <w:color w:val="auto"/>
        </w:rPr>
      </w:pPr>
      <w:r>
        <w:rPr>
          <w:rFonts w:ascii="Arial" w:cs="Arial" w:eastAsia="Arial" w:hAnsi="Arial"/>
          <w:sz w:val="18"/>
          <w:szCs w:val="18"/>
          <w:color w:val="auto"/>
        </w:rPr>
        <w:t>We have derived significant tax benefits from export sales. As a result of the American Jobs Creation Act of 2004, the export sales benefit derived from the Extraterritorial Income Exclusion (“ETI”) was repealed subject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29, 2007</w:t>
      </w:r>
    </w:p>
    <w:p>
      <w:pPr>
        <w:spacing w:after="0" w:line="103" w:lineRule="exact"/>
        <w:rPr>
          <w:sz w:val="20"/>
          <w:szCs w:val="20"/>
          <w:color w:val="auto"/>
        </w:rPr>
      </w:pPr>
    </w:p>
    <w:p>
      <w:pPr>
        <w:ind w:left="260"/>
        <w:spacing w:after="0" w:line="264" w:lineRule="auto"/>
        <w:rPr>
          <w:sz w:val="20"/>
          <w:szCs w:val="20"/>
          <w:color w:val="auto"/>
        </w:rPr>
      </w:pPr>
      <w:r>
        <w:rPr>
          <w:rFonts w:ascii="Arial" w:cs="Arial" w:eastAsia="Arial" w:hAnsi="Arial"/>
          <w:sz w:val="18"/>
          <w:szCs w:val="18"/>
          <w:color w:val="auto"/>
        </w:rPr>
        <w:t>to a phase-out that limited the full tax benefit to 60% in 2006 with no benefit in 2007 and subsequent years. The ETI benefit was replaced with a deduction for domestic manufacturing activities subject to a phase-in beginning in 2005. The tax benefits we derive from the domestic manufacturing deduction are less than those from ETI.</w:t>
      </w:r>
    </w:p>
    <w:p>
      <w:pPr>
        <w:spacing w:after="0" w:line="87" w:lineRule="exact"/>
        <w:rPr>
          <w:sz w:val="20"/>
          <w:szCs w:val="20"/>
          <w:color w:val="auto"/>
        </w:rPr>
      </w:pPr>
    </w:p>
    <w:p>
      <w:pPr>
        <w:ind w:left="260" w:right="100"/>
        <w:spacing w:after="0" w:line="259" w:lineRule="auto"/>
        <w:rPr>
          <w:sz w:val="20"/>
          <w:szCs w:val="20"/>
          <w:color w:val="auto"/>
        </w:rPr>
      </w:pPr>
      <w:r>
        <w:rPr>
          <w:rFonts w:ascii="Arial" w:cs="Arial" w:eastAsia="Arial" w:hAnsi="Arial"/>
          <w:sz w:val="18"/>
          <w:szCs w:val="18"/>
          <w:color w:val="auto"/>
        </w:rPr>
        <w:t xml:space="preserve">We adopted the provisions of FASB Interpretation No. 48, </w:t>
      </w:r>
      <w:r>
        <w:rPr>
          <w:rFonts w:ascii="Arial" w:cs="Arial" w:eastAsia="Arial" w:hAnsi="Arial"/>
          <w:sz w:val="18"/>
          <w:szCs w:val="18"/>
          <w:i w:val="1"/>
          <w:iCs w:val="1"/>
          <w:color w:val="auto"/>
        </w:rPr>
        <w:t>Accounting for Uncertainty in Income Taxes — an interpretation of FASB Statement No.109</w:t>
      </w:r>
      <w:r>
        <w:rPr>
          <w:rFonts w:ascii="Arial" w:cs="Arial" w:eastAsia="Arial" w:hAnsi="Arial"/>
          <w:sz w:val="18"/>
          <w:szCs w:val="18"/>
          <w:color w:val="auto"/>
        </w:rPr>
        <w:t>, (“FIN 48”) on December 31, 2006, the first day of our 2007 fiscal year. As a result of the adoption of FIN 48, we recognized a decrease in the liability for unrecognized tax benefits of approximately $423,000, a decrease in deferred tax assets of approximately $381,000 and a corresponding increase in the December 31, 2006 balance of retained earnings of approximately $42,000.</w:t>
      </w:r>
    </w:p>
    <w:p>
      <w:pPr>
        <w:spacing w:after="0" w:line="92" w:lineRule="exact"/>
        <w:rPr>
          <w:sz w:val="20"/>
          <w:szCs w:val="20"/>
          <w:color w:val="auto"/>
        </w:rPr>
      </w:pPr>
    </w:p>
    <w:p>
      <w:pPr>
        <w:jc w:val="both"/>
        <w:ind w:left="260"/>
        <w:spacing w:after="0" w:line="264" w:lineRule="auto"/>
        <w:rPr>
          <w:sz w:val="20"/>
          <w:szCs w:val="20"/>
          <w:color w:val="auto"/>
        </w:rPr>
      </w:pPr>
      <w:r>
        <w:rPr>
          <w:rFonts w:ascii="Arial" w:cs="Arial" w:eastAsia="Arial" w:hAnsi="Arial"/>
          <w:sz w:val="18"/>
          <w:szCs w:val="18"/>
          <w:color w:val="auto"/>
        </w:rPr>
        <w:t>Our unrecognized tax benefits, excluding accrued interest, totaled approximately $3.7 million at December 31, 2006. If these unrecognized tax benefits are ultimately recognized, this amount, less the related federal benefit for state items of approximately $0.7 million, would result in a reduction in our income tax expense and effective tax rate.</w:t>
      </w:r>
    </w:p>
    <w:p>
      <w:pPr>
        <w:spacing w:after="0" w:line="87" w:lineRule="exact"/>
        <w:rPr>
          <w:sz w:val="20"/>
          <w:szCs w:val="20"/>
          <w:color w:val="auto"/>
        </w:rPr>
      </w:pPr>
    </w:p>
    <w:p>
      <w:pPr>
        <w:ind w:left="260" w:right="180"/>
        <w:spacing w:after="0" w:line="264" w:lineRule="auto"/>
        <w:rPr>
          <w:sz w:val="20"/>
          <w:szCs w:val="20"/>
          <w:color w:val="auto"/>
        </w:rPr>
      </w:pPr>
      <w:r>
        <w:rPr>
          <w:rFonts w:ascii="Arial" w:cs="Arial" w:eastAsia="Arial" w:hAnsi="Arial"/>
          <w:sz w:val="18"/>
          <w:szCs w:val="18"/>
          <w:color w:val="auto"/>
        </w:rPr>
        <w:t>We recognize interest accrued related to unrecognized tax benefits in income tax expense. Cohu had approximately $200,000 accrued for the payment of accrued interest at December 31, 2006. Interest expense accrued in the third quarter and nine months ended September 29, 2007 was approximately $84,000 and $180,000, respectively.</w:t>
      </w:r>
    </w:p>
    <w:p>
      <w:pPr>
        <w:spacing w:after="0" w:line="8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Internal Revenue Service (“IRS”) has examined our income tax returns through 2002, and the California Franchise Tax Board through 1999.</w:t>
      </w:r>
    </w:p>
    <w:p>
      <w:pPr>
        <w:spacing w:after="0" w:line="26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Industry Segments</w:t>
      </w:r>
    </w:p>
    <w:p>
      <w:pPr>
        <w:spacing w:after="0" w:line="134" w:lineRule="exact"/>
        <w:rPr>
          <w:rFonts w:ascii="Arial" w:cs="Arial" w:eastAsia="Arial" w:hAnsi="Arial"/>
          <w:sz w:val="18"/>
          <w:szCs w:val="18"/>
          <w:b w:val="1"/>
          <w:bCs w:val="1"/>
          <w:color w:val="auto"/>
        </w:rPr>
      </w:pPr>
    </w:p>
    <w:p>
      <w:pPr>
        <w:ind w:left="260" w:right="1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We have three reportable segments as defined by FASB Statement No.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As discussed in Note 2, in May, 2006, we sold substantially all the assets of FRL, which comprised our metal detection equipment segment, and have presented financial information for this segment as discontinued operations. Our reportable segments are business units that offer different products and are managed separately because each business requires different technology and marketing strategies.</w:t>
      </w:r>
    </w:p>
    <w:p>
      <w:pPr>
        <w:spacing w:after="0" w:line="76" w:lineRule="exact"/>
        <w:rPr>
          <w:rFonts w:ascii="Arial" w:cs="Arial" w:eastAsia="Arial" w:hAnsi="Arial"/>
          <w:sz w:val="18"/>
          <w:szCs w:val="18"/>
          <w:b w:val="1"/>
          <w:bCs w:val="1"/>
          <w:color w:val="auto"/>
        </w:rPr>
      </w:pPr>
    </w:p>
    <w:p>
      <w:pPr>
        <w:ind w:left="26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allocate resources and evaluate the performance of segments based on profit or loss from operations, excluding interest, corporate expenses and unusual gains or losses. Intersegment sales were not significant for any period.</w:t>
      </w:r>
    </w:p>
    <w:p>
      <w:pPr>
        <w:spacing w:after="0" w:line="75"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 xml:space="preserve">Financial information by industry segment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tcPr>
          <w:p>
            <w:pPr>
              <w:ind w:left="360"/>
              <w:spacing w:after="0"/>
              <w:rPr>
                <w:sz w:val="20"/>
                <w:szCs w:val="20"/>
                <w:color w:val="auto"/>
              </w:rPr>
            </w:pPr>
            <w:r>
              <w:rPr>
                <w:rFonts w:ascii="Arial" w:cs="Arial" w:eastAsia="Arial" w:hAnsi="Arial"/>
                <w:sz w:val="14"/>
                <w:szCs w:val="14"/>
                <w:color w:val="auto"/>
                <w:w w:val="89"/>
              </w:rPr>
              <w:t>Three months ended</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6"/>
          </w:tcPr>
          <w:p>
            <w:pPr>
              <w:jc w:val="right"/>
              <w:ind w:right="6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2220" w:type="dxa"/>
            <w:vAlign w:val="bottom"/>
            <w:gridSpan w:val="4"/>
          </w:tcPr>
          <w:p>
            <w:pPr>
              <w:ind w:left="760"/>
              <w:spacing w:after="0" w:line="149" w:lineRule="exact"/>
              <w:rPr>
                <w:sz w:val="20"/>
                <w:szCs w:val="20"/>
                <w:color w:val="auto"/>
              </w:rPr>
            </w:pPr>
            <w:r>
              <w:rPr>
                <w:rFonts w:ascii="Arial" w:cs="Arial" w:eastAsia="Arial" w:hAnsi="Arial"/>
                <w:sz w:val="14"/>
                <w:szCs w:val="14"/>
                <w:color w:val="auto"/>
              </w:rPr>
              <w:t>September 29,</w:t>
            </w:r>
          </w:p>
        </w:tc>
        <w:tc>
          <w:tcPr>
            <w:tcW w:w="1440" w:type="dxa"/>
            <w:vAlign w:val="bottom"/>
            <w:gridSpan w:val="3"/>
          </w:tcPr>
          <w:p>
            <w:pPr>
              <w:spacing w:after="0" w:line="149" w:lineRule="exact"/>
              <w:rPr>
                <w:sz w:val="20"/>
                <w:szCs w:val="20"/>
                <w:color w:val="auto"/>
              </w:rPr>
            </w:pPr>
            <w:r>
              <w:rPr>
                <w:rFonts w:ascii="Arial" w:cs="Arial" w:eastAsia="Arial" w:hAnsi="Arial"/>
                <w:sz w:val="14"/>
                <w:szCs w:val="14"/>
                <w:color w:val="auto"/>
              </w:rPr>
              <w:t>September 30,</w:t>
            </w: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rPr>
              <w:t>September 29,</w:t>
            </w:r>
          </w:p>
        </w:tc>
        <w:tc>
          <w:tcPr>
            <w:tcW w:w="122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5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2007</w:t>
            </w: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83"/>
              </w:rPr>
              <w:t>2006</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2007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Net sales by segment:</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56,275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55,894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156,830</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160,001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Television cameras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5,321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12,039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13,566</w:t>
            </w:r>
          </w:p>
        </w:tc>
        <w:tc>
          <w:tcPr>
            <w:tcW w:w="0" w:type="dxa"/>
            <w:vAlign w:val="bottom"/>
          </w:tcPr>
          <w:p>
            <w:pPr>
              <w:spacing w:after="0"/>
              <w:rPr>
                <w:sz w:val="1"/>
                <w:szCs w:val="1"/>
                <w:color w:val="auto"/>
              </w:rPr>
            </w:pPr>
          </w:p>
        </w:tc>
      </w:tr>
      <w:tr>
        <w:trPr>
          <w:trHeight w:val="223"/>
        </w:trPr>
        <w:tc>
          <w:tcPr>
            <w:tcW w:w="5360" w:type="dxa"/>
            <w:vAlign w:val="bottom"/>
          </w:tcPr>
          <w:p>
            <w:pPr>
              <w:ind w:left="220"/>
              <w:spacing w:after="0"/>
              <w:rPr>
                <w:sz w:val="20"/>
                <w:szCs w:val="20"/>
                <w:color w:val="auto"/>
              </w:rPr>
            </w:pPr>
            <w:r>
              <w:rPr>
                <w:rFonts w:ascii="Arial" w:cs="Arial" w:eastAsia="Arial" w:hAnsi="Arial"/>
                <w:sz w:val="18"/>
                <w:szCs w:val="18"/>
                <w:color w:val="auto"/>
              </w:rPr>
              <w:t>Microwave communications</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13,572</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2"/>
              </w:rPr>
              <w:t>Total consolidated net sales and net sales for reportable segments</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64,490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74,787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184,265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193,499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i w:val="1"/>
                <w:iCs w:val="1"/>
                <w:color w:val="auto"/>
              </w:rPr>
              <w:t>Segment profit (loss):</w:t>
            </w: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Semiconductor equipment</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9,340</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14,241</w:t>
            </w: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Television cameras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(576)</w:t>
            </w:r>
          </w:p>
        </w:tc>
        <w:tc>
          <w:tcPr>
            <w:tcW w:w="26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237</w:t>
            </w: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(1,798)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(1,584)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1,460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3"/>
        </w:trPr>
        <w:tc>
          <w:tcPr>
            <w:tcW w:w="5360" w:type="dxa"/>
            <w:vAlign w:val="bottom"/>
          </w:tcPr>
          <w:p>
            <w:pPr>
              <w:ind w:left="420"/>
              <w:spacing w:after="0"/>
              <w:rPr>
                <w:sz w:val="20"/>
                <w:szCs w:val="20"/>
                <w:color w:val="auto"/>
              </w:rPr>
            </w:pPr>
            <w:r>
              <w:rPr>
                <w:rFonts w:ascii="Arial" w:cs="Arial" w:eastAsia="Arial" w:hAnsi="Arial"/>
                <w:sz w:val="18"/>
                <w:szCs w:val="18"/>
                <w:color w:val="auto"/>
              </w:rPr>
              <w:t>Profit for reportable segments</w:t>
            </w:r>
          </w:p>
        </w:tc>
        <w:tc>
          <w:tcPr>
            <w:tcW w:w="7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1,937</w:t>
            </w:r>
          </w:p>
        </w:tc>
        <w:tc>
          <w:tcPr>
            <w:tcW w:w="6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5,901</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Gain on sale of facilities</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2,963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expenses</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(1,209)</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23"/>
        </w:trPr>
        <w:tc>
          <w:tcPr>
            <w:tcW w:w="536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w:t>
            </w:r>
          </w:p>
        </w:tc>
        <w:tc>
          <w:tcPr>
            <w:tcW w:w="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before income taxes</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9,154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760" w:type="dxa"/>
            <w:vAlign w:val="bottom"/>
            <w:vMerge w:val="restart"/>
          </w:tcPr>
          <w:p>
            <w:pPr>
              <w:ind w:left="26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36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3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29, 2007</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160" w:type="dxa"/>
            <w:vAlign w:val="bottom"/>
            <w:gridSpan w:val="5"/>
          </w:tcPr>
          <w:p>
            <w:pPr>
              <w:spacing w:after="0"/>
              <w:rPr>
                <w:sz w:val="20"/>
                <w:szCs w:val="20"/>
                <w:color w:val="auto"/>
              </w:rPr>
            </w:pPr>
            <w:r>
              <w:rPr>
                <w:rFonts w:ascii="Arial" w:cs="Arial" w:eastAsia="Arial" w:hAnsi="Arial"/>
                <w:sz w:val="14"/>
                <w:szCs w:val="14"/>
                <w:color w:val="auto"/>
              </w:rPr>
              <w:t>September 29,</w:t>
            </w: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30,</w:t>
            </w:r>
          </w:p>
        </w:tc>
      </w:tr>
      <w:tr>
        <w:trPr>
          <w:trHeight w:val="167"/>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4"/>
                <w:szCs w:val="14"/>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assets by segment (in thousands):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115,337</w:t>
            </w:r>
          </w:p>
        </w:tc>
        <w:tc>
          <w:tcPr>
            <w:tcW w:w="320" w:type="dxa"/>
            <w:vAlign w:val="bottom"/>
          </w:tcPr>
          <w:p>
            <w:pPr>
              <w:spacing w:after="0"/>
              <w:rPr>
                <w:sz w:val="18"/>
                <w:szCs w:val="18"/>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128,609</w:t>
            </w: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Television cameras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9,202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10,537</w:t>
            </w:r>
          </w:p>
        </w:tc>
      </w:tr>
      <w:tr>
        <w:trPr>
          <w:trHeight w:val="223"/>
        </w:trPr>
        <w:tc>
          <w:tcPr>
            <w:tcW w:w="9020" w:type="dxa"/>
            <w:vAlign w:val="bottom"/>
          </w:tcPr>
          <w:p>
            <w:pPr>
              <w:ind w:left="220"/>
              <w:spacing w:after="0"/>
              <w:rPr>
                <w:sz w:val="20"/>
                <w:szCs w:val="20"/>
                <w:color w:val="auto"/>
              </w:rPr>
            </w:pPr>
            <w:r>
              <w:rPr>
                <w:rFonts w:ascii="Arial" w:cs="Arial" w:eastAsia="Arial" w:hAnsi="Arial"/>
                <w:sz w:val="18"/>
                <w:szCs w:val="18"/>
                <w:color w:val="auto"/>
              </w:rPr>
              <w:t>Microwave communications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26,928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12,239</w:t>
            </w:r>
          </w:p>
        </w:tc>
        <w:tc>
          <w:tcPr>
            <w:tcW w:w="100" w:type="dxa"/>
            <w:vAlign w:val="bottom"/>
          </w:tcPr>
          <w:p>
            <w:pPr>
              <w:spacing w:after="0"/>
              <w:rPr>
                <w:sz w:val="19"/>
                <w:szCs w:val="19"/>
                <w:color w:val="auto"/>
              </w:rPr>
            </w:pPr>
          </w:p>
        </w:tc>
      </w:tr>
      <w:tr>
        <w:trPr>
          <w:trHeight w:val="216"/>
        </w:trPr>
        <w:tc>
          <w:tcPr>
            <w:tcW w:w="9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 for reportable segments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151,467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151,385</w:t>
            </w:r>
          </w:p>
        </w:tc>
      </w:tr>
      <w:tr>
        <w:trPr>
          <w:trHeight w:val="216"/>
        </w:trPr>
        <w:tc>
          <w:tcPr>
            <w:tcW w:w="9020" w:type="dxa"/>
            <w:vAlign w:val="bottom"/>
          </w:tcPr>
          <w:p>
            <w:pPr>
              <w:ind w:left="220"/>
              <w:spacing w:after="0"/>
              <w:rPr>
                <w:sz w:val="20"/>
                <w:szCs w:val="20"/>
                <w:color w:val="auto"/>
              </w:rPr>
            </w:pPr>
            <w:r>
              <w:rPr>
                <w:rFonts w:ascii="Arial" w:cs="Arial" w:eastAsia="Arial" w:hAnsi="Arial"/>
                <w:sz w:val="18"/>
                <w:szCs w:val="18"/>
                <w:color w:val="auto"/>
              </w:rPr>
              <w:t>Corporate, principally cash and investments and deferred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176,979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173,802</w:t>
            </w:r>
          </w:p>
        </w:tc>
      </w:tr>
      <w:tr>
        <w:trPr>
          <w:trHeight w:val="216"/>
        </w:trPr>
        <w:tc>
          <w:tcPr>
            <w:tcW w:w="9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r>
      <w:tr>
        <w:trPr>
          <w:trHeight w:val="223"/>
        </w:trPr>
        <w:tc>
          <w:tcPr>
            <w:tcW w:w="9020" w:type="dxa"/>
            <w:vAlign w:val="bottom"/>
          </w:tcPr>
          <w:p>
            <w:pPr>
              <w:ind w:left="420"/>
              <w:spacing w:after="0"/>
              <w:rPr>
                <w:sz w:val="20"/>
                <w:szCs w:val="20"/>
                <w:color w:val="auto"/>
              </w:rPr>
            </w:pPr>
            <w:r>
              <w:rPr>
                <w:rFonts w:ascii="Arial" w:cs="Arial" w:eastAsia="Arial" w:hAnsi="Arial"/>
                <w:sz w:val="18"/>
                <w:szCs w:val="18"/>
                <w:color w:val="auto"/>
              </w:rPr>
              <w:t>Total consolidated assets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328,944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326,339</w:t>
            </w:r>
          </w:p>
        </w:tc>
        <w:tc>
          <w:tcPr>
            <w:tcW w:w="1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60" w:right="60"/>
        <w:spacing w:after="0" w:line="259" w:lineRule="auto"/>
        <w:rPr>
          <w:sz w:val="20"/>
          <w:szCs w:val="20"/>
          <w:color w:val="auto"/>
        </w:rPr>
      </w:pPr>
      <w:r>
        <w:rPr>
          <w:rFonts w:ascii="Arial" w:cs="Arial" w:eastAsia="Arial" w:hAnsi="Arial"/>
          <w:sz w:val="18"/>
          <w:szCs w:val="18"/>
          <w:color w:val="auto"/>
        </w:rPr>
        <w:t>A small number of customers historically have been responsible for a significant portion of our consolidated net sales. Three customers of the semiconductor equipment segment accounted for 69% and 65% of our consolidated net sales for the third quarter and first nine months of fiscal 2007, respectively. Three customers of the semiconductor equipment segment accounted for 59% and 62% of our consolidated net sales for the third quarter and first nine months of fiscal 2006, respectively.</w:t>
      </w:r>
    </w:p>
    <w:p>
      <w:pPr>
        <w:spacing w:after="0" w:line="210"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34" w:lineRule="exact"/>
        <w:rPr>
          <w:rFonts w:ascii="Arial" w:cs="Arial" w:eastAsia="Arial" w:hAnsi="Arial"/>
          <w:sz w:val="18"/>
          <w:szCs w:val="18"/>
          <w:b w:val="1"/>
          <w:bCs w:val="1"/>
          <w:color w:val="auto"/>
        </w:rPr>
      </w:pPr>
    </w:p>
    <w:p>
      <w:pPr>
        <w:ind w:left="2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We previously disclosed in our Form 10-Q for the quarter ended June 30, 2007 that in May, 2007 our Broadcast Microwave Services subsidiary (“BMS”) received a subpoena from a grand jury seated in the Southern District of California, requesting the production of certain documents related to BMS’ export of microwave communications equipment. BMS has produced documents responsive to the request and is fully cooperating. BMS has not been informed that it is a target of an investigation, and its status is currently unknown. Consequently, as of the date of this report, it is premature to assess whether this matter will have any impact on the BMS business or results of operations.</w:t>
      </w:r>
    </w:p>
    <w:p>
      <w:pPr>
        <w:spacing w:after="0" w:line="93" w:lineRule="exact"/>
        <w:rPr>
          <w:rFonts w:ascii="Arial" w:cs="Arial" w:eastAsia="Arial" w:hAnsi="Arial"/>
          <w:sz w:val="18"/>
          <w:szCs w:val="18"/>
          <w:b w:val="1"/>
          <w:bCs w:val="1"/>
          <w:color w:val="auto"/>
        </w:rPr>
      </w:pPr>
    </w:p>
    <w:p>
      <w:pPr>
        <w:ind w:left="260" w:right="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addition to the above matter, from time-to-time we are involved in various legal proceedings,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our operations.</w:t>
      </w:r>
    </w:p>
    <w:p>
      <w:pPr>
        <w:spacing w:after="0" w:line="169" w:lineRule="exact"/>
        <w:rPr>
          <w:rFonts w:ascii="Arial" w:cs="Arial" w:eastAsia="Arial" w:hAnsi="Arial"/>
          <w:sz w:val="18"/>
          <w:szCs w:val="18"/>
          <w:b w:val="1"/>
          <w:bCs w:val="1"/>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134" w:lineRule="exact"/>
        <w:rPr>
          <w:rFonts w:ascii="Arial" w:cs="Arial" w:eastAsia="Arial" w:hAnsi="Arial"/>
          <w:sz w:val="18"/>
          <w:szCs w:val="18"/>
          <w:b w:val="1"/>
          <w:bCs w:val="1"/>
          <w:color w:val="auto"/>
        </w:rPr>
      </w:pPr>
    </w:p>
    <w:p>
      <w:pPr>
        <w:ind w:left="260"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Our products are generally sold with a 12-month to 36-month warranty period following sale or installation. Parts and labor are covered under the terms of the warranty agreement. The warranty provision is based on historical and projected experience by product and configuration.</w:t>
      </w:r>
    </w:p>
    <w:p>
      <w:pPr>
        <w:spacing w:after="0" w:line="51" w:lineRule="exact"/>
        <w:rPr>
          <w:rFonts w:ascii="Arial" w:cs="Arial" w:eastAsia="Arial" w:hAnsi="Arial"/>
          <w:sz w:val="18"/>
          <w:szCs w:val="18"/>
          <w:b w:val="1"/>
          <w:bCs w:val="1"/>
          <w:color w:val="auto"/>
        </w:rPr>
      </w:pPr>
    </w:p>
    <w:p>
      <w:pPr>
        <w:ind w:left="26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Changes in accrued warranty during the third quarter of fiscal 2007 and 2006 and the first nine months of fiscal 2007 and 2006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3"/>
          </w:tcPr>
          <w:p>
            <w:pPr>
              <w:ind w:left="380"/>
              <w:spacing w:after="0"/>
              <w:rPr>
                <w:sz w:val="20"/>
                <w:szCs w:val="20"/>
                <w:color w:val="auto"/>
              </w:rPr>
            </w:pPr>
            <w:r>
              <w:rPr>
                <w:rFonts w:ascii="Arial" w:cs="Arial" w:eastAsia="Arial" w:hAnsi="Arial"/>
                <w:sz w:val="14"/>
                <w:szCs w:val="14"/>
                <w:color w:val="auto"/>
                <w:w w:val="88"/>
              </w:rPr>
              <w:t>Three months ended</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4"/>
          </w:tcPr>
          <w:p>
            <w:pPr>
              <w:ind w:left="400"/>
              <w:spacing w:after="0"/>
              <w:rPr>
                <w:sz w:val="20"/>
                <w:szCs w:val="20"/>
                <w:color w:val="auto"/>
              </w:rPr>
            </w:pPr>
            <w:r>
              <w:rPr>
                <w:rFonts w:ascii="Arial" w:cs="Arial" w:eastAsia="Arial" w:hAnsi="Arial"/>
                <w:sz w:val="14"/>
                <w:szCs w:val="14"/>
                <w:color w:val="auto"/>
                <w:w w:val="92"/>
              </w:rPr>
              <w:t>Nine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400" w:type="dxa"/>
            <w:vAlign w:val="bottom"/>
            <w:gridSpan w:val="4"/>
          </w:tcPr>
          <w:p>
            <w:pPr>
              <w:ind w:left="1940"/>
              <w:spacing w:after="0" w:line="149" w:lineRule="exact"/>
              <w:rPr>
                <w:sz w:val="20"/>
                <w:szCs w:val="20"/>
                <w:color w:val="auto"/>
              </w:rPr>
            </w:pPr>
            <w:r>
              <w:rPr>
                <w:rFonts w:ascii="Arial" w:cs="Arial" w:eastAsia="Arial" w:hAnsi="Arial"/>
                <w:sz w:val="14"/>
                <w:szCs w:val="14"/>
                <w:color w:val="auto"/>
              </w:rPr>
              <w:t>September 29,</w:t>
            </w: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rPr>
              <w:t>September 30,</w:t>
            </w:r>
          </w:p>
        </w:tc>
        <w:tc>
          <w:tcPr>
            <w:tcW w:w="148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September 29,</w:t>
            </w:r>
          </w:p>
        </w:tc>
        <w:tc>
          <w:tcPr>
            <w:tcW w:w="1220" w:type="dxa"/>
            <w:vAlign w:val="bottom"/>
            <w:gridSpan w:val="4"/>
          </w:tcPr>
          <w:p>
            <w:pPr>
              <w:ind w:left="280"/>
              <w:spacing w:after="0" w:line="149" w:lineRule="exact"/>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color w:val="auto"/>
              </w:rPr>
              <w:t>2007</w:t>
            </w: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89"/>
              </w:rPr>
              <w:t>2006</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2007</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6,661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6,310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8,118</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Warranty expense accruals</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1,984</w:t>
            </w:r>
          </w:p>
        </w:tc>
        <w:tc>
          <w:tcPr>
            <w:tcW w:w="2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2,518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5,201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1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(2,865)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(7,689)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Warranty liability assumed</w:t>
            </w: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120" w:type="dxa"/>
            <w:vAlign w:val="bottom"/>
            <w:gridSpan w:val="2"/>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5,780</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6,364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5,780</w:t>
            </w:r>
          </w:p>
        </w:tc>
        <w:tc>
          <w:tcPr>
            <w:tcW w:w="5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right="80"/>
        <w:spacing w:after="0" w:line="257" w:lineRule="auto"/>
        <w:rPr>
          <w:sz w:val="20"/>
          <w:szCs w:val="20"/>
          <w:color w:val="auto"/>
        </w:rPr>
      </w:pPr>
      <w:r>
        <w:rPr>
          <w:rFonts w:ascii="Arial" w:cs="Arial" w:eastAsia="Arial" w:hAnsi="Arial"/>
          <w:sz w:val="18"/>
          <w:szCs w:val="18"/>
          <w:color w:val="auto"/>
        </w:rPr>
        <w:t>From time-to-time, during the ordinary course of business, we provide standby letters of credit to certain parties. As of September 29, 2007, the maximum potential amount of future payments that Cohu could be required to make under these standby letters of credit is approximately $1.3 million. We have not recorded any liability in connection with these guarantee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29, 2007</w:t>
      </w:r>
    </w:p>
    <w:p>
      <w:pPr>
        <w:spacing w:after="0" w:line="9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Transaction</w:t>
      </w:r>
    </w:p>
    <w:p>
      <w:pPr>
        <w:spacing w:after="0" w:line="134"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May 5, 2006, we completed the sale of the land and building previously used by our operations in Littleton, Massachusetts to FPK Realty, LLC. The property was sold for $6.5 million in cash, less related costs, resulting in a net pretax gain of approximately $3.0 million.</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29, 2007</w:t>
      </w:r>
    </w:p>
    <w:p>
      <w:pPr>
        <w:spacing w:after="0" w:line="103"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management’s current expectations and beliefs, including estimates and projections about our industries and include, but are not limited to, statements concerning financial position, business strategy, and plans or objectives for future operations. Forward-looking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Quarterly Report on Form 10-Q and our 2006 Annual Report on Form 10-K under the heading “Item 1A. Risk Factors”. The forward-looking statements in this report speak only as of the time they are made, and do not necessarily reflect management’s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primary business activity involves the development, manufacture, marketing, sale and servicing of test handling and burn-in related equipment and thermal sub-systems for the global semiconductor industry. This business is significantly dependent on capital expenditures by semiconductor manufacturers and test subcontractors, which in turn are dependent on the current and anticipated market demand for semiconductors that are subject to significant cyclical changes in demand. Changes in the semiconductor, electronics, computer and telecommunications industries, as well as rapidly shifting global economic conditions, have had and will continue to have a significant impact on our businesses.</w:t>
      </w:r>
    </w:p>
    <w:p>
      <w:pPr>
        <w:spacing w:after="0" w:line="6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Orders for semiconductor equipment declined during both the fourth quarter of fiscal 2006 and the first quarter of fiscal 2007, reflecting a continuation of the general softness in the back-end semiconductor equipment industry that began in late 2006. While orders for semiconductor equipment increased 38.7% ($14.7 million) in the second quarter of fiscal 2007, compared to the first quarter of fiscal 2007, such orders decreased 20.7% ($10.9 million) in the third quarter of fiscal 2007, compared to the second quarter of fiscal 2007. We have continued to see a significant decrease in demand for our thermal handlers that has been only partially offset by increased orders for our burn-in related thermal sub-system products. Based on current customer forecasts we do not expect any significant improvement in near term demand for test handlers and we expect this product mix trend to continue. Our burn-in related thermal sub-system products have significantly lower gross margins than our thermal test handlers. As a result of this shift in product mix, compared to fiscal 2005, our gross margin has declined during fiscal 2006 and the first nine months of 2007. We will continue to focus on reducing product costs and overall spending, while we develop new product offerings for the test handler and burn-in markets.</w:t>
      </w:r>
    </w:p>
    <w:p>
      <w:pPr>
        <w:spacing w:after="0" w:line="7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deferred revenue totaled $7.2 million and $22.0 million at September 29, 2007 and December 30, 2006, respectively. The decrease in deferred revenue is the result of the recognition of revenue for certain semiconductor equipment product sales, for which customer acceptance was obtained during 2007.</w:t>
      </w:r>
    </w:p>
    <w:p>
      <w:pPr>
        <w:spacing w:after="0" w:line="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operating results in the last three years have been negatively impacted by charges to cost of sales related to excess, obsolete and lower of cost or market inventory issues. These charges totaled approximately $21.7 million during the three-year period ended December 30, 2006 and approximately $3.5 million during the first nine months of fiscal 2007 and were primarily the result of decreases in customer forecasts, competitive conditions in the test handler industry and, to a lesser extent, changes in our sales product mix. During the third quarter of fiscal 2006 we experienced a decline in customer forecasts for a burn-in system acquired from Unisys that negatively impacted our forecasted inventory usage and, as a result, we recorded a charge of approximately $4.6 million in addition to our charges for other products. Exposure related to inventories is common in the semiconductor equipment industry due to the narrow customer base, the custom nature of the products and inventory and the shortened product life cycles caused by rapid changes in semiconductor manufacturing technology. Increased competition, particularly in the last several years, has also negatively impacted our gross margins on certain products and we believe it is likely these conditions will exist for the foreseeable future.</w:t>
      </w:r>
    </w:p>
    <w:p>
      <w:pPr>
        <w:spacing w:after="0" w:line="7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other operating costs consist of research and development (“R&amp;D”) and selling, general and administrative expenses (“SG&amp;A”). Both R&amp;D and SG&amp;A expense increased in 2006 and the first quarter of 2007, due primarily to our purchase of the Unigen business, increased headcount, increased business volume, investment in product development programs and share-based compensation.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29, 2007</w:t>
      </w:r>
    </w:p>
    <w:p>
      <w:pPr>
        <w:spacing w:after="0" w:line="10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non-semiconductor equipment businesses have comprised approximately 14% of our revenues during the three-year period ended December 30, 2006. In an effort to expand our microwave communications business segment, on March 30, 2007 we acquired AVS to increase our digital microwave communications solutions, especially in high definition broadcast television and public safety and law enforcement applications.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Our financial condition is strong with significant cash and short-term investments and no long-term debt.</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management team uses several performance metrics to manage our various businesses. These metrics, which tend to focus on near-term forecasts due to the limited order backlog in our businesses, include (i) order bookings and backlog for the most recently completed quarter and the forecast for the next quarter; (ii) inventory levels and related excess exposures typically based on the next twelve month’s forecast; (iii) gross margin and other operating expense trends; (iv) industry data and trends noted in various publicly available sources; and (v) competitive factors and information. Due to the short-term nature of our order backlog that historically has represented about three months of business and the inherent volatility of the semiconductor equipment business, our past performance is frequently not indicative of future operating results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most critical accounting estimates that we believe are the most important to an investor’s understanding of our financial results and condition and require complex management judgment include:</w:t>
      </w:r>
    </w:p>
    <w:p>
      <w:pPr>
        <w:spacing w:after="0" w:line="79"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revenue recognition, including the deferral of revenue on sales to customers, which impacts our results from operations;</w:t>
      </w:r>
    </w:p>
    <w:p>
      <w:pPr>
        <w:spacing w:after="0" w:line="130" w:lineRule="exact"/>
        <w:rPr>
          <w:rFonts w:ascii="Arial" w:cs="Arial" w:eastAsia="Arial" w:hAnsi="Arial"/>
          <w:sz w:val="18"/>
          <w:szCs w:val="18"/>
          <w:b w:val="1"/>
          <w:bCs w:val="1"/>
          <w:color w:val="auto"/>
        </w:rPr>
      </w:pPr>
    </w:p>
    <w:p>
      <w:pPr>
        <w:ind w:left="660" w:right="32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estimation of valuation allowances and accrued liabilities, specifically product warranty, inventory reserves and allowance for doubtful accounts, which impact gross margin or operating expenses;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recognition and measurement of current and deferred income tax assets and liabilities, which impact our tax provision;</w:t>
      </w:r>
    </w:p>
    <w:p>
      <w:pPr>
        <w:spacing w:after="0" w:line="130" w:lineRule="exact"/>
        <w:rPr>
          <w:rFonts w:ascii="Arial" w:cs="Arial" w:eastAsia="Arial" w:hAnsi="Arial"/>
          <w:sz w:val="18"/>
          <w:szCs w:val="18"/>
          <w:b w:val="1"/>
          <w:bCs w:val="1"/>
          <w:color w:val="auto"/>
        </w:rPr>
      </w:pPr>
    </w:p>
    <w:p>
      <w:pPr>
        <w:ind w:left="660" w:right="56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assessment of recoverability of long-lived assets, which primarily impacts gross margin or operating expenses if we are required to record impairments of assets or accelerate their depreciation; and</w:t>
      </w:r>
    </w:p>
    <w:p>
      <w:pPr>
        <w:spacing w:after="0" w:line="75"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6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3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for which full payment is tied to shipment. Revenue 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at estimated fair value until delivery of the deferred elements.</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Inventory: </w:t>
      </w:r>
      <w:r>
        <w:rPr>
          <w:rFonts w:ascii="Arial" w:cs="Arial" w:eastAsia="Arial" w:hAnsi="Arial"/>
          <w:sz w:val="18"/>
          <w:szCs w:val="18"/>
          <w:color w:val="auto"/>
        </w:rPr>
        <w:t>The valuation of inventory requires us to estimate obsolete or excess inventory as well as inventory that is not of saleable quality.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market concerns equal to the 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29, 2007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have a negative impact on our gross margin.</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 xml:space="preserve">Warranty: </w:t>
      </w:r>
      <w:r>
        <w:rPr>
          <w:rFonts w:ascii="Arial" w:cs="Arial" w:eastAsia="Arial" w:hAnsi="Arial"/>
          <w:sz w:val="18"/>
          <w:szCs w:val="18"/>
          <w:color w:val="auto"/>
        </w:rPr>
        <w:t>We provide for the estimated costs of product warranties in the period sales are recognized. Our warranty obligation estimates are affected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 which would impact our gross margin.</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We previously disclosed in our Form 10-Q for the quarter ended June 30, 2007 that in May, 2007 our BMS subsidiary received a subpoena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a grand jury seated in the Southern District of California, requesting the production of certain documents related to BMS’ export of microwave communications equipment. BMS has produced documents responsive to the request and is fully cooperating. BMS has not been informed that it is a target of an investigation, and its status is currently unknown. Consequently, as of the date of this report, it is premature to assess whether this matter will have any impact on the BMS business or results of operations.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addition to the above matter, we are subject to certain contingencies that arise in the ordinary course of our businesses. In accordance with FASB Statement No. 5,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(“Statement No. 5”) we assess the likelihood that future events will confirm the existence of a loss or an impairment of an asset. If a loss or asset impairment is probable, as defined in Statement No. 5 and the amount of the loss or impairment is reasonably estimable, we accrue a charge to operations in the period such conditions become known.</w:t>
      </w:r>
    </w:p>
    <w:p>
      <w:pPr>
        <w:spacing w:after="0" w:line="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estimate our liability for income taxes based on the various jurisdictions where we conduct business. This requires us to estimate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actual current tax 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available evidence, it is more likely than not that some or all of the deferred tax assets will not be realized. Establishing, reducing or increasing a valuation allowance in an accounting period results in an increase or decrease in tax expense in the statement of operations. We must make significant judgments to determine the provision for income taxes, the liability for unrecognized tax benefits, deferred tax assets and liabilities and any valuation allowance to be recorded against net deferred tax assets. Our gross deferred tax asset balance as of September 29, 2007 was $26.4 million, with a valuation allowance of $2.6 million for state tax credit and loss carryforwards. The deferred tax assets consist primarily of deductible temporary differences, tax credit and net operating loss carryforwards.</w:t>
      </w:r>
    </w:p>
    <w:p>
      <w:pPr>
        <w:spacing w:after="0" w:line="7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 xml:space="preserve">Goodwill, Intangible and Long-Lived Assets: </w:t>
      </w:r>
      <w:r>
        <w:rPr>
          <w:rFonts w:ascii="Arial" w:cs="Arial" w:eastAsia="Arial" w:hAnsi="Arial"/>
          <w:sz w:val="17"/>
          <w:szCs w:val="17"/>
          <w:color w:val="auto"/>
        </w:rPr>
        <w:t>Goodwill and intangible assets with indefinite lives are tested for impairment each year on October 1 or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frequently, if a significant event occurs. To test goodwill for impairment, we compare the fair value of our reporting units, and, if necessary, the implied fair value of goodwill, with the corresponding carrying values. If necessary, we record an impairment charge for any shortfall. Intangible and long-lived assets with finite lives are tested for impairment when events or a change in circumstances indicate the carrying value may not be recoverable. Factors that we consider in deciding when to perform an impairment review include significant under-performance of a business or product line in relation to expectations, significant negative industry or economic trends and significant changes or planned changes in our use of the assets. Recoverability of assets that will continue to be used in our operations is measured by comparing the carrying amount of the asset to our estimate of the related total future undiscounted net cash flows. If an asset’s carrying value is not recoverable through the related undiscounted cash flows, the asset is considered to be impaired. The impairment is measured by the difference between the asset grouping’s carrying amount and its fair value, based on the best information available, including market prices or discounted cash flow analysis. During fiscal 2006 and the first nine months of fiscal 2007, we have not recorded an impairment of our goodwill, intangible and long-lived assets.</w:t>
      </w:r>
    </w:p>
    <w:p>
      <w:pPr>
        <w:spacing w:after="0" w:line="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On January 1, 2006, we adopted the provisions of Statement No. 123R and SAB No. 107 requiring the measurement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recognition of all share-based compensation under the fair value method. Share-based compensation expense related to stock options is recorded based on the fair value of the award on its grant date which we estimate using the Black-Scholes valuation model based on the provisions prescribed under Statement No. 123R and SAB No. 107.</w:t>
      </w:r>
    </w:p>
    <w:p>
      <w:pPr>
        <w:spacing w:after="0" w:line="79"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29, 2007</w:t>
      </w:r>
    </w:p>
    <w:p>
      <w:pPr>
        <w:spacing w:after="0" w:line="10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 xml:space="preserve">Recent Accounting Pronouncements: </w:t>
      </w:r>
      <w:r>
        <w:rPr>
          <w:rFonts w:ascii="Arial" w:cs="Arial" w:eastAsia="Arial" w:hAnsi="Arial"/>
          <w:sz w:val="17"/>
          <w:szCs w:val="17"/>
          <w:color w:val="auto"/>
        </w:rPr>
        <w:t>In February 2007, the FASB issued Statement No. 159. Statement No. 159 gives entities the option to carry many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assets and liabilities at fair value, with changes in fair value recorded in earnings. Statement No. 159, which will be effective in our first quarter of fiscal 2008, is not expected to have a material impact on our consolidated financial position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summarizes certain operating data from continuing operations as a percentage of net sales for the three-month and nine-month periods ended September 29, 2007 and September 30, 2006.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38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September 29,</w:t>
            </w:r>
          </w:p>
        </w:tc>
        <w:tc>
          <w:tcPr>
            <w:tcW w:w="14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2"/>
                <w:szCs w:val="12"/>
                <w:color w:val="auto"/>
              </w:rPr>
            </w:pPr>
          </w:p>
        </w:tc>
        <w:tc>
          <w:tcPr>
            <w:tcW w:w="1380" w:type="dxa"/>
            <w:vAlign w:val="bottom"/>
            <w:gridSpan w:val="3"/>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September 29,</w:t>
            </w:r>
          </w:p>
        </w:tc>
        <w:tc>
          <w:tcPr>
            <w:tcW w:w="14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3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6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2006</w:t>
            </w:r>
          </w:p>
        </w:tc>
        <w:tc>
          <w:tcPr>
            <w:tcW w:w="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8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rPr>
              <w:t>100.0%</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Cost of sales</w:t>
            </w:r>
          </w:p>
        </w:tc>
        <w:tc>
          <w:tcPr>
            <w:tcW w:w="38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(68.0)</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(64.4)</w:t>
            </w:r>
          </w:p>
        </w:tc>
        <w:tc>
          <w:tcPr>
            <w:tcW w:w="1840" w:type="dxa"/>
            <w:vAlign w:val="bottom"/>
            <w:gridSpan w:val="4"/>
          </w:tcPr>
          <w:p>
            <w:pPr>
              <w:jc w:val="right"/>
              <w:ind w:right="468"/>
              <w:spacing w:after="0"/>
              <w:rPr>
                <w:sz w:val="20"/>
                <w:szCs w:val="20"/>
                <w:color w:val="auto"/>
              </w:rPr>
            </w:pPr>
            <w:r>
              <w:rPr>
                <w:rFonts w:ascii="Arial" w:cs="Arial" w:eastAsia="Arial" w:hAnsi="Arial"/>
                <w:sz w:val="18"/>
                <w:szCs w:val="18"/>
                <w:color w:val="auto"/>
              </w:rPr>
              <w:t>(67.7)</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32.0</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35.6</w:t>
            </w:r>
          </w:p>
        </w:tc>
        <w:tc>
          <w:tcPr>
            <w:tcW w:w="1840" w:type="dxa"/>
            <w:vAlign w:val="bottom"/>
            <w:gridSpan w:val="4"/>
            <w:shd w:val="clear" w:color="auto" w:fill="CCEEFF"/>
          </w:tcPr>
          <w:p>
            <w:pPr>
              <w:jc w:val="right"/>
              <w:ind w:right="528"/>
              <w:spacing w:after="0"/>
              <w:rPr>
                <w:sz w:val="20"/>
                <w:szCs w:val="20"/>
                <w:color w:val="auto"/>
              </w:rPr>
            </w:pPr>
            <w:r>
              <w:rPr>
                <w:rFonts w:ascii="Arial" w:cs="Arial" w:eastAsia="Arial" w:hAnsi="Arial"/>
                <w:sz w:val="18"/>
                <w:szCs w:val="18"/>
                <w:color w:val="auto"/>
              </w:rPr>
              <w:t>32.3</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380" w:type="dxa"/>
            <w:vAlign w:val="bottom"/>
            <w:gridSpan w:val="3"/>
          </w:tcPr>
          <w:p>
            <w:pPr>
              <w:jc w:val="right"/>
              <w:ind w:right="540"/>
              <w:spacing w:after="0"/>
              <w:rPr>
                <w:sz w:val="20"/>
                <w:szCs w:val="20"/>
                <w:color w:val="auto"/>
              </w:rPr>
            </w:pPr>
            <w:r>
              <w:rPr>
                <w:rFonts w:ascii="Arial" w:cs="Arial" w:eastAsia="Arial" w:hAnsi="Arial"/>
                <w:sz w:val="18"/>
                <w:szCs w:val="18"/>
                <w:color w:val="auto"/>
              </w:rPr>
              <w:t>(14.8)</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(15.0)</w:t>
            </w:r>
          </w:p>
        </w:tc>
        <w:tc>
          <w:tcPr>
            <w:tcW w:w="1840" w:type="dxa"/>
            <w:vAlign w:val="bottom"/>
            <w:gridSpan w:val="4"/>
          </w:tcPr>
          <w:p>
            <w:pPr>
              <w:jc w:val="right"/>
              <w:ind w:right="468"/>
              <w:spacing w:after="0"/>
              <w:rPr>
                <w:sz w:val="20"/>
                <w:szCs w:val="20"/>
                <w:color w:val="auto"/>
              </w:rPr>
            </w:pPr>
            <w:r>
              <w:rPr>
                <w:rFonts w:ascii="Arial" w:cs="Arial" w:eastAsia="Arial" w:hAnsi="Arial"/>
                <w:sz w:val="18"/>
                <w:szCs w:val="18"/>
                <w:color w:val="auto"/>
              </w:rPr>
              <w:t>(15.9)</w:t>
            </w:r>
          </w:p>
        </w:tc>
        <w:tc>
          <w:tcPr>
            <w:tcW w:w="1400" w:type="dxa"/>
            <w:vAlign w:val="bottom"/>
            <w:gridSpan w:val="3"/>
          </w:tcPr>
          <w:p>
            <w:pPr>
              <w:jc w:val="right"/>
              <w:ind w:right="3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(15.3)</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1840" w:type="dxa"/>
            <w:vAlign w:val="bottom"/>
            <w:gridSpan w:val="4"/>
            <w:shd w:val="clear" w:color="auto" w:fill="CCEEFF"/>
          </w:tcPr>
          <w:p>
            <w:pPr>
              <w:jc w:val="right"/>
              <w:ind w:right="468"/>
              <w:spacing w:after="0"/>
              <w:rPr>
                <w:sz w:val="20"/>
                <w:szCs w:val="20"/>
                <w:color w:val="auto"/>
              </w:rPr>
            </w:pPr>
            <w:r>
              <w:rPr>
                <w:rFonts w:ascii="Arial" w:cs="Arial" w:eastAsia="Arial" w:hAnsi="Arial"/>
                <w:sz w:val="18"/>
                <w:szCs w:val="18"/>
                <w:color w:val="auto"/>
              </w:rPr>
              <w:t>(14.9)</w:t>
            </w:r>
          </w:p>
        </w:tc>
        <w:tc>
          <w:tcPr>
            <w:tcW w:w="14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Gain on sale of facilities</w:t>
            </w: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52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1840" w:type="dxa"/>
            <w:vAlign w:val="bottom"/>
            <w:gridSpan w:val="4"/>
            <w:shd w:val="clear" w:color="auto" w:fill="CCEEFF"/>
          </w:tcPr>
          <w:p>
            <w:pPr>
              <w:jc w:val="right"/>
              <w:ind w:right="368"/>
              <w:spacing w:after="0"/>
              <w:rPr>
                <w:sz w:val="20"/>
                <w:szCs w:val="20"/>
                <w:color w:val="auto"/>
              </w:rPr>
            </w:pPr>
            <w:r>
              <w:rPr>
                <w:rFonts w:ascii="Arial" w:cs="Arial" w:eastAsia="Arial" w:hAnsi="Arial"/>
                <w:sz w:val="18"/>
                <w:szCs w:val="18"/>
                <w:color w:val="auto"/>
              </w:rPr>
              <w:t>1.5%</w:t>
            </w:r>
          </w:p>
        </w:tc>
        <w:tc>
          <w:tcPr>
            <w:tcW w:w="1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May, 2006, we sold our metal detection equipment business, FRL. Subsequent to the sale, the operating results of FRL are being presented as discontinued operations and the consolidated financial statements for all prior periods have been reclassified accordingly. Unless otherwise indicated, the discussion and amounts provided in the “Results of Operations” section and elsewhere in this Quarterly Report on Form 10-Q relate to continuing operations only.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Fiscal 2007 Compared to Third Quarter of Fiscal 2006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net sales decreased 13.8% to $64.5 million in 2007, compared to net sales of $74.8 million in 2006. Sales of semiconductor equipment in the third quarter of fiscal 2007 increased 0.7% from the comparable 2006 period and accounted for 87.3% of consolidated net sales in 2007 versus 74.7% in 2006. Semiconductor equipment was a lower percentage of consolidated sales in the third quarter of fiscal 2006 as a result of the recognition of $7.9 million in revenue from our contract with the United Arab Emirates (“UAE”) for microwave communications equipment.</w:t>
      </w:r>
    </w:p>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Sales of television cameras accounted for 6.1% of net sales in 2007 a decrease of 25.9% when compared to the same period of fiscal 2006. The primary cause of this decrease in sales is lower demand for board level cameras from equipment manufacturers and decreased shipments of other products during the third quarter of fiscal 2007.</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Sales of microwave communications equipment accounted for 6.6% of net sales in 2007 a decrease of 68.5% when compared to fiscal 2006. The decrease in sales of our microwave communications business during the third quarter of fiscal 2007, as compared to the prior year period, was primarily attributable to the recognition of approximately $7.9 million in revenue associated with our contract with the UAE which was accepted and paid in the third quarter of fiscal 2006 and decreased product shipments during the third quarter of fiscal 2007.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Gross margin consists of net sales less cost of sales. Cost of sales consists primarily of the cost of materials, assembly and test labor, and overhead from operations. Our gross margin can fluctuate due to a number of factors, including, but not limited to, the mix of products sold; product support costs; inventory reserve adjustments; and utilization of manufacturing capacity. Our gross margin, as a percentage of net sales, decreased to 32.0% in 2007 from 35.6% in fiscal 2006. Gross margin was lower in the third quarter of fiscal 2007 as a result of a change in product mix from our thermal test handlers to burn-in related thermal sub-system products. Our burn-in related thermal sub-system products have significantly lower gross margins than our thermal test handlers. Based on current customer forecasts, we expect this trend to continue and, as a result, our gross margin will continue to be impacted.</w:t>
      </w:r>
    </w:p>
    <w:p>
      <w:pPr>
        <w:spacing w:after="0" w:line="5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gross margin has been impacted by charges to cost of sales related to excess, obsolete and lower of cost or market inventory issues and in fiscal 2006 higher warranty costs associated with certain test handlers. We compute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29, 2007</w:t>
      </w:r>
    </w:p>
    <w:p>
      <w:pPr>
        <w:spacing w:after="0" w:line="10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majority of our excess and obsolete inventory reserve requirements using a one-year inventory usage forecast. During the third quarter of fiscal 2007 and 2006, we recorded net charges to cost of sales of approximately $1.3 million and $6.8 million, respectively, for excess and obsolete inventory. Approximately $4.6 million of the charge recorded during the third quarter of fiscal 2006 was a result of a decline in customer forecasts for a burn-in system, acquired from Unisys, which negatively impacted our forecasted inventory usage. While we believe our reserves for excess and obsolete inventory and lower of cost or market concerns are adequate to cover known exposures at September 29, 2007, reductions in customer forecasts or continued modifications to products, as a result of our failure to meet specifications or other customer requirements, may result in additional charges to operations that could negatively impact our gross margin in future periods. Conversely, if our actual inventory usage is greater than our forecasted usage, our gross margin in future periods may be favorably impacted.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R&amp;D expense consists primarily of salaries and related costs of employees engaged in ongoing research, product design and development activities, costs of engineering materials and supplies, and professional consulting expenses. R&amp;D expense as a percentage of net sales was 14.8% in 2007, compared to 15.0% in 2006, decreasing from $11.3 million in 2006 to $9.6 million in 2007. Decreased R&amp;D expense in 2007 was primarily a result of decreased labor and material costs within our semiconductor equipment and television camera businesses of approximately $1.9 million and $0.2 million, respectively, and a shorter accounting period in 2007 (i.e. 13 weeks in 2007 vs. 14 weeks in 2006), offset by an additional $0.4 million of R&amp;D related costs incurred by our microwave communications business resulting from the March 2007 acquisition of AVS, and other costs associated with new product development.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SG&amp;A expense consists primarily of salaries and benefit costs of employees, commission expense for independent sales representatives, product promotion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costs of professional services. SG&amp;A expense as a percentage of net sales increased to 15.3% in 2007, from 14.3% in 2006 while decreasing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$10.7 million in 2006 to $9.9 million in 2007 due to lower business volume and lower sales commission expense incurred during the third quarter of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Interest income was approximately $2.1 million and $1.8 million in fiscal 2007 and 2006, respectively. The increase in interest income resulted from an increase in our average cash and cash equivalents and investment balances and higher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income tax provision included in the statements of income for the three months ended September 29, 2007 and September 30, 2006, is based on the estimated annual effective tax rate for the entire year. These estimated effective tax rates are subject to adjustment in subsequent quarterly periods as our estimates of pretax income for the year are increased or decreased. The effective tax rates of 31.8% and 30.3% for the three months ended September 29, 2007 and September 30, 2006, respectively, differ from the U.S. federal statutory rate primarily due to state taxes, research and development tax credits, foreign income taxed at lower rates and export sales and manufacturing activities tax benefits offset by the effects of Statement No. 123R that does not allow deferred tax benefits to be initially recognized on compensation expense related to incentive stock options and employee stock purchase plans.</w:t>
      </w:r>
    </w:p>
    <w:p>
      <w:pPr>
        <w:spacing w:after="0" w:line="5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Realization of our deferred tax assets is based upon the weight of available evidence, including such factors as our recent earnings history and expected future taxable income. We believe that it is more likely than not that the majority of these assets will be realized; however, ultimate realization could be negatively impacted by market conditions or other factors not currently known or anticipated. In accordance with Statement No. 109, net deferred tax assets are reduced by a valuation allowance if it is more likely than not that some or all of the deferred tax assets will not be realized. A valuation allowance of approximately $2.6 million and $1.6 million was provided on deferred tax assets at September 29, 2007 and December 30, 2006, respectively, for state tax credit and net operating loss carryforwards that, in the opinion of management, are more likely than not to expire before we can use them.</w:t>
      </w:r>
    </w:p>
    <w:p>
      <w:pPr>
        <w:spacing w:after="0" w:line="5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adopted the provisions of FIN 48 on December 31, 2006, the first day of our 2007 fiscal year. As a result of the adoption of FIN 48, we recognized a decrease in the liability for unrecognized tax benefits of approximately $423,000, a decrease in deferred tax assets of approximately $381,000 and a corresponding increase in the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29, 2007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balance of retained earnings of approximately $42,000.</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unrecognized tax benefits, excluding accrued interest, totaled approximately $3.7 million at December 31, 2006. If these unrecognized tax benefits are ultimately recognized, this amount, less the related federal benefit for state items of approximately $0.7 million would result in a reduction in our income tax expense and effective tax rate.</w:t>
      </w:r>
    </w:p>
    <w:p>
      <w:pPr>
        <w:spacing w:after="0" w:line="73"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We recognize interest accrued related to unrecognized tax benefits in income tax expense. We had approximately $200,000 accrued for the payment of interest at December 31, 2006. Interest expense accrued in the quarter ended September 29, 2007 was approximately $84,000.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IRS has examined our income tax returns through 2002, and the California Franchise Tax Board through 1999.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May, 2006, we sold substantially all the assets of our metal detection equipment business, FRL. The disposition resulted in a loss of approximately $1.3 million of which $0.5 million was recorded in the three months ended September 30, 2006.</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result of the factors set forth above, our income from continuing operations was $2.2 million in 2007, compared to $4.5 million in 2006. Our net income was $2.2 million in 2007, compared to $4.2 million in 2006.</w:t>
      </w:r>
    </w:p>
    <w:p>
      <w:pPr>
        <w:spacing w:after="0" w:line="166" w:lineRule="exact"/>
        <w:rPr>
          <w:sz w:val="20"/>
          <w:szCs w:val="20"/>
          <w:color w:val="auto"/>
        </w:rPr>
      </w:pPr>
    </w:p>
    <w:p>
      <w:pPr>
        <w:ind w:right="5260"/>
        <w:spacing w:after="0" w:line="378" w:lineRule="auto"/>
        <w:rPr>
          <w:sz w:val="20"/>
          <w:szCs w:val="20"/>
          <w:color w:val="auto"/>
        </w:rPr>
      </w:pPr>
      <w:r>
        <w:rPr>
          <w:rFonts w:ascii="Arial" w:cs="Arial" w:eastAsia="Arial" w:hAnsi="Arial"/>
          <w:sz w:val="18"/>
          <w:szCs w:val="18"/>
          <w:b w:val="1"/>
          <w:bCs w:val="1"/>
          <w:color w:val="auto"/>
        </w:rPr>
        <w:t xml:space="preserve">First Nine Months of Fiscal 2007 Compared to First Nine Months of Fiscal 2006 </w:t>
      </w:r>
      <w:r>
        <w:rPr>
          <w:rFonts w:ascii="Arial" w:cs="Arial" w:eastAsia="Arial" w:hAnsi="Arial"/>
          <w:sz w:val="18"/>
          <w:szCs w:val="18"/>
          <w:b w:val="1"/>
          <w:bCs w:val="1"/>
          <w:i w:val="1"/>
          <w:iCs w:val="1"/>
          <w:color w:val="auto"/>
        </w:rPr>
        <w:t>Net Sales</w:t>
      </w:r>
    </w:p>
    <w:p>
      <w:pPr>
        <w:ind w:right="140"/>
        <w:spacing w:after="0" w:line="279" w:lineRule="auto"/>
        <w:rPr>
          <w:sz w:val="20"/>
          <w:szCs w:val="20"/>
          <w:color w:val="auto"/>
        </w:rPr>
      </w:pPr>
      <w:r>
        <w:rPr>
          <w:rFonts w:ascii="Arial" w:cs="Arial" w:eastAsia="Arial" w:hAnsi="Arial"/>
          <w:sz w:val="17"/>
          <w:szCs w:val="17"/>
          <w:color w:val="auto"/>
        </w:rPr>
        <w:t>Our net sales decreased 4.8% to $184.3 million in the first nine months of fiscal 2007, compared to net sales of $193.5 million in 2006. Sales of semiconductor equipment in the first nine months of fiscal 2007 decreased 2.0% from the comparable 2006 period and accounted for 85.1% of consolidated net sales versus 82.7% in 2006. The primary reasons for the decrease in sales of our semiconductor equipment business were a generally weak business environment for the back-end semiconductor equipment industry and reduced demand for thermal test handlers.</w:t>
      </w:r>
    </w:p>
    <w:p>
      <w:pPr>
        <w:spacing w:after="0" w:line="6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Sales of television cameras accounted for 6.5% of net sales in the first nine months of fiscal 2007 a decrease of 11.3% when compared to the same period of 2006. The primary cause of this decrease in sales is lower demand for board level cameras from equipment manufacturers and decreased shipments of traffic cameras and other products during the first nine months of fiscal 2007.</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Sales of microwave communications equipment accounted for 8.4% of net sales in the first nine months of fiscal 2007 a decrease of 22.8% when compared to 2006. The decrease in sales of our microwave communications business during the first nine months of fiscal 2007, as compared to the prior year period, was primarily attributable to the recognition of approximately $7.9 million in revenue associated with our contract with the UAE which was accepted and paid in the third quarter of fiscal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gross margin, as a percentage of net sales, decreased to 32.3% in the first nine months of fiscal 2007 from 35.5% in 2006. The decrease was the result of lower margins in our semiconductor equipment business as a result of a change in product mix as sales of our thermal test handlers declined and burn-in related thermal sub-system products increased. Our burn-in related thermal sub-system products have significantly lower gross margins than our thermal test handlers.</w:t>
      </w:r>
    </w:p>
    <w:p>
      <w:pPr>
        <w:spacing w:after="0" w:line="7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Our gross margin has been impacted by charges to cost of sales related to excess, obsolete and lower of cost or market inventory issues and in the first nine months of fiscal 2006 higher warranty costs associated with certain test handlers. We compute the majority of our excess and obsolete inventory reserve requirements using a one-year inventory usage forecast. During the first nine months of 2007 and 2006, we recorded net charges to cost of sales of approximately $3.5 million and $7.9 million, respectively, for excess and obsolete inventory. Approximately $4.6 million of the charge recorded during the first nine months of fiscal 2006 was a result of a decline in customer forecasts for a burn-in system, acquired from Unisys, which negatively impacted our forecasted inventory usage.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R&amp;D expense as a percentage of net sales was 15.9% in 2007, compared to 14.7% in 2006, increasing from $28.6 million in 2006 to $29.3 million in 2007. Higher R&amp;D expense in 2007 was primarily a result of increased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29, 2007</w:t>
      </w:r>
    </w:p>
    <w:p>
      <w:pPr>
        <w:spacing w:after="0" w:line="103" w:lineRule="exact"/>
        <w:rPr>
          <w:sz w:val="20"/>
          <w:szCs w:val="20"/>
          <w:color w:val="auto"/>
        </w:rPr>
      </w:pPr>
    </w:p>
    <w:p>
      <w:pPr>
        <w:ind w:right="1140"/>
        <w:spacing w:after="0" w:line="308" w:lineRule="auto"/>
        <w:rPr>
          <w:sz w:val="20"/>
          <w:szCs w:val="20"/>
          <w:color w:val="auto"/>
        </w:rPr>
      </w:pPr>
      <w:r>
        <w:rPr>
          <w:rFonts w:ascii="Arial" w:cs="Arial" w:eastAsia="Arial" w:hAnsi="Arial"/>
          <w:sz w:val="17"/>
          <w:szCs w:val="17"/>
          <w:color w:val="auto"/>
        </w:rPr>
        <w:t>share-based compensation expense of approximately $0.2 million, and incremental costs within our semiconductor equipment and microwave communications businesses incurred as a result of our March, 2006 and 2007 acquisitions of Unigen and AVS,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SG&amp;A expense as a percentage of net sales was 14.9% in 2007, compared to 14.5% in 2006, decreasing from $28.0 million in fiscal 2006 to $27.4 million in 2007. While SG&amp;A expense remained relatively constant, in total dollars, during the first nine months of fiscal 2007, SG&amp;A costs within our semiconductor equipment business decreased approximately $1.7 million due to lower sales commission expense and other expenses resulting from slightly decreased business volume due to generally weak business conditions in the back-end semiconductor equipment industry. This decrease was offset by an increase in share based compensation expense of approximately $0.3 million and $1.0 million in costs incurred by our microwave communications businesses as a result of, among other things, increased legal expenses and incremental costs incurred as a result of our March, 2007 acquisition of AVS.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Interest income was approximately $6.3 million and $4.8 million in the first nine months of fiscal 2007 and 2006, respectively. The increase in interest income resulted from an increase in our average cash and cash equivalents and investment balances and higher interest rates.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income tax provision included in the statements of income for the nine months ended September 29, 2007 and September 30, 2006, is based on the estimated annual effective tax rate for the entire year. These estimated effective tax rates are subject to adjustment in subsequent quarterly periods as our estimates of pretax income for the year are increased or decreased. The effective tax rates of 34.6% and 33.2% for the nine months ended September 29, 2007 and September 30, 2006, respectively, differ from the U.S. federal statutory rate primarily due to state taxes, research and development tax credits, foreign income taxed at lower rates and export sales and manufacturing activities tax benefits offset by the effects of Statement No. 123R that does not allow deferred tax benefits to be recognized on compensation expense related to incentive stock options and employee stock purchase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May, 2006, we sold the land and building previously used by our operations in Littleton, Massachusetts. The property was sold for $6.5 million in cash, less related costs, resulting in a net pretax gain of approximately $3.0 million which was recognized in the second quarter of fiscal 2006.</w:t>
      </w:r>
    </w:p>
    <w:p>
      <w:pPr>
        <w:spacing w:after="0" w:line="3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May, 2006, we sold substantially all the assets of our metal detection equipment business, FRL. The disposition resulted in a loss of approximately $1.3 million that was recorded in the first nine months of fiscal 2006.</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factors set forth above, our income from continuing operations was $6.0 million in fiscal 2007, compared to $13.3 million in fiscal 2006.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net income was $5.9 million in fiscal 2007, compared to $12.3 million in fiscal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business is dependent on capital expenditures by semiconductor manufacturers and test subcontractors that are, in turn, dependent on the current and anticipated market demand for semiconductors. Demand for semiconductors is cyclical and volatile. During the quarter ended September 29, 2007 and in the past we have implemented cost reduction programs aimed at aligning our ongoing operating costs with our currently expected revenues over the near term. These cost management initiatives have included consolidating facilities, reductions to headcount and reduced spending. The cyclical and volatile nature of our industry makes estimates of future revenues, results of operations and net cash flows difficult.</w:t>
      </w:r>
    </w:p>
    <w:p>
      <w:pPr>
        <w:spacing w:after="0" w:line="6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operations. While we maintain a credit facility, we have not used this as a source of cash and do not intend to do so. We use cash to fund growth in our operating assets, including accounts receivable and inventory, and to fund new products and product enhancements primarily through research and development.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29,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320" w:type="dxa"/>
            <w:vAlign w:val="bottom"/>
          </w:tcPr>
          <w:p>
            <w:pPr>
              <w:jc w:val="right"/>
              <w:ind w:right="379"/>
              <w:spacing w:after="0"/>
              <w:rPr>
                <w:sz w:val="20"/>
                <w:szCs w:val="20"/>
                <w:color w:val="auto"/>
              </w:rPr>
            </w:pPr>
            <w:r>
              <w:rPr>
                <w:rFonts w:ascii="Arial" w:cs="Arial" w:eastAsia="Arial" w:hAnsi="Arial"/>
                <w:sz w:val="14"/>
                <w:szCs w:val="14"/>
                <w:color w:val="auto"/>
              </w:rPr>
              <w:t>September 29,</w:t>
            </w:r>
          </w:p>
        </w:tc>
        <w:tc>
          <w:tcPr>
            <w:tcW w:w="1740" w:type="dxa"/>
            <w:vAlign w:val="bottom"/>
          </w:tcPr>
          <w:p>
            <w:pPr>
              <w:jc w:val="right"/>
              <w:ind w:right="379"/>
              <w:spacing w:after="0"/>
              <w:rPr>
                <w:sz w:val="20"/>
                <w:szCs w:val="20"/>
                <w:color w:val="auto"/>
              </w:rPr>
            </w:pPr>
            <w:r>
              <w:rPr>
                <w:rFonts w:ascii="Arial" w:cs="Arial" w:eastAsia="Arial" w:hAnsi="Arial"/>
                <w:sz w:val="14"/>
                <w:szCs w:val="14"/>
                <w:color w:val="auto"/>
              </w:rPr>
              <w:t>December 30,</w:t>
            </w:r>
          </w:p>
        </w:tc>
        <w:tc>
          <w:tcPr>
            <w:tcW w:w="1520" w:type="dxa"/>
            <w:vAlign w:val="bottom"/>
          </w:tcPr>
          <w:p>
            <w:pPr>
              <w:jc w:val="right"/>
              <w:ind w:right="419"/>
              <w:spacing w:after="0"/>
              <w:rPr>
                <w:sz w:val="20"/>
                <w:szCs w:val="20"/>
                <w:color w:val="auto"/>
              </w:rPr>
            </w:pPr>
            <w:r>
              <w:rPr>
                <w:rFonts w:ascii="Arial" w:cs="Arial" w:eastAsia="Arial" w:hAnsi="Arial"/>
                <w:sz w:val="14"/>
                <w:szCs w:val="14"/>
                <w:color w:val="auto"/>
              </w:rPr>
              <w:t>Increase</w:t>
            </w:r>
          </w:p>
        </w:tc>
        <w:tc>
          <w:tcPr>
            <w:tcW w:w="1180" w:type="dxa"/>
            <w:vAlign w:val="bottom"/>
          </w:tcPr>
          <w:p>
            <w:pPr>
              <w:jc w:val="right"/>
              <w:ind w:right="59"/>
              <w:spacing w:after="0"/>
              <w:rPr>
                <w:sz w:val="20"/>
                <w:szCs w:val="20"/>
                <w:color w:val="auto"/>
              </w:rPr>
            </w:pPr>
            <w:r>
              <w:rPr>
                <w:rFonts w:ascii="Arial" w:cs="Arial" w:eastAsia="Arial" w:hAnsi="Arial"/>
                <w:sz w:val="14"/>
                <w:szCs w:val="14"/>
                <w:color w:val="auto"/>
              </w:rPr>
              <w:t>Percentage</w:t>
            </w:r>
          </w:p>
        </w:tc>
      </w:tr>
      <w:tr>
        <w:trPr>
          <w:trHeight w:val="167"/>
        </w:trPr>
        <w:tc>
          <w:tcPr>
            <w:tcW w:w="466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32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color w:val="auto"/>
              </w:rPr>
              <w:t>2007</w:t>
            </w:r>
          </w:p>
        </w:tc>
        <w:tc>
          <w:tcPr>
            <w:tcW w:w="174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color w:val="auto"/>
              </w:rPr>
              <w:t>2006</w:t>
            </w:r>
          </w:p>
        </w:tc>
        <w:tc>
          <w:tcPr>
            <w:tcW w:w="15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(Decrease)</w:t>
            </w:r>
          </w:p>
        </w:tc>
        <w:tc>
          <w:tcPr>
            <w:tcW w:w="11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r>
      <w:tr>
        <w:trPr>
          <w:trHeight w:val="209"/>
        </w:trPr>
        <w:tc>
          <w:tcPr>
            <w:tcW w:w="46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2320" w:type="dxa"/>
            <w:vAlign w:val="bottom"/>
          </w:tcPr>
          <w:p>
            <w:pPr>
              <w:jc w:val="right"/>
              <w:ind w:right="499"/>
              <w:spacing w:after="0"/>
              <w:rPr>
                <w:sz w:val="20"/>
                <w:szCs w:val="20"/>
                <w:color w:val="auto"/>
              </w:rPr>
            </w:pPr>
            <w:r>
              <w:rPr>
                <w:rFonts w:ascii="Arial" w:cs="Arial" w:eastAsia="Arial" w:hAnsi="Arial"/>
                <w:sz w:val="18"/>
                <w:szCs w:val="18"/>
                <w:color w:val="auto"/>
              </w:rPr>
              <w:t>$156,235</w:t>
            </w:r>
          </w:p>
        </w:tc>
        <w:tc>
          <w:tcPr>
            <w:tcW w:w="1740" w:type="dxa"/>
            <w:vAlign w:val="bottom"/>
          </w:tcPr>
          <w:p>
            <w:pPr>
              <w:jc w:val="right"/>
              <w:ind w:right="479"/>
              <w:spacing w:after="0"/>
              <w:rPr>
                <w:sz w:val="20"/>
                <w:szCs w:val="20"/>
                <w:color w:val="auto"/>
              </w:rPr>
            </w:pPr>
            <w:r>
              <w:rPr>
                <w:rFonts w:ascii="Arial" w:cs="Arial" w:eastAsia="Arial" w:hAnsi="Arial"/>
                <w:sz w:val="18"/>
                <w:szCs w:val="18"/>
                <w:color w:val="auto"/>
              </w:rPr>
              <w:t>$147,916</w:t>
            </w:r>
          </w:p>
        </w:tc>
        <w:tc>
          <w:tcPr>
            <w:tcW w:w="1520" w:type="dxa"/>
            <w:vAlign w:val="bottom"/>
          </w:tcPr>
          <w:p>
            <w:pPr>
              <w:jc w:val="right"/>
              <w:ind w:right="459"/>
              <w:spacing w:after="0"/>
              <w:rPr>
                <w:sz w:val="20"/>
                <w:szCs w:val="20"/>
                <w:color w:val="auto"/>
              </w:rPr>
            </w:pPr>
            <w:r>
              <w:rPr>
                <w:rFonts w:ascii="Arial" w:cs="Arial" w:eastAsia="Arial" w:hAnsi="Arial"/>
                <w:sz w:val="18"/>
                <w:szCs w:val="18"/>
                <w:color w:val="auto"/>
              </w:rPr>
              <w:t>$8,319</w:t>
            </w:r>
          </w:p>
        </w:tc>
        <w:tc>
          <w:tcPr>
            <w:tcW w:w="1180" w:type="dxa"/>
            <w:vAlign w:val="bottom"/>
          </w:tcPr>
          <w:p>
            <w:pPr>
              <w:jc w:val="right"/>
              <w:ind w:right="99"/>
              <w:spacing w:after="0"/>
              <w:rPr>
                <w:sz w:val="20"/>
                <w:szCs w:val="20"/>
                <w:color w:val="auto"/>
              </w:rPr>
            </w:pPr>
            <w:r>
              <w:rPr>
                <w:rFonts w:ascii="Arial" w:cs="Arial" w:eastAsia="Arial" w:hAnsi="Arial"/>
                <w:sz w:val="18"/>
                <w:szCs w:val="18"/>
                <w:color w:val="auto"/>
              </w:rPr>
              <w:t>5.6%</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Working capital</w:t>
            </w:r>
          </w:p>
        </w:tc>
        <w:tc>
          <w:tcPr>
            <w:tcW w:w="2320" w:type="dxa"/>
            <w:vAlign w:val="bottom"/>
          </w:tcPr>
          <w:p>
            <w:pPr>
              <w:jc w:val="right"/>
              <w:ind w:right="499"/>
              <w:spacing w:after="0"/>
              <w:rPr>
                <w:sz w:val="20"/>
                <w:szCs w:val="20"/>
                <w:color w:val="auto"/>
              </w:rPr>
            </w:pPr>
            <w:r>
              <w:rPr>
                <w:rFonts w:ascii="Arial" w:cs="Arial" w:eastAsia="Arial" w:hAnsi="Arial"/>
                <w:sz w:val="18"/>
                <w:szCs w:val="18"/>
                <w:color w:val="auto"/>
              </w:rPr>
              <w:t>230,130</w:t>
            </w:r>
          </w:p>
        </w:tc>
        <w:tc>
          <w:tcPr>
            <w:tcW w:w="1740" w:type="dxa"/>
            <w:vAlign w:val="bottom"/>
          </w:tcPr>
          <w:p>
            <w:pPr>
              <w:jc w:val="right"/>
              <w:ind w:right="479"/>
              <w:spacing w:after="0"/>
              <w:rPr>
                <w:sz w:val="20"/>
                <w:szCs w:val="20"/>
                <w:color w:val="auto"/>
              </w:rPr>
            </w:pPr>
            <w:r>
              <w:rPr>
                <w:rFonts w:ascii="Arial" w:cs="Arial" w:eastAsia="Arial" w:hAnsi="Arial"/>
                <w:sz w:val="18"/>
                <w:szCs w:val="18"/>
                <w:color w:val="auto"/>
              </w:rPr>
              <w:t>225,520</w:t>
            </w:r>
          </w:p>
        </w:tc>
        <w:tc>
          <w:tcPr>
            <w:tcW w:w="1520" w:type="dxa"/>
            <w:vAlign w:val="bottom"/>
          </w:tcPr>
          <w:p>
            <w:pPr>
              <w:jc w:val="right"/>
              <w:ind w:right="459"/>
              <w:spacing w:after="0"/>
              <w:rPr>
                <w:sz w:val="20"/>
                <w:szCs w:val="20"/>
                <w:color w:val="auto"/>
              </w:rPr>
            </w:pPr>
            <w:r>
              <w:rPr>
                <w:rFonts w:ascii="Arial" w:cs="Arial" w:eastAsia="Arial" w:hAnsi="Arial"/>
                <w:sz w:val="18"/>
                <w:szCs w:val="18"/>
                <w:color w:val="auto"/>
              </w:rPr>
              <w:t>4,610</w:t>
            </w:r>
          </w:p>
        </w:tc>
        <w:tc>
          <w:tcPr>
            <w:tcW w:w="1180" w:type="dxa"/>
            <w:vAlign w:val="bottom"/>
          </w:tcPr>
          <w:p>
            <w:pPr>
              <w:jc w:val="right"/>
              <w:ind w:right="99"/>
              <w:spacing w:after="0"/>
              <w:rPr>
                <w:sz w:val="20"/>
                <w:szCs w:val="20"/>
                <w:color w:val="auto"/>
              </w:rPr>
            </w:pPr>
            <w:r>
              <w:rPr>
                <w:rFonts w:ascii="Arial" w:cs="Arial" w:eastAsia="Arial" w:hAnsi="Arial"/>
                <w:sz w:val="18"/>
                <w:szCs w:val="18"/>
                <w:color w:val="auto"/>
              </w:rPr>
              <w:t>2.0%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Operating Activities</w:t>
      </w:r>
      <w:r>
        <w:rPr>
          <w:rFonts w:ascii="Arial" w:cs="Arial" w:eastAsia="Arial" w:hAnsi="Arial"/>
          <w:sz w:val="16"/>
          <w:szCs w:val="16"/>
          <w:color w:val="auto"/>
        </w:rPr>
        <w:t>: Cash provided by operating activities is net income adjusted for certain non-cash items and changes in assets and liabilities. Our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flows provided from continuing operating activities in the first nine months of 2007 totaled $18.7 million. The major components of cash flows provided by operating activities were net income of $5.9 million, depreciation and amortization of $5.6 million, non-cash share-based compensation expense of</w:t>
      </w:r>
    </w:p>
    <w:p>
      <w:pPr>
        <w:jc w:val="both"/>
        <w:ind w:right="120"/>
        <w:spacing w:after="0" w:line="254" w:lineRule="auto"/>
        <w:rPr>
          <w:sz w:val="20"/>
          <w:szCs w:val="20"/>
          <w:color w:val="auto"/>
        </w:rPr>
      </w:pPr>
      <w:r>
        <w:rPr>
          <w:rFonts w:ascii="Arial" w:cs="Arial" w:eastAsia="Arial" w:hAnsi="Arial"/>
          <w:sz w:val="18"/>
          <w:szCs w:val="18"/>
          <w:color w:val="auto"/>
        </w:rPr>
        <w:t>$3.1 million and other changes in net current assets. The change in current assets and liabilities included a decrease in accounts receivable and inventories of $2.6 million and $5.3 million, respectively. The decrease in accounts receivable was primarily due to cash collections made in the first nine months of 2007 and decreased business volume within our semiconductor equipment business. The decrease in inventory was a result of decreased order backlog within our semiconductor equipment business and our ongoing efforts to reduce inventory levels.</w:t>
      </w:r>
    </w:p>
    <w:p>
      <w:pPr>
        <w:spacing w:after="0" w:line="82"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Investing cash flows consist primarily of cash used for capital expenditures in support of our businesses, proceeds from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maturities, asset disposals and divestitures, and cash used for purchases of investments and business acquisitions. Our net cash used by investing activities in the first nine months of 2007 totaled $3.1 million and was primarily the result of $122.9 million cash used for purchases of short-term investments; offset by $130.0 million in net proceeds from sales and maturities of short-term investments. Our other expenditures in the first nine months of fiscal 2007 included the purchase of AVS for $8.2 million and purchases of property, plant and equipment of $1.8 million. The acquisition of AVS was a strategic transaction to expand our digital microwave communications solutions, especially in high definition broadcast television and public safety and law enforcement applications within our microwave communications equipment business. The purchases of property, plant and equipment were primarily made to support activities in our semiconductor equipment business and consisted primarily of equipment used in engineering, manufacturing and related functions.</w:t>
      </w:r>
    </w:p>
    <w:p>
      <w:pPr>
        <w:spacing w:after="0" w:line="5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Financing cash flows consist primarily of payment of dividends to stockholders, partially offset by proceeds from sales of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employee equity incentive plans. Our net cash used by financing activities in the first nine months of fiscal 2007 included $3.2 million received from the issuance of stock upon the exercise of stock options and other employee equity incentive plans, offset by $4.1 million for the payment of dividends.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May, 2007, we renewed our $5.0 million unsecured bank line of credit bearing interest at the bank’s prime rate. The line of credit will expire in July, 2008, and requires that we maintain specified minimum levels of net worth, limits the amount of our capital expenditures and requires us to meet certain other financial covenants. We are currently in compliance with these covenants. No borrowings were outstanding at September 29, 2007; however, approximately $1.3 million of the credit facility was allocated to standby letters of credit at September 29, 2007, leaving the balance of $3.7 million available for future borrowings.</w:t>
      </w:r>
    </w:p>
    <w:p>
      <w:pPr>
        <w:spacing w:after="0" w:line="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and available borrowings under our line of credit will be sufficient to meet our operating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Our significant contractual obligations consist of operating leases that have not changed materially from those disclosed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Report on Form 10-K for the year ended December 30, 2006.</w:t>
      </w:r>
    </w:p>
    <w:p>
      <w:pPr>
        <w:spacing w:after="0" w:line="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 xml:space="preserve">Purchase Commitments: </w:t>
      </w:r>
      <w:r>
        <w:rPr>
          <w:rFonts w:ascii="Arial" w:cs="Arial" w:eastAsia="Arial" w:hAnsi="Arial"/>
          <w:sz w:val="18"/>
          <w:szCs w:val="18"/>
          <w:color w:val="auto"/>
        </w:rPr>
        <w:t>From time to time, we enter into commitments with our vendors to purchase inventory at fixed prices or in guaranteed quantities.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not able to determine the aggregate amount of such purchase orders that represent contractual obligations, as purchase orders may represent authorizations to purchase rather than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29, 2007</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binding agreements. Our purchase orders are based on our current manufacturing needs and are fulfilled by our vendors within relatively short time horizons. We do not have significant agreements for the purchase of raw materials or other goods specifying minimum quantities or set prices that exceed our expected requirements for the next three months.</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September 29, 2007, the maximum potential amount of future payments that we could be required to make under these standby letters of credit was approximately $1.3 million. No liability has been recorded in connection with these arrangements beyond those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September 29, 2007 our investment portfolio includes fixed-income securities with a fair value of approximately $116.0 million. These securities are subject to interest rate risk and will decline in value if interest rates increase. Due to the relatively short duration of our investment portfolio, an immediate ten percent change in interest rates (e.g. 5.00% to 5.50%) would have no material impact on our financial condition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Except for our subsidiary based in Germany that conducts business in Euros, we generally conduct business, including sales to foreign customers, in U.S. dollars and as a result we have limited foreign currency exchange rate risk. Monetary assets and liabilities of our foreign operations are not significant. The effect of an immediate ten percent change in foreign exchange rates would not have a material impact on our financial condition or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right="560" w:firstLine="8"/>
        <w:spacing w:after="0" w:line="293" w:lineRule="auto"/>
        <w:tabs>
          <w:tab w:leader="none" w:pos="255"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Under the supervision and with the participation of our management, including our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and principal financial officer, we evaluated the effectiveness of our disclosure controls and procedures, as such term is defined in</w:t>
      </w:r>
    </w:p>
    <w:p>
      <w:pPr>
        <w:spacing w:after="0" w:line="1" w:lineRule="exact"/>
        <w:rPr>
          <w:rFonts w:ascii="Arial" w:cs="Arial" w:eastAsia="Arial" w:hAnsi="Arial"/>
          <w:sz w:val="16"/>
          <w:szCs w:val="16"/>
          <w:b w:val="1"/>
          <w:bCs w:val="1"/>
          <w:color w:val="auto"/>
        </w:rPr>
      </w:pPr>
    </w:p>
    <w:p>
      <w:pPr>
        <w:ind w:right="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81" w:lineRule="exact"/>
        <w:rPr>
          <w:sz w:val="20"/>
          <w:szCs w:val="20"/>
          <w:color w:val="auto"/>
        </w:rPr>
      </w:pPr>
    </w:p>
    <w:p>
      <w:pPr>
        <w:ind w:right="80" w:firstLine="8"/>
        <w:spacing w:after="0" w:line="277" w:lineRule="auto"/>
        <w:tabs>
          <w:tab w:leader="none" w:pos="265"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Changes in Internal Controls. </w:t>
      </w:r>
      <w:r>
        <w:rPr>
          <w:rFonts w:ascii="Arial" w:cs="Arial" w:eastAsia="Arial" w:hAnsi="Arial"/>
          <w:sz w:val="17"/>
          <w:szCs w:val="17"/>
          <w:color w:val="auto"/>
        </w:rPr>
        <w:t>During the third quarter of fiscal 2007, our wholly owned subsidiary, Broadcast Microwave Services, Inc., completed the</w:t>
      </w:r>
      <w:r>
        <w:rPr>
          <w:rFonts w:ascii="Arial" w:cs="Arial" w:eastAsia="Arial" w:hAnsi="Arial"/>
          <w:sz w:val="17"/>
          <w:szCs w:val="17"/>
          <w:b w:val="1"/>
          <w:bCs w:val="1"/>
          <w:color w:val="auto"/>
        </w:rPr>
        <w:t xml:space="preserve"> </w:t>
      </w:r>
      <w:r>
        <w:rPr>
          <w:rFonts w:ascii="Arial" w:cs="Arial" w:eastAsia="Arial" w:hAnsi="Arial"/>
          <w:sz w:val="17"/>
          <w:szCs w:val="17"/>
          <w:color w:val="auto"/>
        </w:rPr>
        <w:t>implementation of an integrated finance/accounting and manufacturing software system. The implementation involved changes in systems that included internal controls, and accordingly, these changes have required changes to our system of internal controls. We reviewed the system as it was being implemented and the controls affected by the implementation of the new system and made appropriate changes to affected internal controls during the implementation process. We believe that the controls as modified are appropriate and functioning effectively.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240" w:right="360"/>
        <w:spacing w:after="0" w:line="277" w:lineRule="auto"/>
        <w:rPr>
          <w:sz w:val="20"/>
          <w:szCs w:val="20"/>
          <w:color w:val="auto"/>
        </w:rPr>
      </w:pPr>
      <w:r>
        <w:rPr>
          <w:rFonts w:ascii="Arial" w:cs="Arial" w:eastAsia="Arial" w:hAnsi="Arial"/>
          <w:sz w:val="18"/>
          <w:szCs w:val="18"/>
          <w:color w:val="auto"/>
        </w:rPr>
        <w:t>The information set forth above under Note 8 contained in the “Notes to Unaudited Condensed Consolidated Financial Statements” on Page 13 of this Form 10-Q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left="240" w:right="180"/>
        <w:spacing w:after="0" w:line="286" w:lineRule="auto"/>
        <w:rPr>
          <w:sz w:val="20"/>
          <w:szCs w:val="20"/>
          <w:color w:val="auto"/>
        </w:rPr>
      </w:pPr>
      <w:r>
        <w:rPr>
          <w:rFonts w:ascii="Arial" w:cs="Arial" w:eastAsia="Arial" w:hAnsi="Arial"/>
          <w:sz w:val="17"/>
          <w:szCs w:val="17"/>
          <w:color w:val="auto"/>
        </w:rPr>
        <w:t>The most significant risk factors applicable to Cohu are described in Part I, Item 1A (Risk Factors) of Cohu’s Annual Report on Form 10-K for the fiscal year ended December 30, 2006 (our “2006 Form 10-K”). There have been no material changes to the risk factors previously disclosed in our 2006 Form 10-K, except that we have updated such risk factors as forth below to reflect events occurring since the filing of our 2006 Form 10-K.</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Compliance with export regulations may impact sales to foreign customers.</w:t>
      </w:r>
    </w:p>
    <w:p>
      <w:pPr>
        <w:spacing w:after="0" w:line="117" w:lineRule="exact"/>
        <w:rPr>
          <w:sz w:val="20"/>
          <w:szCs w:val="20"/>
          <w:color w:val="auto"/>
        </w:rPr>
      </w:pPr>
    </w:p>
    <w:p>
      <w:pPr>
        <w:ind w:left="240"/>
        <w:spacing w:after="0" w:line="264" w:lineRule="auto"/>
        <w:rPr>
          <w:sz w:val="20"/>
          <w:szCs w:val="20"/>
          <w:color w:val="auto"/>
        </w:rPr>
      </w:pPr>
      <w:r>
        <w:rPr>
          <w:rFonts w:ascii="Arial" w:cs="Arial" w:eastAsia="Arial" w:hAnsi="Arial"/>
          <w:sz w:val="18"/>
          <w:szCs w:val="18"/>
          <w:color w:val="auto"/>
        </w:rPr>
        <w:t>Certain products may require compliance with United States export regulations, and compliance with such regulations could impact certain sales, and have a material adverse effect on our operating results. In addition, failure to comply could subject us to sanctions that could negatively impact our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3(i).1</w:t>
            </w:r>
          </w:p>
        </w:tc>
        <w:tc>
          <w:tcPr>
            <w:tcW w:w="10640" w:type="dxa"/>
            <w:vAlign w:val="bottom"/>
          </w:tcPr>
          <w:p>
            <w:pPr>
              <w:ind w:left="380"/>
              <w:spacing w:after="0"/>
              <w:rPr>
                <w:sz w:val="20"/>
                <w:szCs w:val="20"/>
                <w:color w:val="auto"/>
              </w:rPr>
            </w:pPr>
            <w:r>
              <w:rPr>
                <w:rFonts w:ascii="Arial" w:cs="Arial" w:eastAsia="Arial" w:hAnsi="Arial"/>
                <w:sz w:val="18"/>
                <w:szCs w:val="18"/>
                <w:color w:val="auto"/>
                <w:w w:val="96"/>
              </w:rPr>
              <w:t>Amended and Restated Certificate of Incorporation of Cohu, Inc. incorporated herein by reference to Exhibit 3.1(a) from the Cohu, Inc.</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3(i).2</w:t>
            </w:r>
          </w:p>
        </w:tc>
        <w:tc>
          <w:tcPr>
            <w:tcW w:w="10640" w:type="dxa"/>
            <w:vAlign w:val="bottom"/>
          </w:tcPr>
          <w:p>
            <w:pPr>
              <w:ind w:left="380"/>
              <w:spacing w:after="0"/>
              <w:rPr>
                <w:sz w:val="20"/>
                <w:szCs w:val="20"/>
                <w:color w:val="auto"/>
              </w:rPr>
            </w:pPr>
            <w:r>
              <w:rPr>
                <w:rFonts w:ascii="Arial" w:cs="Arial" w:eastAsia="Arial" w:hAnsi="Arial"/>
                <w:sz w:val="18"/>
                <w:szCs w:val="18"/>
                <w:color w:val="auto"/>
                <w:w w:val="95"/>
              </w:rPr>
              <w:t>Certificate of Amendment of Amended and Restated Certificate of Incorporation of Cohu, Inc. incorporated herein by reference from the</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Cohu, Inc. Form S-8 filed with the Securities and Exchange Commission on June 30, 2000, Exhibit 4.1(a)</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3(ii)</w:t>
            </w:r>
          </w:p>
        </w:tc>
        <w:tc>
          <w:tcPr>
            <w:tcW w:w="10640" w:type="dxa"/>
            <w:vAlign w:val="bottom"/>
          </w:tcPr>
          <w:p>
            <w:pPr>
              <w:ind w:left="380"/>
              <w:spacing w:after="0"/>
              <w:rPr>
                <w:sz w:val="20"/>
                <w:szCs w:val="20"/>
                <w:color w:val="auto"/>
              </w:rPr>
            </w:pPr>
            <w:r>
              <w:rPr>
                <w:rFonts w:ascii="Arial" w:cs="Arial" w:eastAsia="Arial" w:hAnsi="Arial"/>
                <w:sz w:val="18"/>
                <w:szCs w:val="18"/>
                <w:color w:val="auto"/>
                <w:w w:val="93"/>
              </w:rPr>
              <w:t>Amended and Restated Bylaws of Cohu, Inc. incorporated herein by reference to Exhibit 3.2 from the Cohu, Inc. Report on Form 8-K filed</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with the Securities and Exchange Commission on December 12, 1996</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0640" w:type="dxa"/>
            <w:vAlign w:val="bottom"/>
          </w:tcPr>
          <w:p>
            <w:pPr>
              <w:ind w:left="380"/>
              <w:spacing w:after="0"/>
              <w:rPr>
                <w:sz w:val="20"/>
                <w:szCs w:val="20"/>
                <w:color w:val="auto"/>
              </w:rPr>
            </w:pPr>
            <w:r>
              <w:rPr>
                <w:rFonts w:ascii="Arial" w:cs="Arial" w:eastAsia="Arial" w:hAnsi="Arial"/>
                <w:sz w:val="18"/>
                <w:szCs w:val="18"/>
                <w:color w:val="auto"/>
                <w:w w:val="90"/>
              </w:rPr>
              <w:t>Amended and Restated Rights Agreement dated November 10, 2006, between Cohu, Inc. and Mellon Investor Services LLC, as Rights Agent,</w:t>
            </w:r>
          </w:p>
        </w:tc>
      </w:tr>
      <w:tr>
        <w:trPr>
          <w:trHeight w:val="216"/>
        </w:trPr>
        <w:tc>
          <w:tcPr>
            <w:tcW w:w="780" w:type="dxa"/>
            <w:vAlign w:val="bottom"/>
          </w:tcPr>
          <w:p>
            <w:pPr>
              <w:spacing w:after="0"/>
              <w:rPr>
                <w:sz w:val="18"/>
                <w:szCs w:val="18"/>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incorporated herein by reference from the Cohu, Inc. Report on Form 8-K filed with the Securities and Exchange Commission on</w:t>
            </w:r>
          </w:p>
        </w:tc>
      </w:tr>
      <w:tr>
        <w:trPr>
          <w:trHeight w:val="230"/>
        </w:trPr>
        <w:tc>
          <w:tcPr>
            <w:tcW w:w="780" w:type="dxa"/>
            <w:vAlign w:val="bottom"/>
          </w:tcPr>
          <w:p>
            <w:pPr>
              <w:spacing w:after="0"/>
              <w:rPr>
                <w:sz w:val="20"/>
                <w:szCs w:val="20"/>
                <w:color w:val="auto"/>
              </w:rPr>
            </w:pPr>
          </w:p>
        </w:tc>
        <w:tc>
          <w:tcPr>
            <w:tcW w:w="10640" w:type="dxa"/>
            <w:vAlign w:val="bottom"/>
          </w:tcPr>
          <w:p>
            <w:pPr>
              <w:ind w:left="380"/>
              <w:spacing w:after="0"/>
              <w:rPr>
                <w:sz w:val="20"/>
                <w:szCs w:val="20"/>
                <w:color w:val="auto"/>
              </w:rPr>
            </w:pPr>
            <w:r>
              <w:rPr>
                <w:rFonts w:ascii="Arial" w:cs="Arial" w:eastAsia="Arial" w:hAnsi="Arial"/>
                <w:sz w:val="18"/>
                <w:szCs w:val="18"/>
                <w:color w:val="auto"/>
              </w:rPr>
              <w:t>November 13, 2006, Exhibit 99.1</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640" w:type="dxa"/>
            <w:vAlign w:val="bottom"/>
          </w:tcPr>
          <w:p>
            <w:pPr>
              <w:ind w:left="38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640" w:type="dxa"/>
            <w:vAlign w:val="bottom"/>
          </w:tcPr>
          <w:p>
            <w:pPr>
              <w:ind w:left="38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640" w:type="dxa"/>
            <w:vAlign w:val="bottom"/>
          </w:tcPr>
          <w:p>
            <w:pPr>
              <w:ind w:left="38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32.2</w:t>
            </w:r>
          </w:p>
        </w:tc>
        <w:tc>
          <w:tcPr>
            <w:tcW w:w="10640" w:type="dxa"/>
            <w:vAlign w:val="bottom"/>
          </w:tcPr>
          <w:p>
            <w:pPr>
              <w:ind w:left="38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405"/>
        </w:trPr>
        <w:tc>
          <w:tcPr>
            <w:tcW w:w="780" w:type="dxa"/>
            <w:vAlign w:val="bottom"/>
          </w:tcPr>
          <w:p>
            <w:pPr>
              <w:spacing w:after="0"/>
              <w:rPr>
                <w:sz w:val="24"/>
                <w:szCs w:val="24"/>
                <w:color w:val="auto"/>
              </w:rPr>
            </w:pPr>
          </w:p>
        </w:tc>
        <w:tc>
          <w:tcPr>
            <w:tcW w:w="10640" w:type="dxa"/>
            <w:vAlign w:val="bottom"/>
          </w:tcPr>
          <w:p>
            <w:pPr>
              <w:ind w:left="4840"/>
              <w:spacing w:after="0"/>
              <w:rPr>
                <w:sz w:val="20"/>
                <w:szCs w:val="20"/>
                <w:color w:val="auto"/>
              </w:rPr>
            </w:pPr>
            <w:r>
              <w:rPr>
                <w:rFonts w:ascii="Arial" w:cs="Arial" w:eastAsia="Arial" w:hAnsi="Arial"/>
                <w:sz w:val="18"/>
                <w:szCs w:val="18"/>
                <w:color w:val="auto"/>
              </w:rPr>
              <w:t>26</w:t>
            </w:r>
          </w:p>
        </w:tc>
      </w:tr>
      <w:tr>
        <w:trPr>
          <w:trHeight w:val="226"/>
        </w:trPr>
        <w:tc>
          <w:tcPr>
            <w:tcW w:w="780" w:type="dxa"/>
            <w:vAlign w:val="bottom"/>
            <w:tcBorders>
              <w:bottom w:val="single" w:sz="8" w:color="808080"/>
            </w:tcBorders>
          </w:tcPr>
          <w:p>
            <w:pPr>
              <w:spacing w:after="0"/>
              <w:rPr>
                <w:sz w:val="19"/>
                <w:szCs w:val="19"/>
                <w:color w:val="auto"/>
              </w:rPr>
            </w:pPr>
          </w:p>
        </w:tc>
        <w:tc>
          <w:tcPr>
            <w:tcW w:w="10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00" w:type="dxa"/>
            <w:vAlign w:val="bottom"/>
          </w:tcPr>
          <w:p>
            <w:pPr>
              <w:spacing w:after="0"/>
              <w:rPr>
                <w:sz w:val="20"/>
                <w:szCs w:val="20"/>
                <w:color w:val="auto"/>
              </w:rPr>
            </w:pPr>
          </w:p>
        </w:tc>
        <w:tc>
          <w:tcPr>
            <w:tcW w:w="422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COHU, INC.</w:t>
            </w:r>
          </w:p>
        </w:tc>
        <w:tc>
          <w:tcPr>
            <w:tcW w:w="1700" w:type="dxa"/>
            <w:vAlign w:val="bottom"/>
          </w:tcPr>
          <w:p>
            <w:pPr>
              <w:spacing w:after="0"/>
              <w:rPr>
                <w:sz w:val="20"/>
                <w:szCs w:val="20"/>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ind w:left="1680"/>
              <w:spacing w:after="0"/>
              <w:rPr>
                <w:sz w:val="20"/>
                <w:szCs w:val="20"/>
                <w:color w:val="auto"/>
              </w:rPr>
            </w:pPr>
            <w:r>
              <w:rPr>
                <w:rFonts w:ascii="Arial" w:cs="Arial" w:eastAsia="Arial" w:hAnsi="Arial"/>
                <w:sz w:val="18"/>
                <w:szCs w:val="18"/>
                <w:color w:val="auto"/>
              </w:rPr>
              <w:t>(Registrant)</w:t>
            </w:r>
          </w:p>
        </w:tc>
        <w:tc>
          <w:tcPr>
            <w:tcW w:w="1700" w:type="dxa"/>
            <w:vAlign w:val="bottom"/>
          </w:tcPr>
          <w:p>
            <w:pPr>
              <w:spacing w:after="0"/>
              <w:rPr>
                <w:sz w:val="20"/>
                <w:szCs w:val="20"/>
                <w:color w:val="auto"/>
              </w:rPr>
            </w:pPr>
          </w:p>
        </w:tc>
      </w:tr>
      <w:tr>
        <w:trPr>
          <w:trHeight w:val="418"/>
        </w:trPr>
        <w:tc>
          <w:tcPr>
            <w:tcW w:w="5500" w:type="dxa"/>
            <w:vAlign w:val="bottom"/>
          </w:tcPr>
          <w:p>
            <w:pPr>
              <w:spacing w:after="0"/>
              <w:rPr>
                <w:sz w:val="20"/>
                <w:szCs w:val="20"/>
                <w:color w:val="auto"/>
              </w:rPr>
            </w:pPr>
            <w:r>
              <w:rPr>
                <w:rFonts w:ascii="Arial" w:cs="Arial" w:eastAsia="Arial" w:hAnsi="Arial"/>
                <w:sz w:val="18"/>
                <w:szCs w:val="18"/>
                <w:color w:val="auto"/>
              </w:rPr>
              <w:t>Date: October 26,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Donahue</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James A. Donahue</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700" w:type="dxa"/>
            <w:vAlign w:val="bottom"/>
          </w:tcPr>
          <w:p>
            <w:pPr>
              <w:spacing w:after="0"/>
              <w:rPr>
                <w:sz w:val="20"/>
                <w:szCs w:val="20"/>
                <w:color w:val="auto"/>
              </w:rPr>
            </w:pPr>
          </w:p>
        </w:tc>
      </w:tr>
      <w:tr>
        <w:trPr>
          <w:trHeight w:val="648"/>
        </w:trPr>
        <w:tc>
          <w:tcPr>
            <w:tcW w:w="5500" w:type="dxa"/>
            <w:vAlign w:val="bottom"/>
          </w:tcPr>
          <w:p>
            <w:pPr>
              <w:spacing w:after="0"/>
              <w:rPr>
                <w:sz w:val="20"/>
                <w:szCs w:val="20"/>
                <w:color w:val="auto"/>
              </w:rPr>
            </w:pPr>
            <w:r>
              <w:rPr>
                <w:rFonts w:ascii="Arial" w:cs="Arial" w:eastAsia="Arial" w:hAnsi="Arial"/>
                <w:sz w:val="18"/>
                <w:szCs w:val="18"/>
                <w:color w:val="auto"/>
              </w:rPr>
              <w:t>Date: October 26,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H. Allen</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John H. Allen</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Finance &amp; Chief Financial Officer</w:t>
            </w:r>
          </w:p>
        </w:tc>
        <w:tc>
          <w:tcPr>
            <w:tcW w:w="1700" w:type="dxa"/>
            <w:vAlign w:val="bottom"/>
          </w:tcPr>
          <w:p>
            <w:pPr>
              <w:spacing w:after="0"/>
              <w:rPr>
                <w:sz w:val="20"/>
                <w:szCs w:val="20"/>
                <w:color w:val="auto"/>
              </w:rPr>
            </w:pPr>
          </w:p>
        </w:tc>
      </w:tr>
      <w:tr>
        <w:trPr>
          <w:trHeight w:val="405"/>
        </w:trPr>
        <w:tc>
          <w:tcPr>
            <w:tcW w:w="5500" w:type="dxa"/>
            <w:vAlign w:val="bottom"/>
          </w:tcPr>
          <w:p>
            <w:pPr>
              <w:spacing w:after="0"/>
              <w:rPr>
                <w:sz w:val="24"/>
                <w:szCs w:val="24"/>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27</w:t>
            </w:r>
          </w:p>
        </w:tc>
        <w:tc>
          <w:tcPr>
            <w:tcW w:w="1700" w:type="dxa"/>
            <w:vAlign w:val="bottom"/>
          </w:tcPr>
          <w:p>
            <w:pPr>
              <w:spacing w:after="0"/>
              <w:rPr>
                <w:sz w:val="24"/>
                <w:szCs w:val="24"/>
                <w:color w:val="auto"/>
              </w:rPr>
            </w:pPr>
          </w:p>
        </w:tc>
      </w:tr>
      <w:tr>
        <w:trPr>
          <w:trHeight w:val="226"/>
        </w:trPr>
        <w:tc>
          <w:tcPr>
            <w:tcW w:w="5500" w:type="dxa"/>
            <w:vAlign w:val="bottom"/>
            <w:tcBorders>
              <w:bottom w:val="single" w:sz="8" w:color="808080"/>
            </w:tcBorders>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3(i).1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6"/>
              </w:rPr>
              <w:t>Amended and Restated Certificate of Incorporation of Cohu, Inc. incorporated herein by reference to Exhibit 3.1(a) from the Cohu, Inc.</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3(i).2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Certificate of Amendment of Amended and Restated Certificate of Incorporation of Cohu, Inc. incorporated herein by reference from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Cohu, Inc. Form S-8 filed with the Securities and Exchange Commission on June 30, 2000, Exhibit 4.1(a)</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3(ii)</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Amended and Restated Bylaws of Cohu, Inc. incorporated herein by reference to Exhibit 3.2 from the Cohu, Inc. Report on Form 8-K filed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with the Securities and Exchange Commission on December 12, 1996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Amended and Restated Rights Agreement dated November 10, 2006, between Cohu, Inc. and Mellon Investor Services LLC, as Rights Agent,</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incorporated herein by reference from the Cohu, Inc. Report on Form 8-K filed with the Securities and Exchange Commission on</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November 13, 2006, Exhibit 99.1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ectPr>
          <w:pgSz w:w="11900" w:h="16838" w:orient="portrait"/>
          <w:cols w:equalWidth="0" w:num="1">
            <w:col w:w="11420"/>
          </w:cols>
          <w:pgMar w:left="240" w:top="41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117"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40" w:firstLine="1"/>
        <w:spacing w:after="0" w:line="264" w:lineRule="auto"/>
        <w:tabs>
          <w:tab w:leader="none" w:pos="116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20" w:firstLine="1"/>
        <w:spacing w:after="0" w:line="264" w:lineRule="auto"/>
        <w:tabs>
          <w:tab w:leader="none" w:pos="117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60" w:firstLine="1"/>
        <w:spacing w:after="0" w:line="342" w:lineRule="auto"/>
        <w:tabs>
          <w:tab w:leader="none" w:pos="1165"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20" w:firstLine="1"/>
        <w:spacing w:after="0" w:line="264" w:lineRule="auto"/>
        <w:tabs>
          <w:tab w:leader="none" w:pos="117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780" w:firstLine="1"/>
        <w:spacing w:after="0" w:line="308" w:lineRule="auto"/>
        <w:tabs>
          <w:tab w:leader="none" w:pos="1155"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right="460" w:firstLine="1"/>
        <w:spacing w:after="0" w:line="277" w:lineRule="auto"/>
        <w:tabs>
          <w:tab w:leader="none" w:pos="116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131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John H. Allen, certify that:</w:t>
      </w:r>
    </w:p>
    <w:p>
      <w:pPr>
        <w:spacing w:after="0" w:line="117" w:lineRule="exact"/>
        <w:rPr>
          <w:sz w:val="20"/>
          <w:szCs w:val="20"/>
          <w:color w:val="auto"/>
        </w:rPr>
      </w:pPr>
    </w:p>
    <w:p>
      <w:pPr>
        <w:ind w:left="660" w:hanging="43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436"/>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20" w:right="40" w:firstLine="1"/>
        <w:spacing w:after="0" w:line="264" w:lineRule="auto"/>
        <w:tabs>
          <w:tab w:leader="none" w:pos="116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420" w:firstLine="1"/>
        <w:spacing w:after="0" w:line="264" w:lineRule="auto"/>
        <w:tabs>
          <w:tab w:leader="none" w:pos="117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560" w:firstLine="1"/>
        <w:spacing w:after="0" w:line="342" w:lineRule="auto"/>
        <w:tabs>
          <w:tab w:leader="none" w:pos="1165"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20" w:firstLine="1"/>
        <w:spacing w:after="0" w:line="264" w:lineRule="auto"/>
        <w:tabs>
          <w:tab w:leader="none" w:pos="117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40" w:hanging="436"/>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20" w:right="780" w:firstLine="1"/>
        <w:spacing w:after="0" w:line="308" w:lineRule="auto"/>
        <w:tabs>
          <w:tab w:leader="none" w:pos="1155"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right="460" w:firstLine="1"/>
        <w:spacing w:after="0" w:line="277" w:lineRule="auto"/>
        <w:tabs>
          <w:tab w:leader="none" w:pos="116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p>
      <w:pPr>
        <w:sectPr>
          <w:pgSz w:w="11900" w:h="16838" w:orient="portrait"/>
          <w:cols w:equalWidth="0" w:num="1">
            <w:col w:w="11420"/>
          </w:cols>
          <w:pgMar w:left="240" w:top="93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September 29, 2007 (the “Report”), I, James A. Donahue, President and Chief Executive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September 29, 2007 (the “Report”), I, John H. Allen, Vice President Finance &amp; Chief Financial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360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decimal"/>
      <w:start w:val="4"/>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1."/>
      <w:numFmt w:val="decimal"/>
      <w:start w:val="7"/>
    </w:lvl>
  </w:abstractNum>
  <w:abstractNum w:abstractNumId="8">
    <w:nsid w:val="3352255A"/>
    <w:multiLevelType w:val="hybridMultilevel"/>
    <w:lvl w:ilvl="0">
      <w:lvlJc w:val="left"/>
      <w:lvlText w:val="%1."/>
      <w:numFmt w:val="decimal"/>
      <w:start w:val="8"/>
    </w:lvl>
  </w:abstractNum>
  <w:abstractNum w:abstractNumId="9">
    <w:nsid w:val="109CF92E"/>
    <w:multiLevelType w:val="hybridMultilevel"/>
    <w:lvl w:ilvl="0">
      <w:lvlJc w:val="left"/>
      <w:lvlText w:val="%1."/>
      <w:numFmt w:val="decimal"/>
      <w:start w:val="10"/>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2019-12-11T16:44:50Z</dcterms:created>
  <dcterms:modified xsi:type="dcterms:W3CDTF">2019-12-11T16:44:50Z</dcterms:modified>
</cp:coreProperties>
</file>