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4"/>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21"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spacing w:after="0" w:line="196" w:lineRule="exact"/>
        <w:tabs>
          <w:tab w:leader="none" w:pos="8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o</w:t>
        <w:tab/>
        <w:t xml:space="preserve">No </w:t>
      </w:r>
      <w:r>
        <w:rPr>
          <w:rFonts w:ascii="MS PGothic" w:cs="MS PGothic" w:eastAsia="MS PGothic" w:hAnsi="MS PGothic"/>
          <w:sz w:val="17"/>
          <w:szCs w:val="17"/>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2007 the Registrant had 22,894,361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Part I</w:t>
            </w:r>
          </w:p>
        </w:tc>
        <w:tc>
          <w:tcPr>
            <w:tcW w:w="934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210"/>
        </w:trPr>
        <w:tc>
          <w:tcPr>
            <w:tcW w:w="1220" w:type="dxa"/>
            <w:vAlign w:val="bottom"/>
            <w:gridSpan w:val="7"/>
            <w:vMerge w:val="continue"/>
          </w:tcPr>
          <w:p>
            <w:pPr>
              <w:spacing w:after="0"/>
              <w:rPr>
                <w:sz w:val="18"/>
                <w:szCs w:val="18"/>
                <w:color w:val="auto"/>
              </w:rPr>
            </w:pPr>
          </w:p>
        </w:tc>
        <w:tc>
          <w:tcPr>
            <w:tcW w:w="9340" w:type="dxa"/>
            <w:vAlign w:val="bottom"/>
            <w:gridSpan w:val="17"/>
            <w:vMerge w:val="continu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700" w:type="dxa"/>
            <w:vAlign w:val="bottom"/>
            <w:gridSpan w:val="5"/>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78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June 30, 2007 (unaudited) and December 30, 2006</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Income (unaudited) Three and Six Months Ended June 30, 2007 and June 24, 2006</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40" w:type="dxa"/>
            <w:vAlign w:val="bottom"/>
            <w:tcBorders>
              <w:top w:val="single" w:sz="8" w:color="0000EE"/>
            </w:tcBorders>
            <w:gridSpan w:val="16"/>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(unaudited) Six Months Ended June 30, 2007 and June 24, 2006</w:t>
              </w:r>
            </w:hyperlink>
          </w:p>
        </w:tc>
        <w:tc>
          <w:tcPr>
            <w:tcW w:w="50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580" w:type="dxa"/>
            <w:vAlign w:val="bottom"/>
            <w:tcBorders>
              <w:top w:val="single" w:sz="8" w:color="0000EE"/>
            </w:tcBorders>
            <w:gridSpan w:val="3"/>
          </w:tcPr>
          <w:p>
            <w:pPr>
              <w:spacing w:after="0"/>
              <w:rPr>
                <w:sz w:val="24"/>
                <w:szCs w:val="24"/>
                <w:color w:val="auto"/>
              </w:rPr>
            </w:pPr>
          </w:p>
        </w:tc>
        <w:tc>
          <w:tcPr>
            <w:tcW w:w="960" w:type="dxa"/>
            <w:vAlign w:val="bottom"/>
            <w:gridSpan w:val="2"/>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700" w:type="dxa"/>
            <w:vAlign w:val="bottom"/>
            <w:gridSpan w:val="5"/>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700" w:type="dxa"/>
            <w:vAlign w:val="bottom"/>
            <w:gridSpan w:val="5"/>
          </w:tcPr>
          <w:p>
            <w:pPr>
              <w:spacing w:after="0"/>
              <w:rPr>
                <w:sz w:val="24"/>
                <w:szCs w:val="24"/>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880" w:type="dxa"/>
            <w:vAlign w:val="bottom"/>
            <w:gridSpan w:val="4"/>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700" w:type="dxa"/>
            <w:vAlign w:val="bottom"/>
            <w:gridSpan w:val="5"/>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7560" w:type="dxa"/>
            <w:vAlign w:val="bottom"/>
            <w:gridSpan w:val="10"/>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680" w:type="dxa"/>
            <w:vAlign w:val="bottom"/>
            <w:gridSpan w:val="4"/>
          </w:tcPr>
          <w:p>
            <w:pPr>
              <w:spacing w:after="0"/>
              <w:rPr>
                <w:sz w:val="24"/>
                <w:szCs w:val="24"/>
                <w:color w:val="auto"/>
              </w:rPr>
            </w:pPr>
          </w:p>
        </w:tc>
        <w:tc>
          <w:tcPr>
            <w:tcW w:w="9340" w:type="dxa"/>
            <w:vAlign w:val="bottom"/>
            <w:gridSpan w:val="17"/>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7900" w:type="dxa"/>
            <w:vAlign w:val="bottom"/>
            <w:gridSpan w:val="12"/>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22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3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580" w:type="dxa"/>
            <w:vAlign w:val="bottom"/>
            <w:gridSpan w:val="3"/>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4980" w:type="dxa"/>
            <w:vAlign w:val="bottom"/>
            <w:gridSpan w:val="7"/>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700" w:type="dxa"/>
            <w:vAlign w:val="bottom"/>
            <w:gridSpan w:val="5"/>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700" w:type="dxa"/>
            <w:vAlign w:val="bottom"/>
            <w:gridSpan w:val="5"/>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Security Holders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7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24"/>
                <w:szCs w:val="24"/>
                <w:color w:val="auto"/>
              </w:rPr>
            </w:pPr>
          </w:p>
        </w:tc>
        <w:tc>
          <w:tcPr>
            <w:tcW w:w="5580" w:type="dxa"/>
            <w:vAlign w:val="bottom"/>
            <w:gridSpan w:val="8"/>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700" w:type="dxa"/>
            <w:vAlign w:val="bottom"/>
            <w:gridSpan w:val="5"/>
          </w:tcPr>
          <w:p>
            <w:pPr>
              <w:spacing w:after="0"/>
              <w:rPr>
                <w:sz w:val="24"/>
                <w:szCs w:val="24"/>
                <w:color w:val="auto"/>
              </w:rPr>
            </w:pPr>
          </w:p>
        </w:tc>
        <w:tc>
          <w:tcPr>
            <w:tcW w:w="934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60" w:type="dxa"/>
            <w:vAlign w:val="bottom"/>
            <w:gridSpan w:val="6"/>
          </w:tcPr>
          <w:p>
            <w:pPr>
              <w:spacing w:after="0" w:line="196" w:lineRule="exact"/>
              <w:rPr>
                <w:sz w:val="20"/>
                <w:szCs w:val="20"/>
                <w:color w:val="auto"/>
              </w:rPr>
            </w:pPr>
            <w:r>
              <w:rPr>
                <w:rFonts w:ascii="Arial" w:cs="Arial" w:eastAsia="Arial" w:hAnsi="Arial"/>
                <w:sz w:val="18"/>
                <w:szCs w:val="18"/>
                <w:color w:val="0000EE"/>
              </w:rPr>
              <w:t>EXHIBIT 31.1</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60" w:type="dxa"/>
            <w:vAlign w:val="bottom"/>
            <w:gridSpan w:val="6"/>
          </w:tcPr>
          <w:p>
            <w:pPr>
              <w:spacing w:after="0" w:line="196" w:lineRule="exact"/>
              <w:rPr>
                <w:sz w:val="20"/>
                <w:szCs w:val="20"/>
                <w:color w:val="auto"/>
              </w:rPr>
            </w:pPr>
            <w:r>
              <w:rPr>
                <w:rFonts w:ascii="Arial" w:cs="Arial" w:eastAsia="Arial" w:hAnsi="Arial"/>
                <w:sz w:val="18"/>
                <w:szCs w:val="18"/>
                <w:color w:val="0000EE"/>
              </w:rPr>
              <w:t>EXHIBIT 31.2</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60" w:type="dxa"/>
            <w:vAlign w:val="bottom"/>
            <w:gridSpan w:val="6"/>
          </w:tcPr>
          <w:p>
            <w:pPr>
              <w:spacing w:after="0" w:line="196" w:lineRule="exact"/>
              <w:rPr>
                <w:sz w:val="20"/>
                <w:szCs w:val="20"/>
                <w:color w:val="auto"/>
              </w:rPr>
            </w:pPr>
            <w:r>
              <w:rPr>
                <w:rFonts w:ascii="Arial" w:cs="Arial" w:eastAsia="Arial" w:hAnsi="Arial"/>
                <w:sz w:val="18"/>
                <w:szCs w:val="18"/>
                <w:color w:val="0000EE"/>
              </w:rPr>
              <w:t>EXHIBIT 32.1</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60" w:type="dxa"/>
            <w:vAlign w:val="bottom"/>
            <w:gridSpan w:val="6"/>
          </w:tcPr>
          <w:p>
            <w:pPr>
              <w:spacing w:after="0" w:line="196" w:lineRule="exact"/>
              <w:rPr>
                <w:sz w:val="20"/>
                <w:szCs w:val="20"/>
                <w:color w:val="auto"/>
              </w:rPr>
            </w:pPr>
            <w:r>
              <w:rPr>
                <w:rFonts w:ascii="Arial" w:cs="Arial" w:eastAsia="Arial" w:hAnsi="Arial"/>
                <w:sz w:val="18"/>
                <w:szCs w:val="18"/>
                <w:color w:val="0000EE"/>
              </w:rPr>
              <w:t>EXHIBIT 32.2</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4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2007</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30, 2006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22,046</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135,663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less allowance for doubtful accounts of $1,219 in 2007 and $1,644 in 2006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35,703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Raw materials and purchased parts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25,546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10,209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48,266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18,577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5,802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assets of discontinued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266,685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Land and land improvements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7,015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Buildings and building improvements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23,361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32,053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62,429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(31,019)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property, plant and equipment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2,864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Unallocated purchased intangible assets, net of accumulated amortization of $150 (Note 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12,898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Other intangible assets, net of accumulated amortization of $3,212 in 2007 and $2,178 in 2006 (Note 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324,554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10,420</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10,387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warranty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Customer advances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2,510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profit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6,379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accrued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Current liabilities of discontinued operations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40,615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2,471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Common stock, $1 par value; 60,000 shares authorized, 22,894 shares issued and outstanding in 2007 and</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22,700 shares in 2006</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22,894</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Paid-in capital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51,775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203,495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277,821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324,554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040" w:type="dxa"/>
            <w:vAlign w:val="bottom"/>
            <w:gridSpan w:val="2"/>
          </w:tcPr>
          <w:p>
            <w:pPr>
              <w:ind w:left="300"/>
              <w:spacing w:after="0"/>
              <w:rPr>
                <w:sz w:val="20"/>
                <w:szCs w:val="20"/>
                <w:color w:val="auto"/>
              </w:rPr>
            </w:pPr>
            <w:r>
              <w:rPr>
                <w:rFonts w:ascii="Arial" w:cs="Arial" w:eastAsia="Arial" w:hAnsi="Arial"/>
                <w:sz w:val="18"/>
                <w:szCs w:val="18"/>
                <w:color w:val="auto"/>
              </w:rPr>
              <w:t>Derived from December 30, 2006 audited financial statements.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40" w:type="dxa"/>
            <w:vAlign w:val="bottom"/>
            <w:gridSpan w:val="2"/>
          </w:tcPr>
          <w:p>
            <w:pPr>
              <w:ind w:left="300"/>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813"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13"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2"/>
                <w:szCs w:val="12"/>
                <w:color w:val="auto"/>
              </w:rPr>
            </w:pPr>
          </w:p>
        </w:tc>
        <w:tc>
          <w:tcPr>
            <w:tcW w:w="10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June 24,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June 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61,942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119,775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and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40,197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9,689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19,723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(2,963)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55,654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118,076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24"/>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Pr>
          <w:p>
            <w:pPr>
              <w:ind w:left="200"/>
              <w:spacing w:after="0" w:line="201" w:lineRule="exact"/>
              <w:rPr>
                <w:sz w:val="20"/>
                <w:szCs w:val="20"/>
                <w:color w:val="auto"/>
              </w:rPr>
            </w:pPr>
            <w:r>
              <w:rPr>
                <w:rFonts w:ascii="Arial" w:cs="Arial" w:eastAsia="Arial" w:hAnsi="Arial"/>
                <w:sz w:val="18"/>
                <w:szCs w:val="18"/>
                <w:color w:val="auto"/>
                <w:w w:val="95"/>
              </w:rPr>
              <w:t>Loss from discontinued metal detection equipment operation, including loss 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w w:val="95"/>
              </w:rPr>
              <w:t>sale of approximately $806,000 for the three and six months ended June 24,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2006, before income taxes, respectively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(726)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22,827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22,581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22,772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22,845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20" w:type="dxa"/>
            <w:vAlign w:val="bottom"/>
            <w:gridSpan w:val="2"/>
          </w:tcPr>
          <w:p>
            <w:pPr>
              <w:ind w:left="56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June 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3,713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Adjustments to reconcile net income to net cash provided from continuing operating activities: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Gain on sale of facilities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other accrued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Excess tax benefits from stock options exercised</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current assets and liabilities, excluding effects from acquisitions and divestitures: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14,564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Customer advances</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profit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compensation, warranty and other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Net cash provided from continuing operating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investing activities, excluding effects from acquisitions and divestitures: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(102,190)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received from facility sale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Payment for purchase of AVS, net of cash received</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(8,310)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purchase of Unigen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Cash received from disposition of discontinued operations, net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advances to discontinued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flows from continuing financing activities: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stock,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Excess tax benefits from stock options exercised</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800"/>
              <w:spacing w:after="0"/>
              <w:rPr>
                <w:sz w:val="20"/>
                <w:szCs w:val="20"/>
                <w:color w:val="auto"/>
              </w:rPr>
            </w:pPr>
            <w:r>
              <w:rPr>
                <w:rFonts w:ascii="Arial" w:cs="Arial" w:eastAsia="Arial" w:hAnsi="Arial"/>
                <w:sz w:val="18"/>
                <w:szCs w:val="18"/>
                <w:color w:val="auto"/>
              </w:rPr>
              <w:t>Net cash provided from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 from continuing operations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beginning of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Cash used for operating activities of discontinued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used for investing activities of discontinued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Cash advances from continuing operations, net</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 of discontinued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of discontinued operations at beginning of period</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Income taxes, net of refunds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capitalized as capital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Dividends declared but not yet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989"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89"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2007</w:t>
      </w:r>
    </w:p>
    <w:p>
      <w:pPr>
        <w:spacing w:after="0" w:line="99" w:lineRule="exact"/>
        <w:rPr>
          <w:sz w:val="20"/>
          <w:szCs w:val="20"/>
          <w:color w:val="auto"/>
        </w:rPr>
      </w:pPr>
    </w:p>
    <w:p>
      <w:pPr>
        <w:ind w:left="460" w:right="7580" w:hanging="452"/>
        <w:spacing w:after="0" w:line="393"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fiscal years are based on a 52- or 53-week period ending on the last Saturday in December. The condensed consolidated balance sheet at December 30, 2006 has been derived from our audited financial statements at that date. The interim condensed consolidated financial statements as of June 30, 2007 (also referred to as “the second quarter of fiscal 2007” and “the first six months of 2007”) and June 24, 2006 (also referred to as “the second quarter of fiscal 2006” and “the first six months of 2006”) are unaudited. However, in management’s opinion, these financial statements reflect all adjustments (consisting only of normal, recurring items) necessary to provide a fair presentation of our financial position, results of operations and cash flows for the periods presented. The second quarter of fiscal 2007 and 2006 were comprised of 13 weeks and the first six months of 2007 and 2006 were comprised of 26 and 25 weeks, respectively.</w:t>
      </w:r>
    </w:p>
    <w:p>
      <w:pPr>
        <w:spacing w:after="0" w:line="94"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interim condensed consolidated financial statements in conjunction with our audited financial statements for the year ended December 30, 2006, which are included in our 2006 Annual Report on Form 10-K, filed with the U. S. Securities and Exchange Commission (“SEC”). In the following notes to our interim condensed consolidated financial statements, Cohu, Inc. is referred to as “Cohu”, “we”, “our” and “us”.</w:t>
      </w:r>
    </w:p>
    <w:p>
      <w:pPr>
        <w:spacing w:after="0" w:line="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34" w:lineRule="exact"/>
        <w:rPr>
          <w:rFonts w:ascii="Arial" w:cs="Arial" w:eastAsia="Arial" w:hAnsi="Arial"/>
          <w:sz w:val="18"/>
          <w:szCs w:val="18"/>
          <w:b w:val="1"/>
          <w:bCs w:val="1"/>
          <w:color w:val="auto"/>
        </w:rPr>
      </w:pPr>
    </w:p>
    <w:p>
      <w:pPr>
        <w:ind w:left="4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Item 1A. “Risk Factors” included in this Form 10-Q. As our interim description of risks and uncertainties only includes any material changes to our annual description, we also recommend reading the description of the risk factors associated with our business previously disclosed in Item 1A. of our 2006 Annual Report on Form 10-K. Understanding these risks and uncertainties is integral to the review of our interim condensed consolidated financial statements.</w:t>
      </w:r>
    </w:p>
    <w:p>
      <w:pPr>
        <w:spacing w:after="0" w:line="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460"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May 12, 2006, we sold our metal detection equipment business, FRL, Incorporated (“FRL”). Subsequent to the sale, the operating results of FRL are being presented as discontinued operations (Note 2) and all prior period financial statements have been reclassified accordingly.</w:t>
      </w:r>
    </w:p>
    <w:p>
      <w:pPr>
        <w:spacing w:after="0" w:line="4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4"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On January 1, 2006, we adopted the provisions of Financial Accounting Standards Board (“FASB”) Statement No. 123 (revised 2004),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(“Statement No. 123R”) and SEC Staff Accounting Bulletin No. 107, (“SAB No. 107”) requiring the measurement and recognition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compensation under the fair value method. Share-based compensation expense related to stock options is recorded based on the fair value of the award on its grant date which we estimate using the Black-Scholes valuation model based on the provisions prescribed under Statement</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123R and SAB No. 107.</w:t>
      </w:r>
    </w:p>
    <w:p>
      <w:pPr>
        <w:spacing w:after="0" w:line="116" w:lineRule="exact"/>
        <w:rPr>
          <w:rFonts w:ascii="Arial" w:cs="Arial" w:eastAsia="Arial" w:hAnsi="Arial"/>
          <w:sz w:val="18"/>
          <w:szCs w:val="18"/>
          <w:b w:val="1"/>
          <w:bCs w:val="1"/>
          <w:color w:val="auto"/>
        </w:rPr>
      </w:pPr>
    </w:p>
    <w:p>
      <w:pPr>
        <w:ind w:left="460" w:right="3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Reported share-based compensation is classified, in the condensed consolidated interim financial statements,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320"/>
              <w:spacing w:after="0"/>
              <w:rPr>
                <w:sz w:val="20"/>
                <w:szCs w:val="20"/>
                <w:color w:val="auto"/>
              </w:rPr>
            </w:pPr>
            <w:r>
              <w:rPr>
                <w:rFonts w:ascii="Arial" w:cs="Arial" w:eastAsia="Arial" w:hAnsi="Arial"/>
                <w:sz w:val="14"/>
                <w:szCs w:val="14"/>
                <w:color w:val="auto"/>
                <w:w w:val="92"/>
              </w:rPr>
              <w:t>Three months ended</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80" w:type="dxa"/>
            <w:vAlign w:val="bottom"/>
            <w:gridSpan w:val="2"/>
          </w:tcPr>
          <w:p>
            <w:pPr>
              <w:jc w:val="right"/>
              <w:ind w:right="434"/>
              <w:spacing w:after="0" w:line="149" w:lineRule="exact"/>
              <w:rPr>
                <w:sz w:val="20"/>
                <w:szCs w:val="20"/>
                <w:color w:val="auto"/>
              </w:rPr>
            </w:pPr>
            <w:r>
              <w:rPr>
                <w:rFonts w:ascii="Arial" w:cs="Arial" w:eastAsia="Arial" w:hAnsi="Arial"/>
                <w:sz w:val="14"/>
                <w:szCs w:val="14"/>
                <w:color w:val="auto"/>
              </w:rPr>
              <w:t>June 30,</w:t>
            </w:r>
          </w:p>
        </w:tc>
        <w:tc>
          <w:tcPr>
            <w:tcW w:w="11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June 24,</w:t>
            </w:r>
          </w:p>
        </w:tc>
        <w:tc>
          <w:tcPr>
            <w:tcW w:w="520" w:type="dxa"/>
            <w:vAlign w:val="bottom"/>
          </w:tcPr>
          <w:p>
            <w:pPr>
              <w:spacing w:after="0"/>
              <w:rPr>
                <w:sz w:val="12"/>
                <w:szCs w:val="12"/>
                <w:color w:val="auto"/>
              </w:rPr>
            </w:pPr>
          </w:p>
        </w:tc>
        <w:tc>
          <w:tcPr>
            <w:tcW w:w="1260" w:type="dxa"/>
            <w:vAlign w:val="bottom"/>
            <w:gridSpan w:val="2"/>
          </w:tcPr>
          <w:p>
            <w:pPr>
              <w:jc w:val="right"/>
              <w:ind w:right="434"/>
              <w:spacing w:after="0" w:line="149" w:lineRule="exact"/>
              <w:rPr>
                <w:sz w:val="20"/>
                <w:szCs w:val="20"/>
                <w:color w:val="auto"/>
              </w:rPr>
            </w:pPr>
            <w:r>
              <w:rPr>
                <w:rFonts w:ascii="Arial" w:cs="Arial" w:eastAsia="Arial" w:hAnsi="Arial"/>
                <w:sz w:val="14"/>
                <w:szCs w:val="14"/>
                <w:color w:val="auto"/>
              </w:rPr>
              <w:t>June 30,</w:t>
            </w:r>
          </w:p>
        </w:tc>
        <w:tc>
          <w:tcPr>
            <w:tcW w:w="130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June 24,</w:t>
            </w: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2007</w:t>
            </w:r>
          </w:p>
        </w:tc>
        <w:tc>
          <w:tcPr>
            <w:tcW w:w="11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2006</w:t>
            </w: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2007</w:t>
            </w: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111</w:t>
            </w: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228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960" w:type="dxa"/>
            <w:vAlign w:val="bottom"/>
          </w:tcPr>
          <w:p>
            <w:pPr>
              <w:jc w:val="right"/>
              <w:ind w:right="474"/>
              <w:spacing w:after="0"/>
              <w:rPr>
                <w:sz w:val="20"/>
                <w:szCs w:val="20"/>
                <w:color w:val="auto"/>
              </w:rPr>
            </w:pPr>
            <w:r>
              <w:rPr>
                <w:rFonts w:ascii="Arial" w:cs="Arial" w:eastAsia="Arial" w:hAnsi="Arial"/>
                <w:sz w:val="18"/>
                <w:szCs w:val="18"/>
                <w:color w:val="auto"/>
              </w:rPr>
              <w:t>309</w:t>
            </w:r>
          </w:p>
        </w:tc>
        <w:tc>
          <w:tcPr>
            <w:tcW w:w="58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195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74"/>
              <w:spacing w:after="0"/>
              <w:rPr>
                <w:sz w:val="20"/>
                <w:szCs w:val="20"/>
                <w:color w:val="auto"/>
              </w:rPr>
            </w:pPr>
            <w:r>
              <w:rPr>
                <w:rFonts w:ascii="Arial" w:cs="Arial" w:eastAsia="Arial" w:hAnsi="Arial"/>
                <w:sz w:val="18"/>
                <w:szCs w:val="18"/>
                <w:color w:val="auto"/>
              </w:rPr>
              <w:t>615</w:t>
            </w:r>
          </w:p>
        </w:tc>
        <w:tc>
          <w:tcPr>
            <w:tcW w:w="58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rPr>
              <w:t>609</w:t>
            </w: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6"/>
              </w:rPr>
              <w:t>424</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84"/>
              </w:rPr>
              <w:t>1,279</w:t>
            </w:r>
          </w:p>
        </w:tc>
        <w:tc>
          <w:tcPr>
            <w:tcW w:w="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912</w:t>
            </w: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320" w:type="dxa"/>
            <w:vAlign w:val="bottom"/>
          </w:tcPr>
          <w:p>
            <w:pPr>
              <w:spacing w:after="0"/>
              <w:rPr>
                <w:sz w:val="19"/>
                <w:szCs w:val="19"/>
                <w:color w:val="auto"/>
              </w:rPr>
            </w:pPr>
          </w:p>
        </w:tc>
        <w:tc>
          <w:tcPr>
            <w:tcW w:w="960" w:type="dxa"/>
            <w:vAlign w:val="bottom"/>
          </w:tcPr>
          <w:p>
            <w:pPr>
              <w:jc w:val="right"/>
              <w:ind w:right="474"/>
              <w:spacing w:after="0"/>
              <w:rPr>
                <w:sz w:val="20"/>
                <w:szCs w:val="20"/>
                <w:color w:val="auto"/>
              </w:rPr>
            </w:pPr>
            <w:r>
              <w:rPr>
                <w:rFonts w:ascii="Arial" w:cs="Arial" w:eastAsia="Arial" w:hAnsi="Arial"/>
                <w:sz w:val="18"/>
                <w:szCs w:val="18"/>
                <w:color w:val="auto"/>
                <w:w w:val="84"/>
              </w:rPr>
              <w:t>1,029</w:t>
            </w:r>
          </w:p>
        </w:tc>
        <w:tc>
          <w:tcPr>
            <w:tcW w:w="58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695</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74"/>
              <w:spacing w:after="0"/>
              <w:rPr>
                <w:sz w:val="20"/>
                <w:szCs w:val="20"/>
                <w:color w:val="auto"/>
              </w:rPr>
            </w:pPr>
            <w:r>
              <w:rPr>
                <w:rFonts w:ascii="Arial" w:cs="Arial" w:eastAsia="Arial" w:hAnsi="Arial"/>
                <w:sz w:val="18"/>
                <w:szCs w:val="18"/>
                <w:color w:val="auto"/>
                <w:w w:val="84"/>
              </w:rPr>
              <w:t>2,122</w:t>
            </w:r>
          </w:p>
        </w:tc>
        <w:tc>
          <w:tcPr>
            <w:tcW w:w="5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1,500</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(294)</w:t>
            </w: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(89)</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(562)</w:t>
            </w:r>
          </w:p>
        </w:tc>
        <w:tc>
          <w:tcPr>
            <w:tcW w:w="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(186)</w:t>
            </w: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735</w:t>
            </w:r>
          </w:p>
        </w:tc>
        <w:tc>
          <w:tcPr>
            <w:tcW w:w="5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6"/>
              </w:rPr>
              <w:t>606</w:t>
            </w:r>
          </w:p>
        </w:tc>
        <w:tc>
          <w:tcPr>
            <w:tcW w:w="5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w w:val="84"/>
              </w:rPr>
              <w:t>1,560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84"/>
              </w:rPr>
              <w:t>1,314</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Per Share</w:t>
      </w:r>
    </w:p>
    <w:p>
      <w:pPr>
        <w:spacing w:after="0" w:line="121" w:lineRule="exact"/>
        <w:rPr>
          <w:sz w:val="20"/>
          <w:szCs w:val="20"/>
          <w:color w:val="auto"/>
        </w:rPr>
      </w:pPr>
    </w:p>
    <w:p>
      <w:pPr>
        <w:ind w:left="240" w:right="20"/>
        <w:spacing w:after="0" w:line="291" w:lineRule="auto"/>
        <w:rPr>
          <w:sz w:val="20"/>
          <w:szCs w:val="20"/>
          <w:color w:val="auto"/>
        </w:rPr>
      </w:pPr>
      <w:r>
        <w:rPr>
          <w:rFonts w:ascii="Arial" w:cs="Arial" w:eastAsia="Arial" w:hAnsi="Arial"/>
          <w:sz w:val="16"/>
          <w:szCs w:val="16"/>
          <w:color w:val="auto"/>
        </w:rPr>
        <w:t xml:space="preserve">Income per share is computed in accordance with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Basic income per share is computed using the weighted average number of common shares outstanding during each period. Diluted income per share includes the dilutive effect of common shares potentially issuable upon the exercise of stock options utilizing the treasury stock method. For purposes of computing diluted income per share, stock options with exercise prices that exceed the average fair market value of our common stock for the period are excluded. For the three and six months ended June 30, 2007, options to purchase approximately 406,000 and 568,000 shares of common stock , respectively, were excluded from the computation. For the three and six months ended June 24, 2006, options to purchase approximately 1,218,000 and 698,000 shares of common stock, respectively, were excluded from the computation. The following table reconciles the denominators used in computing basic and diluted income per share </w:t>
      </w:r>
      <w:r>
        <w:rPr>
          <w:rFonts w:ascii="Arial" w:cs="Arial" w:eastAsia="Arial" w:hAnsi="Arial"/>
          <w:sz w:val="16"/>
          <w:szCs w:val="16"/>
          <w:i w:val="1"/>
          <w:iCs w:val="1"/>
          <w:color w:val="auto"/>
        </w:rPr>
        <w:t>(in thousands)</w:t>
      </w:r>
      <w:r>
        <w:rPr>
          <w:rFonts w:ascii="Arial" w:cs="Arial" w:eastAsia="Arial" w:hAnsi="Arial"/>
          <w:sz w:val="16"/>
          <w:szCs w:val="16"/>
          <w:color w:val="auto"/>
        </w:rPr>
        <w:t xml:space="preserve">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680" w:type="dxa"/>
            <w:vAlign w:val="bottom"/>
            <w:gridSpan w:val="2"/>
          </w:tcPr>
          <w:p>
            <w:pPr>
              <w:jc w:val="right"/>
              <w:ind w:right="657"/>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739"/>
              <w:spacing w:after="0"/>
              <w:rPr>
                <w:sz w:val="20"/>
                <w:szCs w:val="20"/>
                <w:color w:val="auto"/>
              </w:rPr>
            </w:pPr>
            <w:r>
              <w:rPr>
                <w:rFonts w:ascii="Arial" w:cs="Arial" w:eastAsia="Arial" w:hAnsi="Arial"/>
                <w:sz w:val="14"/>
                <w:szCs w:val="14"/>
                <w:color w:val="auto"/>
                <w:w w:val="90"/>
              </w:rPr>
              <w:t>Six months ended</w:t>
            </w: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40" w:type="dxa"/>
            <w:vAlign w:val="bottom"/>
          </w:tcPr>
          <w:p>
            <w:pPr>
              <w:jc w:val="right"/>
              <w:ind w:right="459"/>
              <w:spacing w:after="0" w:line="149" w:lineRule="exact"/>
              <w:rPr>
                <w:sz w:val="20"/>
                <w:szCs w:val="20"/>
                <w:color w:val="auto"/>
              </w:rPr>
            </w:pPr>
            <w:r>
              <w:rPr>
                <w:rFonts w:ascii="Arial" w:cs="Arial" w:eastAsia="Arial" w:hAnsi="Arial"/>
                <w:sz w:val="14"/>
                <w:szCs w:val="14"/>
                <w:color w:val="auto"/>
              </w:rPr>
              <w:t>June 30,</w:t>
            </w:r>
          </w:p>
        </w:tc>
        <w:tc>
          <w:tcPr>
            <w:tcW w:w="1340" w:type="dxa"/>
            <w:vAlign w:val="bottom"/>
          </w:tcPr>
          <w:p>
            <w:pPr>
              <w:jc w:val="right"/>
              <w:ind w:right="217"/>
              <w:spacing w:after="0" w:line="149" w:lineRule="exact"/>
              <w:rPr>
                <w:sz w:val="20"/>
                <w:szCs w:val="20"/>
                <w:color w:val="auto"/>
              </w:rPr>
            </w:pPr>
            <w:r>
              <w:rPr>
                <w:rFonts w:ascii="Arial" w:cs="Arial" w:eastAsia="Arial" w:hAnsi="Arial"/>
                <w:sz w:val="14"/>
                <w:szCs w:val="14"/>
                <w:color w:val="auto"/>
              </w:rPr>
              <w:t>June 24,</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June 30,</w:t>
            </w:r>
          </w:p>
        </w:tc>
        <w:tc>
          <w:tcPr>
            <w:tcW w:w="1860" w:type="dxa"/>
            <w:vAlign w:val="bottom"/>
          </w:tcPr>
          <w:p>
            <w:pPr>
              <w:jc w:val="right"/>
              <w:ind w:right="219"/>
              <w:spacing w:after="0" w:line="149" w:lineRule="exact"/>
              <w:rPr>
                <w:sz w:val="20"/>
                <w:szCs w:val="20"/>
                <w:color w:val="auto"/>
              </w:rPr>
            </w:pPr>
            <w:r>
              <w:rPr>
                <w:rFonts w:ascii="Arial" w:cs="Arial" w:eastAsia="Arial" w:hAnsi="Arial"/>
                <w:sz w:val="14"/>
                <w:szCs w:val="14"/>
                <w:color w:val="auto"/>
              </w:rPr>
              <w:t>June 24,</w:t>
            </w: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2007</w:t>
            </w: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2006</w:t>
            </w:r>
          </w:p>
        </w:tc>
        <w:tc>
          <w:tcPr>
            <w:tcW w:w="480" w:type="dxa"/>
            <w:vAlign w:val="bottom"/>
          </w:tcPr>
          <w:p>
            <w:pPr>
              <w:spacing w:after="0"/>
              <w:rPr>
                <w:sz w:val="15"/>
                <w:szCs w:val="15"/>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2007</w:t>
            </w: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3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22,827</w:t>
            </w: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22,581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18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22,541</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8"/>
                <w:szCs w:val="18"/>
                <w:color w:val="auto"/>
              </w:rPr>
              <w:t>475</w:t>
            </w:r>
          </w:p>
        </w:tc>
        <w:tc>
          <w:tcPr>
            <w:tcW w:w="13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264</w:t>
            </w:r>
          </w:p>
        </w:tc>
        <w:tc>
          <w:tcPr>
            <w:tcW w:w="4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23,302</w:t>
            </w: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22,845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18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22,935</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30, 2006. As more fully described in that policy, revenue from products that have not previously satisfied customer acceptance requirements is recognized upon customer acceptance. The gross profit on sales that are not recognized is generally recorded as deferred profit and reflected as a current liability in the consolidated balance sheet.</w:t>
      </w:r>
    </w:p>
    <w:p>
      <w:pPr>
        <w:spacing w:after="0" w:line="79" w:lineRule="exact"/>
        <w:rPr>
          <w:sz w:val="20"/>
          <w:szCs w:val="20"/>
          <w:color w:val="auto"/>
        </w:rPr>
      </w:pPr>
    </w:p>
    <w:p>
      <w:pPr>
        <w:ind w:left="240" w:right="540"/>
        <w:spacing w:after="0" w:line="277" w:lineRule="auto"/>
        <w:rPr>
          <w:sz w:val="20"/>
          <w:szCs w:val="20"/>
          <w:color w:val="auto"/>
        </w:rPr>
      </w:pPr>
      <w:r>
        <w:rPr>
          <w:rFonts w:ascii="Arial" w:cs="Arial" w:eastAsia="Arial" w:hAnsi="Arial"/>
          <w:sz w:val="18"/>
          <w:szCs w:val="18"/>
          <w:color w:val="auto"/>
        </w:rPr>
        <w:t>At June 30, 2007, we had deferred revenue totaling approximately $12.4 million and deferred profit of $6.4 million. At December 30, 2006, we had deferred revenue totaling approximately $22.0 million and deferred profit of $9.8 million.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Retiree Medical Benefits</w:t>
      </w:r>
    </w:p>
    <w:p>
      <w:pPr>
        <w:spacing w:after="0" w:line="12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first six months of fiscal 2007 and 2006 was not significant.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240" w:right="460"/>
        <w:spacing w:after="0" w:line="259"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(“Statement No. 159”). Statement No. 159 gives entities the option to carry many financial assets and liabilities at fair value, with changes in fair value recorded in earnings. Statement No. 159, which will be effective in our first quarter of fiscal 2008, is not expected to have a material impact on our consolidated financial position or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460" w:right="180"/>
        <w:spacing w:after="0" w:line="323" w:lineRule="auto"/>
        <w:rPr>
          <w:rFonts w:ascii="Arial" w:cs="Arial" w:eastAsia="Arial" w:hAnsi="Arial"/>
          <w:sz w:val="18"/>
          <w:szCs w:val="18"/>
          <w:b w:val="1"/>
          <w:bCs w:val="1"/>
          <w:color w:val="auto"/>
        </w:rPr>
      </w:pPr>
      <w:r>
        <w:rPr>
          <w:rFonts w:ascii="Arial" w:cs="Arial" w:eastAsia="Arial" w:hAnsi="Arial"/>
          <w:sz w:val="17"/>
          <w:szCs w:val="17"/>
          <w:color w:val="auto"/>
        </w:rPr>
        <w:t xml:space="preserve">On May 12, 2006, we sold substantially all the assets of our metal detection equipment business, FRL. Our decision to sell FRL resulted from management’s determination that this industry segment was no longer a strategic fit within our organization. We are currently attempting to sell our FRL facility in Los Banos, California and believe the current fair value of the property is in excess of its $0.5 million carrying value at June 30, 2007. A summary of key financial information of our discontinued operations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 xml:space="preserve"> :</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20" w:type="dxa"/>
            <w:vAlign w:val="bottom"/>
            <w:gridSpan w:val="3"/>
          </w:tcPr>
          <w:p>
            <w:pPr>
              <w:jc w:val="right"/>
              <w:ind w:right="533"/>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80" w:type="dxa"/>
            <w:vAlign w:val="bottom"/>
          </w:tcPr>
          <w:p>
            <w:pPr>
              <w:jc w:val="right"/>
              <w:ind w:right="656"/>
              <w:spacing w:after="0"/>
              <w:rPr>
                <w:sz w:val="20"/>
                <w:szCs w:val="20"/>
                <w:color w:val="auto"/>
              </w:rPr>
            </w:pPr>
            <w:r>
              <w:rPr>
                <w:rFonts w:ascii="Arial" w:cs="Arial" w:eastAsia="Arial" w:hAnsi="Arial"/>
                <w:sz w:val="14"/>
                <w:szCs w:val="14"/>
                <w:color w:val="auto"/>
                <w:w w:val="90"/>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180" w:type="dxa"/>
            <w:vAlign w:val="bottom"/>
          </w:tcPr>
          <w:p>
            <w:pPr>
              <w:jc w:val="right"/>
              <w:ind w:right="416"/>
              <w:spacing w:after="0" w:line="149" w:lineRule="exact"/>
              <w:rPr>
                <w:sz w:val="20"/>
                <w:szCs w:val="20"/>
                <w:color w:val="auto"/>
              </w:rPr>
            </w:pPr>
            <w:r>
              <w:rPr>
                <w:rFonts w:ascii="Arial" w:cs="Arial" w:eastAsia="Arial" w:hAnsi="Arial"/>
                <w:sz w:val="14"/>
                <w:szCs w:val="14"/>
                <w:color w:val="auto"/>
              </w:rPr>
              <w:t>June 30,</w:t>
            </w:r>
          </w:p>
        </w:tc>
        <w:tc>
          <w:tcPr>
            <w:tcW w:w="12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June 24,</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June 30,</w:t>
            </w:r>
          </w:p>
        </w:tc>
        <w:tc>
          <w:tcPr>
            <w:tcW w:w="1780" w:type="dxa"/>
            <w:vAlign w:val="bottom"/>
          </w:tcPr>
          <w:p>
            <w:pPr>
              <w:jc w:val="right"/>
              <w:ind w:right="196"/>
              <w:spacing w:after="0" w:line="149" w:lineRule="exact"/>
              <w:rPr>
                <w:sz w:val="20"/>
                <w:szCs w:val="20"/>
                <w:color w:val="auto"/>
              </w:rPr>
            </w:pPr>
            <w:r>
              <w:rPr>
                <w:rFonts w:ascii="Arial" w:cs="Arial" w:eastAsia="Arial" w:hAnsi="Arial"/>
                <w:sz w:val="14"/>
                <w:szCs w:val="14"/>
                <w:color w:val="auto"/>
              </w:rPr>
              <w:t>June 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jc w:val="right"/>
              <w:ind w:right="496"/>
              <w:spacing w:after="0"/>
              <w:rPr>
                <w:sz w:val="20"/>
                <w:szCs w:val="20"/>
                <w:color w:val="auto"/>
              </w:rPr>
            </w:pPr>
            <w:r>
              <w:rPr>
                <w:rFonts w:ascii="Arial" w:cs="Arial" w:eastAsia="Arial" w:hAnsi="Arial"/>
                <w:sz w:val="14"/>
                <w:szCs w:val="14"/>
                <w:color w:val="auto"/>
              </w:rPr>
              <w:t>2007</w:t>
            </w:r>
          </w:p>
        </w:tc>
        <w:tc>
          <w:tcPr>
            <w:tcW w:w="580" w:type="dxa"/>
            <w:vAlign w:val="bottom"/>
          </w:tcPr>
          <w:p>
            <w:pPr>
              <w:spacing w:after="0"/>
              <w:rPr>
                <w:sz w:val="15"/>
                <w:szCs w:val="15"/>
                <w:color w:val="auto"/>
              </w:rPr>
            </w:pPr>
          </w:p>
        </w:tc>
        <w:tc>
          <w:tcPr>
            <w:tcW w:w="660" w:type="dxa"/>
            <w:vAlign w:val="bottom"/>
          </w:tcPr>
          <w:p>
            <w:pPr>
              <w:jc w:val="right"/>
              <w:ind w:right="273"/>
              <w:spacing w:after="0"/>
              <w:rPr>
                <w:sz w:val="20"/>
                <w:szCs w:val="20"/>
                <w:color w:val="auto"/>
              </w:rPr>
            </w:pPr>
            <w:r>
              <w:rPr>
                <w:rFonts w:ascii="Arial" w:cs="Arial" w:eastAsia="Arial" w:hAnsi="Arial"/>
                <w:sz w:val="14"/>
                <w:szCs w:val="14"/>
                <w:color w:val="auto"/>
                <w:w w:val="89"/>
              </w:rPr>
              <w:t>2006</w:t>
            </w:r>
          </w:p>
        </w:tc>
        <w:tc>
          <w:tcPr>
            <w:tcW w:w="1240" w:type="dxa"/>
            <w:vAlign w:val="bottom"/>
            <w:gridSpan w:val="2"/>
          </w:tcPr>
          <w:p>
            <w:pPr>
              <w:jc w:val="right"/>
              <w:ind w:right="34"/>
              <w:spacing w:after="0"/>
              <w:rPr>
                <w:sz w:val="20"/>
                <w:szCs w:val="20"/>
                <w:color w:val="auto"/>
              </w:rPr>
            </w:pPr>
            <w:r>
              <w:rPr>
                <w:rFonts w:ascii="Arial" w:cs="Arial" w:eastAsia="Arial" w:hAnsi="Arial"/>
                <w:sz w:val="14"/>
                <w:szCs w:val="14"/>
                <w:color w:val="auto"/>
              </w:rPr>
              <w:t>2007</w:t>
            </w:r>
          </w:p>
        </w:tc>
        <w:tc>
          <w:tcPr>
            <w:tcW w:w="1780" w:type="dxa"/>
            <w:vAlign w:val="bottom"/>
          </w:tcPr>
          <w:p>
            <w:pPr>
              <w:jc w:val="right"/>
              <w:ind w:right="296"/>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rPr>
              <w:t>$ —</w:t>
            </w:r>
          </w:p>
        </w:tc>
        <w:tc>
          <w:tcPr>
            <w:tcW w:w="5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875</w:t>
            </w: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7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1180" w:type="dxa"/>
            <w:vAlign w:val="bottom"/>
          </w:tcPr>
          <w:p>
            <w:pPr>
              <w:jc w:val="right"/>
              <w:ind w:right="536"/>
              <w:spacing w:after="0"/>
              <w:rPr>
                <w:sz w:val="20"/>
                <w:szCs w:val="20"/>
                <w:color w:val="auto"/>
              </w:rPr>
            </w:pPr>
            <w:r>
              <w:rPr>
                <w:rFonts w:ascii="Arial" w:cs="Arial" w:eastAsia="Arial" w:hAnsi="Arial"/>
                <w:sz w:val="18"/>
                <w:szCs w:val="18"/>
                <w:color w:val="auto"/>
              </w:rPr>
              <w:t>$ —</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 —</w:t>
            </w:r>
          </w:p>
        </w:tc>
        <w:tc>
          <w:tcPr>
            <w:tcW w:w="1780" w:type="dxa"/>
            <w:vAlign w:val="bottom"/>
          </w:tcPr>
          <w:p>
            <w:pPr>
              <w:jc w:val="right"/>
              <w:ind w:right="176"/>
              <w:spacing w:after="0"/>
              <w:rPr>
                <w:sz w:val="20"/>
                <w:szCs w:val="20"/>
                <w:color w:val="auto"/>
              </w:rPr>
            </w:pPr>
            <w:r>
              <w:rPr>
                <w:rFonts w:ascii="Arial" w:cs="Arial" w:eastAsia="Arial" w:hAnsi="Arial"/>
                <w:sz w:val="18"/>
                <w:szCs w:val="18"/>
                <w:color w:val="auto"/>
              </w:rPr>
              <w:t>$ (169)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11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0"/>
              </w:rPr>
              <w:t>(806)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7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180" w:type="dxa"/>
            <w:vAlign w:val="bottom"/>
            <w:tcBorders>
              <w:top w:val="single" w:sz="8" w:color="auto"/>
            </w:tcBorders>
          </w:tcPr>
          <w:p>
            <w:pPr>
              <w:jc w:val="right"/>
              <w:ind w:right="476"/>
              <w:spacing w:after="0"/>
              <w:rPr>
                <w:sz w:val="20"/>
                <w:szCs w:val="20"/>
                <w:color w:val="auto"/>
              </w:rPr>
            </w:pPr>
            <w:r>
              <w:rPr>
                <w:rFonts w:ascii="Arial" w:cs="Arial" w:eastAsia="Arial" w:hAnsi="Arial"/>
                <w:sz w:val="18"/>
                <w:szCs w:val="18"/>
                <w:color w:val="auto"/>
              </w:rPr>
              <w:t>(27)</w:t>
            </w:r>
          </w:p>
        </w:tc>
        <w:tc>
          <w:tcPr>
            <w:tcW w:w="5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0"/>
              </w:rPr>
              <w:t>(726)</w:t>
            </w:r>
          </w:p>
        </w:tc>
        <w:tc>
          <w:tcPr>
            <w:tcW w:w="5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7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0"/>
              </w:rPr>
              <w:t>(254)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7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rPr>
              <w:t>$(18)</w:t>
            </w:r>
          </w:p>
        </w:tc>
        <w:tc>
          <w:tcPr>
            <w:tcW w:w="5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0"/>
              </w:rPr>
              <w:t>(472)</w:t>
            </w:r>
          </w:p>
        </w:tc>
        <w:tc>
          <w:tcPr>
            <w:tcW w:w="5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7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rPr>
              <w:t>$ (634)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8320" w:hanging="452"/>
        <w:spacing w:after="0" w:line="472" w:lineRule="auto"/>
        <w:tabs>
          <w:tab w:leader="none" w:pos="4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Intangible Assets </w:t>
      </w:r>
      <w:r>
        <w:rPr>
          <w:rFonts w:ascii="Arial" w:cs="Arial" w:eastAsia="Arial" w:hAnsi="Arial"/>
          <w:sz w:val="15"/>
          <w:szCs w:val="15"/>
          <w:i w:val="1"/>
          <w:iCs w:val="1"/>
          <w:u w:val="single" w:color="auto"/>
          <w:color w:val="auto"/>
        </w:rPr>
        <w:t>Tandberg Television AVS GmbH</w:t>
      </w:r>
    </w:p>
    <w:p>
      <w:pPr>
        <w:ind w:left="460" w:right="2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On March 30, 2007, we purchased Tandberg Television AVS GmbH (“AVS”). The results of AVS’ operations have been included in our consolidated financial statements since that date. Pro forma results of operations have not been presented because the effect of the acquisition was not material. AVS, located near Frankfurt, Germany, designs, develops, manufactures and sells digital microwave transmitters, receivers and communications systems. This acquisition expands our digital microwave communications solutions, especially in high definition broadcast television and public safety and law enforcement applications.</w:t>
      </w:r>
    </w:p>
    <w:p>
      <w:pPr>
        <w:spacing w:after="0" w:line="93" w:lineRule="exact"/>
        <w:rPr>
          <w:rFonts w:ascii="Arial" w:cs="Arial" w:eastAsia="Arial" w:hAnsi="Arial"/>
          <w:sz w:val="15"/>
          <w:szCs w:val="15"/>
          <w:b w:val="1"/>
          <w:bCs w:val="1"/>
          <w:color w:val="auto"/>
        </w:rPr>
      </w:pPr>
    </w:p>
    <w:p>
      <w:pPr>
        <w:ind w:left="460" w:right="40"/>
        <w:spacing w:after="0" w:line="264" w:lineRule="auto"/>
        <w:rPr>
          <w:rFonts w:ascii="Arial" w:cs="Arial" w:eastAsia="Arial" w:hAnsi="Arial"/>
          <w:sz w:val="15"/>
          <w:szCs w:val="15"/>
          <w:b w:val="1"/>
          <w:bCs w:val="1"/>
          <w:color w:val="auto"/>
        </w:rPr>
      </w:pPr>
      <w:r>
        <w:rPr>
          <w:rFonts w:ascii="Arial" w:cs="Arial" w:eastAsia="Arial" w:hAnsi="Arial"/>
          <w:sz w:val="18"/>
          <w:szCs w:val="18"/>
          <w:color w:val="auto"/>
        </w:rPr>
        <w:t>The purchase price of this acquisition was approximately $8.3 million, and was funded by our cash reserves and certain liabilities that we assumed. The purchase price is subject to a working capital adjustment and, as a result, adjustments to the amounts noted below are likely. We expect to finalize the sales price and related purchase price allocation in the third quarter of fiscal 2007.</w:t>
      </w:r>
    </w:p>
    <w:p>
      <w:pPr>
        <w:spacing w:after="0" w:line="86" w:lineRule="exact"/>
        <w:rPr>
          <w:rFonts w:ascii="Arial" w:cs="Arial" w:eastAsia="Arial" w:hAnsi="Arial"/>
          <w:sz w:val="15"/>
          <w:szCs w:val="15"/>
          <w:b w:val="1"/>
          <w:bCs w:val="1"/>
          <w:color w:val="auto"/>
        </w:rPr>
      </w:pPr>
    </w:p>
    <w:p>
      <w:pPr>
        <w:ind w:left="460" w:right="440"/>
        <w:spacing w:after="0" w:line="279" w:lineRule="auto"/>
        <w:rPr>
          <w:rFonts w:ascii="Arial" w:cs="Arial" w:eastAsia="Arial" w:hAnsi="Arial"/>
          <w:sz w:val="15"/>
          <w:szCs w:val="15"/>
          <w:b w:val="1"/>
          <w:bCs w:val="1"/>
          <w:color w:val="auto"/>
        </w:rPr>
      </w:pPr>
      <w:r>
        <w:rPr>
          <w:rFonts w:ascii="Arial" w:cs="Arial" w:eastAsia="Arial" w:hAnsi="Arial"/>
          <w:sz w:val="17"/>
          <w:szCs w:val="17"/>
          <w:color w:val="auto"/>
        </w:rPr>
        <w:t>The acquisition was considered a business in accordance with EITF 98-3, “</w:t>
      </w:r>
      <w:r>
        <w:rPr>
          <w:rFonts w:ascii="Arial" w:cs="Arial" w:eastAsia="Arial" w:hAnsi="Arial"/>
          <w:sz w:val="17"/>
          <w:szCs w:val="17"/>
          <w:i w:val="1"/>
          <w:iCs w:val="1"/>
          <w:color w:val="auto"/>
        </w:rPr>
        <w:t>Determining Whether a Nonmonetary Transaction Involves Receipt of</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Productive Assets or of a Business</w:t>
      </w:r>
      <w:r>
        <w:rPr>
          <w:rFonts w:ascii="Arial" w:cs="Arial" w:eastAsia="Arial" w:hAnsi="Arial"/>
          <w:sz w:val="17"/>
          <w:szCs w:val="17"/>
          <w:color w:val="auto"/>
        </w:rPr>
        <w:t>” (“EITF 98-3”), and the total cost of the acquisition was allocated to the assets acquired and liabilities assumed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their estimated respective fair values, subject to adjustment,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(“Statement No. 141”). Any goodwill will be assigned to our microwave communications segment.</w:t>
      </w:r>
    </w:p>
    <w:p>
      <w:pPr>
        <w:spacing w:after="0" w:line="7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 xml:space="preserve">The preliminary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Unallocated goodwill and other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4,451</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(1,659)</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color w:val="auto"/>
        </w:rPr>
        <w:t>The purchase price allocation was based on management’s preliminary valuation and the estimates and assumptions used are subject to change. The primary areas of the purchase price allocation that are not yet finalized relate to acquisition costs, purchased intangible assets, deferred income taxes and residual goodwill.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Unigen Acquisition</w:t>
      </w:r>
    </w:p>
    <w:p>
      <w:pPr>
        <w:spacing w:after="0" w:line="117" w:lineRule="exact"/>
        <w:rPr>
          <w:sz w:val="20"/>
          <w:szCs w:val="20"/>
          <w:color w:val="auto"/>
        </w:rPr>
      </w:pPr>
    </w:p>
    <w:p>
      <w:pPr>
        <w:ind w:left="240" w:right="40"/>
        <w:spacing w:after="0" w:line="302" w:lineRule="auto"/>
        <w:rPr>
          <w:sz w:val="20"/>
          <w:szCs w:val="20"/>
          <w:color w:val="auto"/>
        </w:rPr>
      </w:pPr>
      <w:r>
        <w:rPr>
          <w:rFonts w:ascii="Arial" w:cs="Arial" w:eastAsia="Arial" w:hAnsi="Arial"/>
          <w:sz w:val="16"/>
          <w:szCs w:val="16"/>
          <w:color w:val="auto"/>
        </w:rPr>
        <w:t>On December 29, 2005, we entered into an exclusive, perpetual, irrevocable, world-wide, royalty-free license for certain patents with Unisys Corporation (“Unisys”)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in the assets we acquired were the patents licensed from Unisys in December 2005 and, as a result, these two transactions have been combined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purposes of allocating the total purchase price to the assets acquired. The purchase price of this acquisition was approximately $17.2 million, and was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funded primarily by our cash reserves ($7.7 million), cash previously paid in December 2005 for the patent license and a deposit on the acquisition</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($5.3 million), other acquisition costs ($0.2 million) and certain Unigen liabilities assumed ($0.1 million). We also recorded a $4.0 million liability for</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amounts owed to Unisys for inventory we acquired. The acquisition was considered a business in accordance with EITF 98-3, and the total cost of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acquisition was allocated to the assets acquired and liabilities assumed based on their respective fair values in accordance with Statement No. 141. All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are expected to be fully deductible for tax purposes. The goodwill was assigned to our semiconductor equipment segment.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17,307</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17,165</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color w:val="auto"/>
        </w:rPr>
        <w:t>Amounts allocated to intangible assets are being amortized on a straight-line basis over their estimated useful lives currently estimated at five years. Pro forma results of operations have not been presented because the effect of the acquisition was not material.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Purchased intangible assets, subject to amortization,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June 30, 2007</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w w:val="97"/>
              </w:rPr>
              <w:t>December 30, 2006</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8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Gross Carrying</w:t>
            </w:r>
          </w:p>
        </w:tc>
        <w:tc>
          <w:tcPr>
            <w:tcW w:w="1740" w:type="dxa"/>
            <w:vAlign w:val="bottom"/>
            <w:gridSpan w:val="4"/>
          </w:tcPr>
          <w:p>
            <w:pPr>
              <w:ind w:left="66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1220" w:type="dxa"/>
            <w:vAlign w:val="bottom"/>
            <w:gridSpan w:val="3"/>
          </w:tcPr>
          <w:p>
            <w:pPr>
              <w:jc w:val="right"/>
              <w:ind w:right="340"/>
              <w:spacing w:after="0" w:line="123" w:lineRule="exact"/>
              <w:rPr>
                <w:sz w:val="20"/>
                <w:szCs w:val="20"/>
                <w:color w:val="auto"/>
              </w:rPr>
            </w:pPr>
            <w:r>
              <w:rPr>
                <w:rFonts w:ascii="Arial" w:cs="Arial" w:eastAsia="Arial" w:hAnsi="Arial"/>
                <w:sz w:val="14"/>
                <w:szCs w:val="14"/>
                <w:color w:val="auto"/>
                <w:w w:val="91"/>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r>
      <w:tr>
        <w:trPr>
          <w:trHeight w:val="167"/>
        </w:trPr>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color w:val="auto"/>
              </w:rPr>
              <w:t>Amount</w:t>
            </w:r>
          </w:p>
        </w:tc>
        <w:tc>
          <w:tcPr>
            <w:tcW w:w="174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gridSpan w:val="4"/>
          </w:tcPr>
          <w:p>
            <w:pPr>
              <w:ind w:left="320"/>
              <w:spacing w:after="0"/>
              <w:rPr>
                <w:sz w:val="20"/>
                <w:szCs w:val="20"/>
                <w:color w:val="auto"/>
              </w:rPr>
            </w:pPr>
            <w:r>
              <w:rPr>
                <w:rFonts w:ascii="Arial" w:cs="Arial" w:eastAsia="Arial" w:hAnsi="Arial"/>
                <w:sz w:val="14"/>
                <w:szCs w:val="14"/>
                <w:color w:val="auto"/>
              </w:rPr>
              <w:t>Amortization</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KryoTech technology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1,406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7"/>
        </w:trPr>
        <w:tc>
          <w:tcPr>
            <w:tcW w:w="3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40"/>
        <w:spacing w:after="0" w:line="257" w:lineRule="auto"/>
        <w:rPr>
          <w:sz w:val="20"/>
          <w:szCs w:val="20"/>
          <w:color w:val="auto"/>
        </w:rPr>
      </w:pPr>
      <w:r>
        <w:rPr>
          <w:rFonts w:ascii="Arial" w:cs="Arial" w:eastAsia="Arial" w:hAnsi="Arial"/>
          <w:sz w:val="18"/>
          <w:szCs w:val="18"/>
          <w:color w:val="auto"/>
        </w:rPr>
        <w:t>Amortization expense related to purchased intangible assets, noted above, was approximately $0.5 million in the second quarter of fiscal 2007, and approximately $1.0 million in the first six months of fiscal 2007. Amortization expense related to purchased and other intangible assets was approximately $0.5 million in the second quarter of fiscal 2006, and approximately $0.7 million in the first six months of fiscal 2006. As of June 30, 2007, we expect amortization expense in future periods, to be as follows: remainder of 2007 – $1,038,000; 2008 – $1,640,000; 2009 – $1,422,000; 2010 – $1,422,000; 2011 – $236,000.</w:t>
      </w:r>
    </w:p>
    <w:p>
      <w:pPr>
        <w:spacing w:after="0" w:line="80"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color w:val="auto"/>
        </w:rPr>
        <w:t>The amounts above do not reflect the impact of the acquisition of AVS that was completed on March 30, 2007 as the allocation of purchase price between goodwill and other intangible assets is not yet complete. During the second quarter of fiscal 2007 we recorded amortization expense in the amount of approximately $0.2 million based on a preliminary purchase price allocation. We expect to finalize the purchase price allocation in the third quarter of fiscal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9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130" w:lineRule="exact"/>
        <w:rPr>
          <w:rFonts w:ascii="Arial" w:cs="Arial" w:eastAsia="Arial" w:hAnsi="Arial"/>
          <w:sz w:val="18"/>
          <w:szCs w:val="18"/>
          <w:b w:val="1"/>
          <w:bCs w:val="1"/>
          <w:color w:val="auto"/>
        </w:rPr>
      </w:pPr>
    </w:p>
    <w:p>
      <w:pPr>
        <w:ind w:left="460" w:right="30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1,400,000 shares of our Common Stock. Under the Plan, eligible employees may purchase shares of common stock through payroll deductions. The price paid for the common stock is equal to 85% of the fair market value of our Common Stock on specified dates. At June 30, 2007, there were 647,265 shares available for issuance under the Plan.</w:t>
      </w:r>
    </w:p>
    <w:p>
      <w:pPr>
        <w:spacing w:after="0" w:line="85" w:lineRule="exact"/>
        <w:rPr>
          <w:rFonts w:ascii="Arial" w:cs="Arial" w:eastAsia="Arial" w:hAnsi="Arial"/>
          <w:sz w:val="18"/>
          <w:szCs w:val="18"/>
          <w:b w:val="1"/>
          <w:bCs w:val="1"/>
          <w:color w:val="auto"/>
        </w:rPr>
      </w:pPr>
    </w:p>
    <w:p>
      <w:pPr>
        <w:ind w:left="460" w:right="26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June 30, 2007, 1,414,320 shares were available for future equity grants under the Cohu, Inc. 2005 Equity Incentive Plan. We have historically issued new shares of Cohu Common Stock upon share option exercise.</w:t>
      </w:r>
    </w:p>
    <w:p>
      <w:pPr>
        <w:spacing w:after="0" w:line="93" w:lineRule="exact"/>
        <w:rPr>
          <w:rFonts w:ascii="Arial" w:cs="Arial" w:eastAsia="Arial" w:hAnsi="Arial"/>
          <w:sz w:val="18"/>
          <w:szCs w:val="18"/>
          <w:b w:val="1"/>
          <w:bCs w:val="1"/>
          <w:color w:val="auto"/>
        </w:rPr>
      </w:pPr>
    </w:p>
    <w:p>
      <w:pPr>
        <w:ind w:left="46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At June 30, 2007 we had 2,219,733 stock options outstanding. These options had a weighted-average exercise price of $15.97 per share, an aggregate intrinsic value of approximately $14.3 million and the weighted average remaining contractual term was approximately 5.8 years.</w:t>
      </w:r>
    </w:p>
    <w:p>
      <w:pPr>
        <w:spacing w:after="0" w:line="5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June 30, 2007 we had 1,478,332 stock options outstanding that were exercisable. These options had a weighted-average exercise price of $15.66 per share, and an aggregate intrinsic value of approximately $10.1 million.</w:t>
      </w:r>
    </w:p>
    <w:p>
      <w:pPr>
        <w:spacing w:after="0" w:line="71" w:lineRule="exact"/>
        <w:rPr>
          <w:rFonts w:ascii="Arial" w:cs="Arial" w:eastAsia="Arial" w:hAnsi="Arial"/>
          <w:sz w:val="18"/>
          <w:szCs w:val="18"/>
          <w:b w:val="1"/>
          <w:bCs w:val="1"/>
          <w:color w:val="auto"/>
        </w:rPr>
      </w:pPr>
    </w:p>
    <w:p>
      <w:pPr>
        <w:ind w:left="460" w:right="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We issue restricted stock units to certain employees and directors.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June 30, 2007 we had 239,005 restricted stock units outstanding with an aggregate intrinsic value of approximately $5.3 million.</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34" w:lineRule="exact"/>
        <w:rPr>
          <w:rFonts w:ascii="Arial" w:cs="Arial" w:eastAsia="Arial" w:hAnsi="Arial"/>
          <w:sz w:val="18"/>
          <w:szCs w:val="18"/>
          <w:b w:val="1"/>
          <w:bCs w:val="1"/>
          <w:color w:val="auto"/>
        </w:rPr>
      </w:pPr>
    </w:p>
    <w:p>
      <w:pPr>
        <w:ind w:left="4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Comprehensive income represents all non-owner changes in stockholders’ equity and consists of, on an after-tax basis where applicable,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560" w:type="dxa"/>
            <w:vAlign w:val="bottom"/>
            <w:gridSpan w:val="2"/>
          </w:tcPr>
          <w:p>
            <w:pPr>
              <w:jc w:val="right"/>
              <w:ind w:right="614"/>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2560" w:type="dxa"/>
            <w:vAlign w:val="bottom"/>
            <w:gridSpan w:val="2"/>
          </w:tcPr>
          <w:p>
            <w:pPr>
              <w:jc w:val="right"/>
              <w:ind w:right="674"/>
              <w:spacing w:after="0"/>
              <w:rPr>
                <w:sz w:val="20"/>
                <w:szCs w:val="20"/>
                <w:color w:val="auto"/>
              </w:rPr>
            </w:pPr>
            <w:r>
              <w:rPr>
                <w:rFonts w:ascii="Arial" w:cs="Arial" w:eastAsia="Arial" w:hAnsi="Arial"/>
                <w:sz w:val="14"/>
                <w:szCs w:val="14"/>
                <w:color w:val="auto"/>
              </w:rPr>
              <w:t>Six months ended</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60" w:type="dxa"/>
            <w:vAlign w:val="bottom"/>
          </w:tcPr>
          <w:p>
            <w:pPr>
              <w:jc w:val="right"/>
              <w:ind w:right="416"/>
              <w:spacing w:after="0" w:line="149" w:lineRule="exact"/>
              <w:rPr>
                <w:sz w:val="20"/>
                <w:szCs w:val="20"/>
                <w:color w:val="auto"/>
              </w:rPr>
            </w:pPr>
            <w:r>
              <w:rPr>
                <w:rFonts w:ascii="Arial" w:cs="Arial" w:eastAsia="Arial" w:hAnsi="Arial"/>
                <w:sz w:val="14"/>
                <w:szCs w:val="14"/>
                <w:color w:val="auto"/>
              </w:rPr>
              <w:t>June 30,</w:t>
            </w:r>
          </w:p>
        </w:tc>
        <w:tc>
          <w:tcPr>
            <w:tcW w:w="130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June 24,</w:t>
            </w:r>
          </w:p>
        </w:tc>
        <w:tc>
          <w:tcPr>
            <w:tcW w:w="500" w:type="dxa"/>
            <w:vAlign w:val="bottom"/>
          </w:tcPr>
          <w:p>
            <w:pPr>
              <w:spacing w:after="0"/>
              <w:rPr>
                <w:sz w:val="12"/>
                <w:szCs w:val="12"/>
                <w:color w:val="auto"/>
              </w:rPr>
            </w:pPr>
          </w:p>
        </w:tc>
        <w:tc>
          <w:tcPr>
            <w:tcW w:w="1260" w:type="dxa"/>
            <w:vAlign w:val="bottom"/>
          </w:tcPr>
          <w:p>
            <w:pPr>
              <w:jc w:val="right"/>
              <w:ind w:right="441"/>
              <w:spacing w:after="0" w:line="149" w:lineRule="exact"/>
              <w:rPr>
                <w:sz w:val="20"/>
                <w:szCs w:val="20"/>
                <w:color w:val="auto"/>
              </w:rPr>
            </w:pPr>
            <w:r>
              <w:rPr>
                <w:rFonts w:ascii="Arial" w:cs="Arial" w:eastAsia="Arial" w:hAnsi="Arial"/>
                <w:sz w:val="14"/>
                <w:szCs w:val="14"/>
                <w:color w:val="auto"/>
              </w:rPr>
              <w:t>June 30,</w:t>
            </w:r>
          </w:p>
        </w:tc>
        <w:tc>
          <w:tcPr>
            <w:tcW w:w="130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June 24,</w:t>
            </w: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2007</w:t>
            </w: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2006</w:t>
            </w:r>
          </w:p>
        </w:tc>
        <w:tc>
          <w:tcPr>
            <w:tcW w:w="500" w:type="dxa"/>
            <w:vAlign w:val="bottom"/>
          </w:tcPr>
          <w:p>
            <w:pPr>
              <w:spacing w:after="0"/>
              <w:rPr>
                <w:sz w:val="15"/>
                <w:szCs w:val="15"/>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2007</w:t>
            </w: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2006</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$2,040</w:t>
            </w:r>
          </w:p>
        </w:tc>
        <w:tc>
          <w:tcPr>
            <w:tcW w:w="13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$5,192</w:t>
            </w:r>
          </w:p>
        </w:tc>
        <w:tc>
          <w:tcPr>
            <w:tcW w:w="176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$3,756</w:t>
            </w:r>
          </w:p>
        </w:tc>
        <w:tc>
          <w:tcPr>
            <w:tcW w:w="13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$8,777</w:t>
            </w: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(18)</w:t>
            </w: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(472)</w:t>
            </w:r>
          </w:p>
        </w:tc>
        <w:tc>
          <w:tcPr>
            <w:tcW w:w="500" w:type="dxa"/>
            <w:vAlign w:val="bottom"/>
          </w:tcPr>
          <w:p>
            <w:pPr>
              <w:spacing w:after="0"/>
              <w:rPr>
                <w:sz w:val="19"/>
                <w:szCs w:val="19"/>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8"/>
                <w:szCs w:val="18"/>
                <w:color w:val="auto"/>
              </w:rPr>
              <w:t>(43)</w:t>
            </w: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(634)</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2,022</w:t>
            </w:r>
          </w:p>
        </w:tc>
        <w:tc>
          <w:tcPr>
            <w:tcW w:w="13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4,720</w:t>
            </w:r>
          </w:p>
        </w:tc>
        <w:tc>
          <w:tcPr>
            <w:tcW w:w="176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3,713</w:t>
            </w:r>
          </w:p>
        </w:tc>
        <w:tc>
          <w:tcPr>
            <w:tcW w:w="13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8,143</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60" w:type="dxa"/>
            <w:vAlign w:val="bottom"/>
          </w:tcPr>
          <w:p>
            <w:pPr>
              <w:jc w:val="right"/>
              <w:ind w:right="456"/>
              <w:spacing w:after="0"/>
              <w:rPr>
                <w:sz w:val="20"/>
                <w:szCs w:val="20"/>
                <w:color w:val="auto"/>
              </w:rPr>
            </w:pPr>
            <w:r>
              <w:rPr>
                <w:rFonts w:ascii="Arial" w:cs="Arial" w:eastAsia="Arial" w:hAnsi="Arial"/>
                <w:sz w:val="18"/>
                <w:szCs w:val="18"/>
                <w:color w:val="auto"/>
              </w:rPr>
              <w:t>92</w:t>
            </w: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81"/>
              <w:spacing w:after="0"/>
              <w:rPr>
                <w:sz w:val="20"/>
                <w:szCs w:val="20"/>
                <w:color w:val="auto"/>
              </w:rPr>
            </w:pPr>
            <w:r>
              <w:rPr>
                <w:rFonts w:ascii="Arial" w:cs="Arial" w:eastAsia="Arial" w:hAnsi="Arial"/>
                <w:sz w:val="18"/>
                <w:szCs w:val="18"/>
                <w:color w:val="auto"/>
              </w:rPr>
              <w:t>92</w:t>
            </w: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 on investments</w:t>
            </w:r>
          </w:p>
        </w:tc>
        <w:tc>
          <w:tcPr>
            <w:tcW w:w="12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(44)</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(53)</w:t>
            </w:r>
          </w:p>
        </w:tc>
        <w:tc>
          <w:tcPr>
            <w:tcW w:w="176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(34)</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(78)</w:t>
            </w: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rPr>
              <w:t>$2,070</w:t>
            </w:r>
          </w:p>
        </w:tc>
        <w:tc>
          <w:tcPr>
            <w:tcW w:w="13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rPr>
              <w:t>$4,667</w:t>
            </w:r>
          </w:p>
        </w:tc>
        <w:tc>
          <w:tcPr>
            <w:tcW w:w="5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8"/>
                <w:szCs w:val="18"/>
                <w:color w:val="auto"/>
              </w:rPr>
              <w:t>$3,771</w:t>
            </w:r>
          </w:p>
        </w:tc>
        <w:tc>
          <w:tcPr>
            <w:tcW w:w="13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rPr>
              <w:t>$8,065</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 xml:space="preserve">Our accumulated other comprehensive loss totaled approximately $0.3 million and $0.4 million at June 30, 2007 and December 30, 2006, respectively, and was attributed to, net of income taxes, unrealized losses and gains on investments, adjustments resulting from the adoption of FASB Statement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(an amendment of FASB Statements No. 87, 88, 106, and 132R) and, beginning in the second quarter of fiscal 2007, foreign currency adjustments resulting from the translation of certain accounts into U.S. dollars where the functional currency is the Euro.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2007</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Income Taxes</w:t>
      </w:r>
    </w:p>
    <w:p>
      <w:pPr>
        <w:spacing w:after="0" w:line="135"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The income tax provision included in the statements of income for the three and six months ended June 30, 2007 and June 24, 2006, is based on the estimated annual effective tax rate for the entire year. These estimated effective tax rates are subject to adjustment in subsequent quarterly periods as our estimates of pretax income for the year are increased or decreased. The effective tax rates of 36.1% and 34.6%, for the six months ended June 30, 2007 and June 24, 2006, respectively, differ from the U.S. federal statutory rate primarily due to state taxes, research and development tax credits, foreign income taxed at lower rates and export sales and manufacturing activities tax benefits offset by the effects of Statement No. 123R that does not allow deferred tax benefits to be recognized on compensation expense related to incentive stock options and employee stock purchase plans.</w:t>
      </w:r>
    </w:p>
    <w:p>
      <w:pPr>
        <w:spacing w:after="0" w:line="70"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We have derived significant tax benefits from export sales. As a result of the American Jobs Creation Act of 2004, the export sales benefit derived from the Extraterritorial Income Exclusion (“ETI”) was repealed subject to a phase-out that limited the full tax benefit to 60% in 2006 with no benefit in 2007 and subsequent years. The ETI benefit was replaced with a deduction for domestic manufacturing activities subject to a phase-in beginning in 2005. The tax benefits we derive from the domestic manufacturing deduction will be less than those from ETI.</w:t>
      </w:r>
    </w:p>
    <w:p>
      <w:pPr>
        <w:spacing w:after="0" w:line="77" w:lineRule="exact"/>
        <w:rPr>
          <w:sz w:val="20"/>
          <w:szCs w:val="20"/>
          <w:color w:val="auto"/>
        </w:rPr>
      </w:pPr>
    </w:p>
    <w:p>
      <w:pPr>
        <w:jc w:val="both"/>
        <w:ind w:left="460" w:right="40"/>
        <w:spacing w:after="0" w:line="279" w:lineRule="auto"/>
        <w:rPr>
          <w:sz w:val="20"/>
          <w:szCs w:val="20"/>
          <w:color w:val="auto"/>
        </w:rPr>
      </w:pPr>
      <w:r>
        <w:rPr>
          <w:rFonts w:ascii="Arial" w:cs="Arial" w:eastAsia="Arial" w:hAnsi="Arial"/>
          <w:sz w:val="17"/>
          <w:szCs w:val="17"/>
          <w:color w:val="auto"/>
        </w:rPr>
        <w:t xml:space="preserve">We adopted the provisions of FASB Interpretation No. 48, </w:t>
      </w:r>
      <w:r>
        <w:rPr>
          <w:rFonts w:ascii="Arial" w:cs="Arial" w:eastAsia="Arial" w:hAnsi="Arial"/>
          <w:sz w:val="17"/>
          <w:szCs w:val="17"/>
          <w:i w:val="1"/>
          <w:iCs w:val="1"/>
          <w:color w:val="auto"/>
        </w:rPr>
        <w:t>Accounting for Uncertainty in Income Taxes — an interpretation of FASB Statement No.109</w:t>
      </w:r>
      <w:r>
        <w:rPr>
          <w:rFonts w:ascii="Arial" w:cs="Arial" w:eastAsia="Arial" w:hAnsi="Arial"/>
          <w:sz w:val="17"/>
          <w:szCs w:val="17"/>
          <w:color w:val="auto"/>
        </w:rPr>
        <w:t>,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77"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Our unrecognized tax benefits, excluding accrued interest, totaled approximately $3.7 million at December 31, 2006. If these unrecognized tax benefits are ultimately recognized, this amount, less the related federal benefit for state items of approximately $0.7 million, would result in a reduction in our income tax expense and effective tax rate.</w:t>
      </w:r>
    </w:p>
    <w:p>
      <w:pPr>
        <w:spacing w:after="0" w:line="87"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We recognize interest accrued related to unrecognized tax benefits in income tax expense. Cohu had approximately $200,000 accrued for the payment of accrued interest at December 31, 2006. Interest expense accrued in the quarter and six months ended June 30, 2007 was $50,000 and $96,000, respectively.</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Internal Revenue Service has examined our income tax returns through 2002, and the California Franchise Tax Board through 1999.</w:t>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Segments</w:t>
      </w:r>
    </w:p>
    <w:p>
      <w:pPr>
        <w:spacing w:after="0" w:line="134"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have three reportable segments as defined by FASB Statement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w:t>
      </w:r>
    </w:p>
    <w:p>
      <w:pPr>
        <w:spacing w:after="0" w:line="76" w:lineRule="exact"/>
        <w:rPr>
          <w:rFonts w:ascii="Arial" w:cs="Arial" w:eastAsia="Arial" w:hAnsi="Arial"/>
          <w:sz w:val="18"/>
          <w:szCs w:val="18"/>
          <w:b w:val="1"/>
          <w:bCs w:val="1"/>
          <w:color w:val="auto"/>
        </w:rPr>
      </w:pPr>
    </w:p>
    <w:p>
      <w:pPr>
        <w:ind w:left="4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allocate resources and evaluate the performance of segments based on profit or loss from operations, excluding interest, corporate expenses and unusual gains or losses. Intersegment sales were not significant for any period.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Financial information by industry segment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4"/>
          </w:tcPr>
          <w:p>
            <w:pPr>
              <w:ind w:left="36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4"/>
                <w:szCs w:val="14"/>
                <w:color w:val="auto"/>
                <w:w w:val="92"/>
              </w:rPr>
              <w:t>Six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June 30, 2007</w:t>
            </w:r>
          </w:p>
        </w:tc>
        <w:tc>
          <w:tcPr>
            <w:tcW w:w="2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4"/>
                <w:szCs w:val="14"/>
                <w:color w:val="auto"/>
              </w:rPr>
              <w:t>June 30, 2007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57,216</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54,798</w:t>
            </w:r>
          </w:p>
        </w:tc>
        <w:tc>
          <w:tcPr>
            <w:tcW w:w="16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100,555</w:t>
            </w:r>
          </w:p>
        </w:tc>
        <w:tc>
          <w:tcPr>
            <w:tcW w:w="6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66,407</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61,942</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119,775</w:t>
            </w:r>
          </w:p>
        </w:tc>
        <w:tc>
          <w:tcPr>
            <w:tcW w:w="6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118,712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Profit for reportable segments</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expenses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4"/>
                <w:szCs w:val="14"/>
                <w:color w:val="auto"/>
              </w:rPr>
              <w:t>June 30, 2007</w:t>
            </w:r>
          </w:p>
        </w:tc>
        <w:tc>
          <w:tcPr>
            <w:tcW w:w="1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30,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 (in thousands):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259"/>
              <w:spacing w:after="0"/>
              <w:rPr>
                <w:sz w:val="20"/>
                <w:szCs w:val="20"/>
                <w:color w:val="auto"/>
              </w:rPr>
            </w:pPr>
            <w:r>
              <w:rPr>
                <w:rFonts w:ascii="Arial" w:cs="Arial" w:eastAsia="Arial" w:hAnsi="Arial"/>
                <w:sz w:val="18"/>
                <w:szCs w:val="18"/>
                <w:color w:val="auto"/>
                <w:w w:val="95"/>
              </w:rPr>
              <w:t>111,391</w:t>
            </w:r>
          </w:p>
        </w:tc>
        <w:tc>
          <w:tcPr>
            <w:tcW w:w="1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ind w:right="259"/>
              <w:spacing w:after="0"/>
              <w:rPr>
                <w:sz w:val="20"/>
                <w:szCs w:val="20"/>
                <w:color w:val="auto"/>
              </w:rPr>
            </w:pPr>
            <w:r>
              <w:rPr>
                <w:rFonts w:ascii="Arial" w:cs="Arial" w:eastAsia="Arial" w:hAnsi="Arial"/>
                <w:sz w:val="18"/>
                <w:szCs w:val="18"/>
                <w:color w:val="auto"/>
              </w:rPr>
              <w:t>24,869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for reportable segments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145,436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178,020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324,554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 small number of customers historically have been responsible for a significant portion of our consolidated net sales. Three customers of the semiconductor equipment segment accounted for 66% and 62% of our consolidated net sales for the second quarter and first six months of fiscal 2007, respectively. Three customers of the semiconductor equipment segment accounted for 64% of our consolidated net sales for the second quarter and first six months of fiscal 2006, respectively.</w:t>
      </w:r>
    </w:p>
    <w:p>
      <w:pPr>
        <w:spacing w:after="0" w:line="8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May, 2007 our Broadcast Microwave Services subsidiary (“BMS”) received a subpoena from a grand jury seated in the Southern District of California, requesting the production of certain documents related to BMS’ export of microwave communications equipment. BMS has produced documents responsive to the request and is fully cooperating. BMS has not been informed that it is a target of an investigation, and its status is currently unknown. Consequently, as of the date of this report, it is premature to assess whether this matter will have any impact on the BMS business or results of operations.</w:t>
      </w:r>
    </w:p>
    <w:p>
      <w:pPr>
        <w:spacing w:after="0" w:line="93"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the above matter, we are occasionally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4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products are generally sold with a 12-month to 36-month warranty period following sale or installation. Parts and labor are covered under the terms of the warranty agreement. The warranty provision is based on historical and projected experience by product and configuration.</w:t>
      </w:r>
    </w:p>
    <w:p>
      <w:pPr>
        <w:spacing w:after="0" w:line="51"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second quarter of fiscal 2007 and 2006 and the first six months of fiscal 2007 and 2006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ind w:left="34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4"/>
          </w:tcPr>
          <w:p>
            <w:pPr>
              <w:ind w:left="400"/>
              <w:spacing w:after="0"/>
              <w:rPr>
                <w:sz w:val="20"/>
                <w:szCs w:val="20"/>
                <w:color w:val="auto"/>
              </w:rPr>
            </w:pPr>
            <w:r>
              <w:rPr>
                <w:rFonts w:ascii="Arial" w:cs="Arial" w:eastAsia="Arial" w:hAnsi="Arial"/>
                <w:sz w:val="14"/>
                <w:szCs w:val="14"/>
                <w:color w:val="auto"/>
                <w:w w:val="98"/>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June 30, 2007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June 24, 2006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June 30, 2007</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June 24, 2006</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6,839</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8,118</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1,890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3,219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6,616</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(2,419)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(4,895)</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During the ordinary course of business, from time-to-time, we provide standby letters of credit to certain parties. As of June 30, 2007, the maximum potential amount of future payments that Cohu could be required to make under these standby letters of credit is approximately $1.0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May 5, 2006, we completed the sale of the land and building previously used by our operations in Littleton, Massachusetts to FPK Realty, LLC. The property was sold for $6.5 million in cash, less related costs, resulting in a net pretax gain of approximately $3.0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2006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primary business activity involves the development, manufacture, marketing, sale and servicing of test handling and burn-in related equipment and thermal sub-systems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changes in demand. Changes in the semiconductor, electronics, computer and telecommunications industries, as well as rapidly shifting global economic conditions, have had and will continue to have a significant impact on our businesses.</w:t>
      </w:r>
    </w:p>
    <w:p>
      <w:pPr>
        <w:spacing w:after="0" w:line="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Orders for semiconductor equipment declined during both the fourth quarter of fiscal 2006 and the first quarter of fiscal 2007, reflecting a continuation of the general softness in the back-end semiconductor equipment industry that began in late 2006. While orders increased 38.8% ($14.7 million) in the second quarter of fiscal 2007, compared to the first quarter of fiscal 2007, we have seen a significant decrease in demand for our thermal handlers that has been partially offset by increased orders for our burn-in related thermal sub-system products; based on current customer forecasts we expect this product mix trend to continue. Our burn-in related thermal sub-system products have significantly lower gross margins than our thermal test handlers. As a result of this shift in product mix, compared to fiscal 2005, our gross margin declined during fiscal 2006 and the first six months of 2007. We will continue to focus on reducing product costs and overall spending, while we develop new product offerings for the test handler and burn-in markets.</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deferred revenue totaled $12.4 million and $22.0 million at June 30, 2007 and December 30, 2006, respectively. The decrease in deferred revenue is the result of the recognition of revenue for certain semiconductor equipment product sales, for which customer acceptance was obtained in the second quarter of fiscal 2007.</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operating results in the last three years have been negatively impacted by charges to cost of sales related to excess, obsolete and lower of cost or market inventory issues. These charges totaled approximately $21.7 million during the three-year period ended December 30, 2006 and approximately $2.3 million during the first six months of 2007 and were primarily the result of decreases in customer forecasts, competitive conditions in the test handler industry and, to a lesser extent, changes in our sales product mix.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2006 and the first quarter of 2007, due primarily to our purchase of the Unigen business, increased headcount, increased business volume, investment in product development programs and share-based compensation.</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non-semiconductor equipment businesses have comprised approximately 14% of our revenues during the three-year period ended December 30, 2006. In an effort to expand our microwave communications business segment, on March 30, 2007 we acquired AVS to increase our digital microwave communications solutions, especially in high definition broadcast television and public safety and law enforcement applications.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strong with significant cash and short-term investments and no long-term debt.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(iv) industry data and trends noted in various publicly available sources; and (v) competitive factors and information.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most critical accounting estimates that we believe are the most critical to an investor’s understanding of our financial results and condition and require complex management judgment include:</w:t>
      </w:r>
    </w:p>
    <w:p>
      <w:pPr>
        <w:spacing w:after="0" w:line="7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revenue recognition, including the deferral of revenue on sales to customers, which impacts our results from operations;</w:t>
      </w:r>
    </w:p>
    <w:p>
      <w:pPr>
        <w:spacing w:after="0" w:line="130" w:lineRule="exact"/>
        <w:rPr>
          <w:rFonts w:ascii="Arial" w:cs="Arial" w:eastAsia="Arial" w:hAnsi="Arial"/>
          <w:sz w:val="18"/>
          <w:szCs w:val="18"/>
          <w:b w:val="1"/>
          <w:bCs w:val="1"/>
          <w:color w:val="auto"/>
        </w:rPr>
      </w:pPr>
    </w:p>
    <w:p>
      <w:pPr>
        <w:ind w:left="900" w:right="40" w:hanging="446"/>
        <w:spacing w:after="0" w:line="277"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estimation of valuation allowances and accrued liabilities, specifically product warranty, inventory reserves and allowance for doubtful accounts, which impact gross margin or operating expenses;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recognition and measurement of current and deferred income tax assets and liabilities, which impact our tax provision;</w:t>
      </w:r>
    </w:p>
    <w:p>
      <w:pPr>
        <w:spacing w:after="0" w:line="130" w:lineRule="exact"/>
        <w:rPr>
          <w:rFonts w:ascii="Arial" w:cs="Arial" w:eastAsia="Arial" w:hAnsi="Arial"/>
          <w:sz w:val="18"/>
          <w:szCs w:val="18"/>
          <w:b w:val="1"/>
          <w:bCs w:val="1"/>
          <w:color w:val="auto"/>
        </w:rPr>
      </w:pPr>
    </w:p>
    <w:p>
      <w:pPr>
        <w:ind w:left="900" w:right="280" w:hanging="446"/>
        <w:spacing w:after="0" w:line="277"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assessment of recoverability of long-lived assets, which primarily impacts gross margin or operating expenses if we are required to record impairments of assets or accelerate their depreciation; and</w:t>
      </w:r>
    </w:p>
    <w:p>
      <w:pPr>
        <w:spacing w:after="0" w:line="75" w:lineRule="exact"/>
        <w:rPr>
          <w:rFonts w:ascii="Arial" w:cs="Arial" w:eastAsia="Arial" w:hAnsi="Arial"/>
          <w:sz w:val="18"/>
          <w:szCs w:val="18"/>
          <w:b w:val="1"/>
          <w:bCs w:val="1"/>
          <w:color w:val="auto"/>
        </w:rPr>
      </w:pPr>
    </w:p>
    <w:p>
      <w:pPr>
        <w:ind w:left="900" w:right="40" w:hanging="446"/>
        <w:spacing w:after="0" w:line="277" w:lineRule="auto"/>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6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3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for which full payment is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provide for the estimated costs of product warranties in the period sales are recognized. Our warranty obligation estimates are affected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 which would impact our gross margin.</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In May, 2007 our BMS subsidiary received a subpoena from a grand jury seated in the Southern District of California, requesting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certain documents related to BMS’ export of microwave communications equipment. BMS has produced documents responsive to the request and is fully cooperating. BMS has not been informed that it is a target of an investigation, and its status is currently unknown. Consequently, as of the date of this report, it is premature to assess whether this matter will have any impact on the BMS business or results of operations.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addition to the above matter, we are subject to certain contingencies that arise in the ordinary course of our businesses. In accordance with FASB Statement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 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estimate our liability for income taxes based on the various jurisdictions where we conduct business. This requires us to estimate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the liability for unrecognized tax benefits, deferred tax assets and liabilities and any valuation allowance to be recorded against net deferred tax assets. Our gross deferred tax asset balance as of June 30, 2007 was $26.7 million, with a valuation allowance of $2.3 million for state tax credit and loss carryforwards. The deferred tax assets consist primarily of deductible temporary differences, tax credit and net operating loss carryforwards.</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Goodwill, Intangible and Long-Lived Assets: </w:t>
      </w:r>
      <w:r>
        <w:rPr>
          <w:rFonts w:ascii="Arial" w:cs="Arial" w:eastAsia="Arial" w:hAnsi="Arial"/>
          <w:sz w:val="18"/>
          <w:szCs w:val="18"/>
          <w:color w:val="auto"/>
        </w:rPr>
        <w:t>Goodwill and intangible assets with indefinite lives are tested for impairment each year on October 1 or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frequently, if a significant event occurs. To test goodwill for impairment, we compare the fair value of our reporting units, and, if necessary, the implied fair value of goodwill, with the corresponding carrying values. If necessary, we record an impairment charge for any shortfall. Intangible and long-lived assets with finite lives are tested for impairment when events or a change in circumstances indicate the carrying value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amount of the asset to our estimate of the related total future undiscounted net cash flows. If an asset’s carrying value is not recoverable through the related undiscounted cash flows, the asset is considered to be impaired. The impairment is measured by the difference between the asset grouping’s carrying amount and its fair value, based on the best information available, including market prices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discounted cash flow analysis. During fiscal 2006 and the first six months of fiscal 2007, we have not recorded an impairment of our goodwill, intangible and long-lived assets.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On January 1, 2006, we adopted the provisions of Statement No. 123R and SAB No. 107 requiring the measurement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of all share-based compensation under the fair value method. Share-based compensation expense related to stock options is recorded based on the fair value of the award on its grant date which we estimate using the Black-Scholes valuation model based on the provisions prescribed under Statement No. 123R and SAB No. 107.</w:t>
      </w:r>
    </w:p>
    <w:p>
      <w:pPr>
        <w:spacing w:after="0" w:line="7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3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February 2007, the FASB issued Statement No. 159. Statement No. 159 gives entities the option to carry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assets and liabilities at fair value, with changes in fair value recorded in earnings. Statement No. 159, which will be effective in our first quarter of fiscal 2008, is not expected to have a material impact on our consolidated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three-month and six-month periods ended June 30, 2007 and June 24,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980" w:type="dxa"/>
            <w:vAlign w:val="bottom"/>
            <w:gridSpan w:val="4"/>
          </w:tcPr>
          <w:p>
            <w:pPr>
              <w:jc w:val="right"/>
              <w:ind w:right="1240"/>
              <w:spacing w:after="0"/>
              <w:rPr>
                <w:sz w:val="20"/>
                <w:szCs w:val="20"/>
                <w:color w:val="auto"/>
              </w:rPr>
            </w:pPr>
            <w:r>
              <w:rPr>
                <w:rFonts w:ascii="Arial" w:cs="Arial" w:eastAsia="Arial" w:hAnsi="Arial"/>
                <w:sz w:val="14"/>
                <w:szCs w:val="14"/>
                <w:color w:val="auto"/>
              </w:rPr>
              <w:t>Three months ended</w:t>
            </w:r>
          </w:p>
        </w:tc>
        <w:tc>
          <w:tcPr>
            <w:tcW w:w="2480" w:type="dxa"/>
            <w:vAlign w:val="bottom"/>
            <w:gridSpan w:val="4"/>
          </w:tcPr>
          <w:p>
            <w:pPr>
              <w:jc w:val="right"/>
              <w:ind w:right="8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June 30, 2007</w:t>
            </w:r>
          </w:p>
        </w:tc>
        <w:tc>
          <w:tcPr>
            <w:tcW w:w="6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June 24, 2006</w:t>
            </w:r>
          </w:p>
        </w:tc>
        <w:tc>
          <w:tcPr>
            <w:tcW w:w="6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June 30, 2007</w:t>
            </w:r>
          </w:p>
        </w:tc>
        <w:tc>
          <w:tcPr>
            <w:tcW w:w="6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June 24, 2006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(70.9)</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(64.9)</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(14.2)</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(15.6)</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(16.5)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(14.1)</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Gain on sale of facilities</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May, 2006, we sold our metal detection equipment business, FRL. Subsequent to the sale, the operating results of FRL are being presented as discontinued operations and the consolidated financial statements for all prior periods have been reclassified accordingly. Unless otherwise indicated, the discussion and amounts provided in the “Results of Operations” section and elsewhere in this Quarterly Report on Form 10-Q relate to continuing operations only.</w:t>
      </w:r>
    </w:p>
    <w:p>
      <w:pPr>
        <w:spacing w:after="0" w:line="143" w:lineRule="exact"/>
        <w:rPr>
          <w:sz w:val="20"/>
          <w:szCs w:val="20"/>
          <w:color w:val="auto"/>
        </w:rPr>
      </w:pPr>
    </w:p>
    <w:p>
      <w:pPr>
        <w:ind w:right="5680"/>
        <w:spacing w:after="0" w:line="378" w:lineRule="auto"/>
        <w:rPr>
          <w:sz w:val="20"/>
          <w:szCs w:val="20"/>
          <w:color w:val="auto"/>
        </w:rPr>
      </w:pPr>
      <w:r>
        <w:rPr>
          <w:rFonts w:ascii="Arial" w:cs="Arial" w:eastAsia="Arial" w:hAnsi="Arial"/>
          <w:sz w:val="18"/>
          <w:szCs w:val="18"/>
          <w:b w:val="1"/>
          <w:bCs w:val="1"/>
          <w:color w:val="auto"/>
        </w:rPr>
        <w:t xml:space="preserve">Second Quarter of Fiscal 2007 Compared to Second Quarter of Fiscal 2006 </w:t>
      </w:r>
      <w:r>
        <w:rPr>
          <w:rFonts w:ascii="Arial" w:cs="Arial" w:eastAsia="Arial" w:hAnsi="Arial"/>
          <w:sz w:val="18"/>
          <w:szCs w:val="18"/>
          <w:b w:val="1"/>
          <w:bCs w:val="1"/>
          <w:i w:val="1"/>
          <w:iCs w:val="1"/>
          <w:color w:val="auto"/>
        </w:rPr>
        <w:t>Net Sales</w:t>
      </w:r>
    </w:p>
    <w:p>
      <w:pPr>
        <w:ind w:right="80"/>
        <w:spacing w:after="0" w:line="257" w:lineRule="auto"/>
        <w:rPr>
          <w:sz w:val="20"/>
          <w:szCs w:val="20"/>
          <w:color w:val="auto"/>
        </w:rPr>
      </w:pPr>
      <w:r>
        <w:rPr>
          <w:rFonts w:ascii="Arial" w:cs="Arial" w:eastAsia="Arial" w:hAnsi="Arial"/>
          <w:sz w:val="18"/>
          <w:szCs w:val="18"/>
          <w:color w:val="auto"/>
        </w:rPr>
        <w:t>Our net sales increased 7.2% to $66.4 million in 2007, compared to net sales of $61.9 million in 2006. Sales of semiconductor test handling equipment in the second quarter of fiscal 2007 increased 4.4% from the comparable 2006 period and accounted for 86.2% of consolidated net sales in 2007 versus 88.5% in 2006. The primary reason for the increase in sales of our semiconductor equipment business, was the result of the recognition of approximately $17.4 million in net deferred revenue related to certain semiconductor equipment product shipped in prior quarters, on which customer acceptance was obtained in the second quarter of fiscal 2007.</w:t>
      </w:r>
    </w:p>
    <w:p>
      <w:pPr>
        <w:spacing w:after="0" w:line="8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Sales of television cameras accounted for 5.8% of net sales in 2007 and decreased 16.0% when compared to the same period of 2006. The decrease in sales of our television camera equipment business was primarily attributable to decreased demand for our security, traffic and OEM products.</w:t>
      </w:r>
    </w:p>
    <w:p>
      <w:pPr>
        <w:spacing w:after="0" w:line="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Sales of microwave communications equipment accounted for 8.0% of net sales in 2007 and increased 111.7% when compared to 2006. The increase in sales of our microwave communications business was primarily attributable to demand for microwave products from television broadcasters, law enforcement agencies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$1.6 million in sales recognized in the second quarter of fiscal 2007 as a result of our acquisition of AVS in March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decreased to 29.1% in 2007 from 35.1% in 2006. Gross margin was lower in the second quarter of fiscal 2007 as a result of a change in product mix from our thermal test handlers to burn-in related thermal sub-system products. Our burn-in related thermal sub-system products have significantly lower gross margins than our thermal test handlers. Based on current customer forecasts, we expect this trend to continue and, as a result, our gross margin will continue to be impacted.</w:t>
      </w:r>
    </w:p>
    <w:p>
      <w:pPr>
        <w:spacing w:after="0" w:line="5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gross margin has been impacted by charges to cost of sales related to excess, obsolete and lower of cost or market inventory issues and in 2006 higher warranty costs associated with certain test handlers. We compute the majority of our excess and obsolete inventory reserve requirements using a one-year inventory usage forecast. During the second quarter of fiscal 2007 and 2006, we recorded net charges to cost of sales of approximately $1.1 million and $0.6 million, respectively, for excess and obsolete inventory. While we believe our reserves for excess and obsolete inventory and lower of cost or market concerns are adequate to cover known exposures at June 30, 2007, reductions in customer forecasts or continued modifications to products, as a result of our failure to meet specifications or other customer requirements, may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R&amp;D expense as a percentage of net sales was 14.2% in 2007, compared to 15.6% in 2006, decreasing from $9.7 million in 2006 to $9.4 million in 2007. Decreased R&amp;D expense in 2007 was primarily a result of decreased labor and material costs within our semiconductor equipment business of approximately $0.7 million, offset by increased share-based compensation expense of</w:t>
      </w:r>
    </w:p>
    <w:p>
      <w:pPr>
        <w:spacing w:after="0" w:line="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$0.1 million and an additional $0.3 million of R&amp;D related costs incurred by our microwave communications business resulting from the March 2007 acquisition of AVS, and other costs associated with new product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SG&amp;A expense consists primarily of salaries and benefit costs of employees, commission expense for independent sales representatives, product promotion and costs of professional services. SG&amp;A expense as a percentage of net sales decreased to 13.1% in 2007, from 14.1% in 2006. SG&amp;A expense in both 2007 and 2006 was approximately $8.7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income was approximately $2.1 million and $1.7 million in 2007 and 2006, respectively. The increase in interest income resulted from an increase in our average cash and cash equivalents and investment balances and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income tax provision included in the statements of income for the three months ended June 30, 2007 and June 24, 2006, is based on the estimated annual effective tax rate for the entire year. These estimated effective tax rates are subject to adjustment in subsequent quarterly periods as our estimates of pretax income for the year are increased or decreased. The effective tax rates of 37.2% and 34.7% for the three months ended June 30, 2007 and June 24, 2006, respectively, differ from the U.S. federal statutory rate primarily due to state taxes, research and development tax credits, foreign income taxed at lower rates and export sales 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manufacturing activities tax benefits offset by the effects of Statement No. 123R that does not allow deferred tax benefits to be recognized on compensation expense related to incentive stock options and employee stock purchase plans.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Realization of our deferred tax assets is based upon the weight of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In accordance with Statement No. 109, net deferred tax assets are reduced by a valuation allowance if it is more likely than not that some or all of the deferred tax assets will not be realized. A valuation allowance of approximately $2.3 million and $1.6 million was provided on deferred tax assets at June 30, 2007 and December 30, 2006, respectively, for state tax credit and net operating loss carryforwards that, in the opinion of management, are more likely than not to expire before we can use them.</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adopted the provisions of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unrecognized tax benefits, excluding accrued interest, totaled approximately $3.7 million at December 31, 2006. If these unrecognized tax benefits are ultimately recognized, this amount, less the related federal benefit for state items of approximately $0.7 million would result in a reduction in our income tax expense and effective tax rate.</w:t>
      </w:r>
    </w:p>
    <w:p>
      <w:pPr>
        <w:spacing w:after="0" w:line="7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recognize interest accrued related to unrecognized tax benefits in income tax expense. We had approximately $200,000 accrued for the payment of interest at December 31, 2006. Interest expense accrued in the quarter ended June 30, 2007 was approximately $50,000.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Internal Revenue Service has examined our income tax returns through 2002, and the California Franchise Tax Board through 1999.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May, 2006, we sold the land and building previously used by our operations in Littleton, Massachusetts. The property was sold for $6.5 million in cash, less related costs, resulting in a net pretax gain of approximately $3.0 million which was recognized in the second quarter of fiscal 2006.</w:t>
      </w:r>
    </w:p>
    <w:p>
      <w:pPr>
        <w:spacing w:after="0" w:line="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segment, FRL. The disposition resulted in a loss of approximately $0.8 million ($0.5 million net of the related tax benefit) that was recorded in the second quarter of fiscal 2006.</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$2.0 million in 2007, compared to $5.2 million in 2006. Our net income was $2.0 million in 2007, compared to $4.7 million in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Six Months of 2007 Compared to First Six Months of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net sales increased 0.9% to $119.8 million in 2007, compared to net sales of $118.7 million in 2006. Sales of semiconductor test handling equipment in the first six months of 2007 decreased 3.4% from the comparable 2006 period and accounted for 84.0% of consolidated net sales in 2007 versus 87.7% in 2006. The primary reasons for the decrease in sales of our semiconductor equipment business were a generally weak business environment for the back-end semiconductor equipment industry and reduced demand for thermal test handlers.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of television cameras accounted for 6.7% of net sales in 2007 and decreased 1.8% when compared to the same period of 2006.</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Sales of microwave communications equipment accounted for 9.3% of net sales in 2007 and increased 74.9% when compared to 2006. The increase in sales of our microwave communications business was primarily attributable to continued strong demand for microwave products from defense related U.S. government agencies, defense subcontractors, television broadcasters, law enforcement agencies and approximately $1.6 million in sales recognized in the second quarter of fiscal 2007 as a result of our acquisition of AVS in March,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gross margin, as a percentage of net sales, decreased to 32.5% in 2007 from 35.4% in 2006. The decrease was the result of lower margins in our semiconductor equipment business as a result of a change in product mix as sales of our thermal test handlers declined and burn-in related thermal sub-system products increased. Our burn-in related thermal sub-system products have significantly lower gross margins than our thermal test handlers.</w:t>
      </w:r>
    </w:p>
    <w:p>
      <w:pPr>
        <w:spacing w:after="0" w:line="5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and in 2006 higher warranty costs associated with certain test handlers. We compute the majority of our excess and obsolete inventory reserve requirements using a one-year inventory usage forecast. During the first six months of 2007 and 2006, we recorded net charges to cost of sales of approximately $2.3 million and $1.1 million, respectively, for excess and obsolete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R&amp;D expense as a percentage of net sales was 16.5% in 2007, compared to 14.6% in 2006, increasing from $17.3 million in 2006 to $19.7 million in 2007. Higher R&amp;D expense in 2007 was primarily a result of a longer accounting period in 2007 (e.g. 26 weeks in 2007 vs. 25 weeks in 2006), increased share-based compensation expense of approximately $0.2 million, and incremental costs within our semiconductor equipment and microwave communications businesses incurred as a result of our March, 2006 and March, 2007 acquisitions of Unigen and AVS,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SG&amp;A expense as a percentage of net sales was 14.6% in 2007 and 2006, increasing from $17.3 million in 2006 to $17.5 million in 2007. While SG&amp;A expense remained constant in total during 2007 SG&amp;A costs within our semiconductor equipment business decreased due to decreased business volume as a result of generally weak business conditions in the back-end semiconductor equipment industry and reduced demand for thermal test handlers. This decrease was offset by an increase in share-based compensation expense of approximately $0.4 million and $1.1 million in costs incurred by our microwave communications businesses as a result of increased business volume.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income was approximately $4.2 million and $3.0 million in 2007 and 2006, respectively. The increase in interest income resulted from an increase in our average cash and cash equivalents and investment balances and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income tax provision included in the statements of income for the six months ended June 30, 2007 and June 24, 2006, is based on the estimated annual effective tax rate for the entire year. These estimated effective tax rates are subject to adjustment in subsequent quarterly periods as our estimates of pretax income for the year are increased or decreased. The effective tax rates of 36.1% and 34.6% for the six months ended June 30, 2007 and June 24, 2006, respectively, differ from the U.S. federal statutory rate primarily due to state taxes, research and development tax credits, foreign income taxed at lower rates and export sales and manufacturing activities tax benefits offset by the effects of Statement No. 123R that does not allow deferred tax benefits to be recognized on compensation expense related to incentive stock options and employee stock purchase plans.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segment, FRL. The disposition resulted in a loss of approximately $0.8 million ($0.5 million net of the related tax benefit) that was recorded in the second quarter of fiscal 2006.</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$3.8 million in 2007, compared to $8.8 million in 2006. Our net income was $3.7 million in 2007, compared to $8.1 million in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Demand for semiconductors is cyclical and volatile. We have in the past implemented cost reduction programs aimed at aligning our ongoing operating costs with our currently expected revenues over the near term. These cost management initiatives have included consolidating facilities, reductions to headcount and reduced spending. The cyclical and volatile nature of our industry makes estimates of future revenues, results of operations and net cash flows difficult.</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240" w:type="dxa"/>
            <w:vAlign w:val="bottom"/>
          </w:tcPr>
          <w:p>
            <w:pPr>
              <w:jc w:val="right"/>
              <w:ind w:right="479"/>
              <w:spacing w:after="0"/>
              <w:rPr>
                <w:sz w:val="20"/>
                <w:szCs w:val="20"/>
                <w:color w:val="auto"/>
              </w:rPr>
            </w:pPr>
            <w:r>
              <w:rPr>
                <w:rFonts w:ascii="Arial" w:cs="Arial" w:eastAsia="Arial" w:hAnsi="Arial"/>
                <w:sz w:val="14"/>
                <w:szCs w:val="14"/>
                <w:color w:val="auto"/>
              </w:rPr>
              <w:t>June 30,</w:t>
            </w:r>
          </w:p>
        </w:tc>
        <w:tc>
          <w:tcPr>
            <w:tcW w:w="1780" w:type="dxa"/>
            <w:vAlign w:val="bottom"/>
          </w:tcPr>
          <w:p>
            <w:pPr>
              <w:jc w:val="right"/>
              <w:ind w:right="379"/>
              <w:spacing w:after="0"/>
              <w:rPr>
                <w:sz w:val="20"/>
                <w:szCs w:val="20"/>
                <w:color w:val="auto"/>
              </w:rPr>
            </w:pPr>
            <w:r>
              <w:rPr>
                <w:rFonts w:ascii="Arial" w:cs="Arial" w:eastAsia="Arial" w:hAnsi="Arial"/>
                <w:sz w:val="14"/>
                <w:szCs w:val="14"/>
                <w:color w:val="auto"/>
              </w:rPr>
              <w:t>December 30,</w:t>
            </w:r>
          </w:p>
        </w:tc>
        <w:tc>
          <w:tcPr>
            <w:tcW w:w="1520" w:type="dxa"/>
            <w:vAlign w:val="bottom"/>
          </w:tcPr>
          <w:p>
            <w:pPr>
              <w:jc w:val="right"/>
              <w:ind w:right="419"/>
              <w:spacing w:after="0"/>
              <w:rPr>
                <w:sz w:val="20"/>
                <w:szCs w:val="20"/>
                <w:color w:val="auto"/>
              </w:rPr>
            </w:pPr>
            <w:r>
              <w:rPr>
                <w:rFonts w:ascii="Arial" w:cs="Arial" w:eastAsia="Arial" w:hAnsi="Arial"/>
                <w:sz w:val="14"/>
                <w:szCs w:val="14"/>
                <w:color w:val="auto"/>
              </w:rPr>
              <w:t>Increase</w:t>
            </w:r>
          </w:p>
        </w:tc>
        <w:tc>
          <w:tcPr>
            <w:tcW w:w="1200" w:type="dxa"/>
            <w:vAlign w:val="bottom"/>
          </w:tcPr>
          <w:p>
            <w:pPr>
              <w:jc w:val="right"/>
              <w:ind w:right="59"/>
              <w:spacing w:after="0"/>
              <w:rPr>
                <w:sz w:val="20"/>
                <w:szCs w:val="20"/>
                <w:color w:val="auto"/>
              </w:rPr>
            </w:pPr>
            <w:r>
              <w:rPr>
                <w:rFonts w:ascii="Arial" w:cs="Arial" w:eastAsia="Arial" w:hAnsi="Arial"/>
                <w:sz w:val="14"/>
                <w:szCs w:val="14"/>
                <w:color w:val="auto"/>
              </w:rPr>
              <w:t>Percentage</w:t>
            </w:r>
          </w:p>
        </w:tc>
      </w:tr>
      <w:tr>
        <w:trPr>
          <w:trHeight w:val="167"/>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2007</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2006</w:t>
            </w: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(Decrease)</w:t>
            </w: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Cash, cash equivalents and short-term investments</w:t>
            </w:r>
          </w:p>
        </w:tc>
        <w:tc>
          <w:tcPr>
            <w:tcW w:w="2240" w:type="dxa"/>
            <w:vAlign w:val="bottom"/>
          </w:tcPr>
          <w:p>
            <w:pPr>
              <w:jc w:val="right"/>
              <w:ind w:right="439"/>
              <w:spacing w:after="0" w:line="195" w:lineRule="exact"/>
              <w:rPr>
                <w:sz w:val="20"/>
                <w:szCs w:val="20"/>
                <w:color w:val="auto"/>
              </w:rPr>
            </w:pPr>
            <w:r>
              <w:rPr>
                <w:rFonts w:ascii="Arial" w:cs="Arial" w:eastAsia="Arial" w:hAnsi="Arial"/>
                <w:sz w:val="18"/>
                <w:szCs w:val="18"/>
                <w:color w:val="auto"/>
              </w:rPr>
              <w:t>$157,709</w:t>
            </w:r>
          </w:p>
        </w:tc>
        <w:tc>
          <w:tcPr>
            <w:tcW w:w="1780" w:type="dxa"/>
            <w:vAlign w:val="bottom"/>
          </w:tcPr>
          <w:p>
            <w:pPr>
              <w:jc w:val="right"/>
              <w:ind w:right="499"/>
              <w:spacing w:after="0" w:line="195" w:lineRule="exact"/>
              <w:rPr>
                <w:sz w:val="20"/>
                <w:szCs w:val="20"/>
                <w:color w:val="auto"/>
              </w:rPr>
            </w:pPr>
            <w:r>
              <w:rPr>
                <w:rFonts w:ascii="Arial" w:cs="Arial" w:eastAsia="Arial" w:hAnsi="Arial"/>
                <w:sz w:val="18"/>
                <w:szCs w:val="18"/>
                <w:color w:val="auto"/>
              </w:rPr>
              <w:t>$147,916</w:t>
            </w:r>
          </w:p>
        </w:tc>
        <w:tc>
          <w:tcPr>
            <w:tcW w:w="1520" w:type="dxa"/>
            <w:vAlign w:val="bottom"/>
          </w:tcPr>
          <w:p>
            <w:pPr>
              <w:jc w:val="right"/>
              <w:ind w:right="439"/>
              <w:spacing w:after="0" w:line="195" w:lineRule="exact"/>
              <w:rPr>
                <w:sz w:val="20"/>
                <w:szCs w:val="20"/>
                <w:color w:val="auto"/>
              </w:rPr>
            </w:pPr>
            <w:r>
              <w:rPr>
                <w:rFonts w:ascii="Arial" w:cs="Arial" w:eastAsia="Arial" w:hAnsi="Arial"/>
                <w:sz w:val="18"/>
                <w:szCs w:val="18"/>
                <w:color w:val="auto"/>
              </w:rPr>
              <w:t>$9,793</w:t>
            </w:r>
          </w:p>
        </w:tc>
        <w:tc>
          <w:tcPr>
            <w:tcW w:w="1200" w:type="dxa"/>
            <w:vAlign w:val="bottom"/>
          </w:tcPr>
          <w:p>
            <w:pPr>
              <w:jc w:val="right"/>
              <w:ind w:right="99"/>
              <w:spacing w:after="0" w:line="195" w:lineRule="exact"/>
              <w:rPr>
                <w:sz w:val="20"/>
                <w:szCs w:val="20"/>
                <w:color w:val="auto"/>
              </w:rPr>
            </w:pPr>
            <w:r>
              <w:rPr>
                <w:rFonts w:ascii="Arial" w:cs="Arial" w:eastAsia="Arial" w:hAnsi="Arial"/>
                <w:sz w:val="18"/>
                <w:szCs w:val="18"/>
                <w:color w:val="auto"/>
              </w:rPr>
              <w:t>6.6%</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Working capital</w:t>
            </w:r>
          </w:p>
        </w:tc>
        <w:tc>
          <w:tcPr>
            <w:tcW w:w="2240" w:type="dxa"/>
            <w:vAlign w:val="bottom"/>
          </w:tcPr>
          <w:p>
            <w:pPr>
              <w:jc w:val="right"/>
              <w:ind w:right="439"/>
              <w:spacing w:after="0"/>
              <w:rPr>
                <w:sz w:val="20"/>
                <w:szCs w:val="20"/>
                <w:color w:val="auto"/>
              </w:rPr>
            </w:pPr>
            <w:r>
              <w:rPr>
                <w:rFonts w:ascii="Arial" w:cs="Arial" w:eastAsia="Arial" w:hAnsi="Arial"/>
                <w:sz w:val="18"/>
                <w:szCs w:val="18"/>
                <w:color w:val="auto"/>
              </w:rPr>
              <w:t>226,070</w:t>
            </w:r>
          </w:p>
        </w:tc>
        <w:tc>
          <w:tcPr>
            <w:tcW w:w="1780" w:type="dxa"/>
            <w:vAlign w:val="bottom"/>
          </w:tcPr>
          <w:p>
            <w:pPr>
              <w:jc w:val="right"/>
              <w:ind w:right="499"/>
              <w:spacing w:after="0"/>
              <w:rPr>
                <w:sz w:val="20"/>
                <w:szCs w:val="20"/>
                <w:color w:val="auto"/>
              </w:rPr>
            </w:pPr>
            <w:r>
              <w:rPr>
                <w:rFonts w:ascii="Arial" w:cs="Arial" w:eastAsia="Arial" w:hAnsi="Arial"/>
                <w:sz w:val="18"/>
                <w:szCs w:val="18"/>
                <w:color w:val="auto"/>
              </w:rPr>
              <w:t>225,520</w:t>
            </w:r>
          </w:p>
        </w:tc>
        <w:tc>
          <w:tcPr>
            <w:tcW w:w="1520" w:type="dxa"/>
            <w:vAlign w:val="bottom"/>
          </w:tcPr>
          <w:p>
            <w:pPr>
              <w:jc w:val="right"/>
              <w:ind w:right="439"/>
              <w:spacing w:after="0"/>
              <w:rPr>
                <w:sz w:val="20"/>
                <w:szCs w:val="20"/>
                <w:color w:val="auto"/>
              </w:rPr>
            </w:pPr>
            <w:r>
              <w:rPr>
                <w:rFonts w:ascii="Arial" w:cs="Arial" w:eastAsia="Arial" w:hAnsi="Arial"/>
                <w:sz w:val="18"/>
                <w:szCs w:val="18"/>
                <w:color w:val="auto"/>
              </w:rPr>
              <w:t>550</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0.2%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b w:val="1"/>
          <w:bCs w:val="1"/>
          <w:i w:val="1"/>
          <w:iCs w:val="1"/>
          <w:color w:val="auto"/>
        </w:rPr>
        <w:t>Operating Activities</w:t>
      </w:r>
      <w:r>
        <w:rPr>
          <w:rFonts w:ascii="Arial" w:cs="Arial" w:eastAsia="Arial" w:hAnsi="Arial"/>
          <w:sz w:val="16"/>
          <w:szCs w:val="16"/>
          <w:color w:val="auto"/>
        </w:rPr>
        <w:t>: Cash provided by operating activities is net income adjusted for certain non-cash items and changes in assets and liabilities. Our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provided from operating activities in the first six months of 2007 totaled $19.3 million. The major components of cash flows provided by operating activities were net income of $3.7 million, depreciation and amortization of $3.5 million, non-cash share-based compensation expense of</w:t>
      </w:r>
    </w:p>
    <w:p>
      <w:pPr>
        <w:ind w:right="120"/>
        <w:spacing w:after="0" w:line="273" w:lineRule="auto"/>
        <w:rPr>
          <w:sz w:val="20"/>
          <w:szCs w:val="20"/>
          <w:color w:val="auto"/>
        </w:rPr>
      </w:pPr>
      <w:r>
        <w:rPr>
          <w:rFonts w:ascii="Arial" w:cs="Arial" w:eastAsia="Arial" w:hAnsi="Arial"/>
          <w:sz w:val="17"/>
          <w:szCs w:val="17"/>
          <w:color w:val="auto"/>
        </w:rPr>
        <w:t>$2.1 million and other changes in net current assets. The change in current assets and liabilities included a decrease in accounts receivable and inventories of $14.6 million and $1.2 million, respectively. The decrease in accounts receivable was primarily due to cash collections made in the first six months of 2007 and decreased business volume within our semiconductor equipment business. The decrease in inventory was a result of decreased business volume within our semiconductor equipment business and our ongoing efforts to reduce inventory levels.</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Investing cash flows consist primarily of capital expenditures, the proceeds from investment maturities and disposals, and purchases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and divestitures. Our net cash used by investing activities in the first six months of 2007 totaled $22.5 million and was primarily the result of $102.2 million cash used for purchases of short-term investments; partially offset by $89.6 million in net proceeds from sales and maturities of short-term investments. Our other expenditures in the first six months of 2007 included the purchase of AVS for $8.3 million and purchases of property, plant and equipment of $1.4 million. The acquisition of AVS was a strategic transaction to expand our digital microwave communications solutions, especially in high definition broadcast television and public safety and law enforcement applications within our microwave communications equipment business. The purchases of property, plant and equipment were primarily made to support activities in our semiconductor equipment business and consisted primarily of equipment used in engineering, manufacturing and related functions.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2007</w:t>
      </w:r>
    </w:p>
    <w:p>
      <w:pPr>
        <w:spacing w:after="0" w:line="10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Financing cash flows consist primarily of payment of dividends to stockholders, partially offset by proceeds from sales of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employee equity incentive plans. Our net cash provided from financing activities in the first six months of 2007 included $2.8 million received from the issuance of stock upon the exercise of stock options and other employee equity incentive plans, offset by $2.7 million for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May, 2007, we renewed our $5.0 million unsecured bank line of credit bearing interest at the bank’s prime rate. The line of credit will expire in July, 2008, and requires that we maintain specified minimum levels of net worth, limits the amount of our capital expenditures and requires us to meet certain other financial covenants. We are currently in compliance with these covenants. No borrowings were outstanding at June 30, 2007; however, approximately</w:t>
      </w:r>
    </w:p>
    <w:p>
      <w:pPr>
        <w:ind w:right="840"/>
        <w:spacing w:after="0" w:line="261" w:lineRule="auto"/>
        <w:rPr>
          <w:sz w:val="20"/>
          <w:szCs w:val="20"/>
          <w:color w:val="auto"/>
        </w:rPr>
      </w:pPr>
      <w:r>
        <w:rPr>
          <w:rFonts w:ascii="Arial" w:cs="Arial" w:eastAsia="Arial" w:hAnsi="Arial"/>
          <w:sz w:val="18"/>
          <w:szCs w:val="18"/>
          <w:color w:val="auto"/>
        </w:rPr>
        <w:t>$1.0 million of the credit facility was allocated to standby letters of credit at June 30, 2007, leaving the balance of $4.0 million available for future borrowings.</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that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30, 2006.</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June 30, 2007, the maximum potential amount of future payments that we could be required to make under these standby letters of credit was approximately $1.0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June 30, 2007 our investment portfolio includes fixed-income securities with a fair value of approximately $135.7 million. These securities are subject to interest rate risk and will decline in value if interest rates increase. Due to the relatively short duration of our investment portfolio, an immediate ten percent change in interest rates (e.g. 5.00% to 5.50%) would have no material impact on our financial condition or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last fiscal quarter, there have been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The information set forth above under Note 8 contained in the “Notes to Unaudited Condensed Consolidated Financial Statements” on Page 12 of this Form 10-Q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240" w:right="200"/>
        <w:spacing w:after="0" w:line="286" w:lineRule="auto"/>
        <w:rPr>
          <w:sz w:val="20"/>
          <w:szCs w:val="20"/>
          <w:color w:val="auto"/>
        </w:rPr>
      </w:pPr>
      <w:r>
        <w:rPr>
          <w:rFonts w:ascii="Arial" w:cs="Arial" w:eastAsia="Arial" w:hAnsi="Arial"/>
          <w:sz w:val="17"/>
          <w:szCs w:val="17"/>
          <w:color w:val="auto"/>
        </w:rPr>
        <w:t>The most significant risk factors applicable to Cohu are described in Part I, Item 1A (Risk Factors) of Cohu’s Annual Report on Form 10-K for the fiscal year ended December 30, 2006 (our “2006 Form 10-K”). There have been no material changes to the risk factors previously disclosed in our 2006 Form 10-K, except that we have updated such risk factors as forth below to reflect events occurring since the filing of our 2006 Form 10-K.</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export regulations may impact sales to foreign customers.</w:t>
      </w:r>
    </w:p>
    <w:p>
      <w:pPr>
        <w:spacing w:after="0" w:line="117"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Certain products may require compliance with United States export regulations, and compliance with such regulations could impact certain sales, and have a material adverse effect on our operating results. In addition, failure to comply could subject us to sanctions that could negatively impact our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Cohu Annual Meeting of Stockholders was held on May 8, 2007. At the meeting the following directors were elected: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w:t>
            </w:r>
          </w:p>
        </w:tc>
        <w:tc>
          <w:tcPr>
            <w:tcW w:w="3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Number of Common Shares Voted</w:t>
            </w:r>
          </w:p>
        </w:tc>
        <w:tc>
          <w:tcPr>
            <w:tcW w:w="0" w:type="dxa"/>
            <w:vAlign w:val="bottom"/>
          </w:tcPr>
          <w:p>
            <w:pPr>
              <w:spacing w:after="0"/>
              <w:rPr>
                <w:sz w:val="1"/>
                <w:szCs w:val="1"/>
                <w:color w:val="auto"/>
              </w:rPr>
            </w:pPr>
          </w:p>
        </w:tc>
      </w:tr>
      <w:tr>
        <w:trPr>
          <w:trHeight w:val="142"/>
        </w:trPr>
        <w:tc>
          <w:tcPr>
            <w:tcW w:w="7740" w:type="dxa"/>
            <w:vAlign w:val="bottom"/>
            <w:gridSpan w:val="3"/>
            <w:vMerge w:val="continue"/>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Votes For</w:t>
            </w:r>
          </w:p>
        </w:tc>
        <w:tc>
          <w:tcPr>
            <w:tcW w:w="48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Withhold Authority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Mr. James W. Barnes</w:t>
            </w:r>
          </w:p>
        </w:tc>
        <w:tc>
          <w:tcPr>
            <w:tcW w:w="480" w:type="dxa"/>
            <w:vAlign w:val="bottom"/>
          </w:tcPr>
          <w:p>
            <w:pPr>
              <w:spacing w:after="0"/>
              <w:rPr>
                <w:sz w:val="16"/>
                <w:szCs w:val="16"/>
                <w:color w:val="auto"/>
              </w:rPr>
            </w:pPr>
          </w:p>
        </w:tc>
        <w:tc>
          <w:tcPr>
            <w:tcW w:w="1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12,680,880</w:t>
            </w:r>
          </w:p>
        </w:tc>
        <w:tc>
          <w:tcPr>
            <w:tcW w:w="480" w:type="dxa"/>
            <w:vAlign w:val="bottom"/>
          </w:tcPr>
          <w:p>
            <w:pPr>
              <w:spacing w:after="0"/>
              <w:rPr>
                <w:sz w:val="16"/>
                <w:szCs w:val="16"/>
                <w:color w:val="auto"/>
              </w:rPr>
            </w:pPr>
          </w:p>
        </w:tc>
        <w:tc>
          <w:tcPr>
            <w:tcW w:w="1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7,672,942</w:t>
            </w:r>
          </w:p>
        </w:tc>
        <w:tc>
          <w:tcPr>
            <w:tcW w:w="0" w:type="dxa"/>
            <w:vAlign w:val="bottom"/>
          </w:tcPr>
          <w:p>
            <w:pPr>
              <w:spacing w:after="0"/>
              <w:rPr>
                <w:sz w:val="1"/>
                <w:szCs w:val="1"/>
                <w:color w:val="auto"/>
              </w:rPr>
            </w:pPr>
          </w:p>
        </w:tc>
      </w:tr>
      <w:tr>
        <w:trPr>
          <w:trHeight w:val="230"/>
        </w:trPr>
        <w:tc>
          <w:tcPr>
            <w:tcW w:w="7740" w:type="dxa"/>
            <w:vAlign w:val="bottom"/>
            <w:gridSpan w:val="3"/>
          </w:tcPr>
          <w:p>
            <w:pPr>
              <w:spacing w:after="0"/>
              <w:rPr>
                <w:sz w:val="20"/>
                <w:szCs w:val="20"/>
                <w:color w:val="auto"/>
              </w:rPr>
            </w:pPr>
            <w:r>
              <w:rPr>
                <w:rFonts w:ascii="Arial" w:cs="Arial" w:eastAsia="Arial" w:hAnsi="Arial"/>
                <w:sz w:val="18"/>
                <w:szCs w:val="18"/>
                <w:color w:val="auto"/>
              </w:rPr>
              <w:t>Mr. James A. Donahue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12,779,148</w:t>
            </w:r>
          </w:p>
        </w:tc>
        <w:tc>
          <w:tcPr>
            <w:tcW w:w="226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7,574,674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remaining directors continuing in office until 2008 or 2009 are, Harry L. Casari, Robert L. Ciardella, Harold Harrigian and Charles A. Schwan.</w:t>
      </w:r>
    </w:p>
    <w:p>
      <w:pPr>
        <w:spacing w:after="0" w:line="129" w:lineRule="exact"/>
        <w:rPr>
          <w:sz w:val="20"/>
          <w:szCs w:val="20"/>
          <w:color w:val="auto"/>
        </w:rPr>
      </w:pPr>
    </w:p>
    <w:p>
      <w:pPr>
        <w:ind w:left="240" w:right="400"/>
        <w:spacing w:after="0" w:line="277" w:lineRule="auto"/>
        <w:rPr>
          <w:sz w:val="20"/>
          <w:szCs w:val="20"/>
          <w:color w:val="auto"/>
        </w:rPr>
      </w:pPr>
      <w:r>
        <w:rPr>
          <w:rFonts w:ascii="Arial" w:cs="Arial" w:eastAsia="Arial" w:hAnsi="Arial"/>
          <w:sz w:val="18"/>
          <w:szCs w:val="18"/>
          <w:color w:val="auto"/>
        </w:rPr>
        <w:t>On June 8, 2007 we were saddened to report the death of James W. Barnes, a member of our Board of Directors since 1983. Mr. Barnes, 77, retired as Cohu’s President and CEO in 1996.</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stockholders approved the following proposal: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Number of Common Shares Voted</w:t>
            </w: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46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4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4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Broker</w:t>
            </w:r>
          </w:p>
        </w:tc>
        <w:tc>
          <w:tcPr>
            <w:tcW w:w="0" w:type="dxa"/>
            <w:vAlign w:val="bottom"/>
          </w:tcPr>
          <w:p>
            <w:pPr>
              <w:spacing w:after="0"/>
              <w:rPr>
                <w:sz w:val="1"/>
                <w:szCs w:val="1"/>
                <w:color w:val="auto"/>
              </w:rPr>
            </w:pPr>
          </w:p>
        </w:tc>
      </w:tr>
      <w:tr>
        <w:trPr>
          <w:trHeight w:val="171"/>
        </w:trPr>
        <w:tc>
          <w:tcPr>
            <w:tcW w:w="548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195"/>
        </w:trPr>
        <w:tc>
          <w:tcPr>
            <w:tcW w:w="5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To ratify the appointment of Ernst &amp; Young LLP as Cohu’s</w:t>
            </w:r>
          </w:p>
        </w:tc>
        <w:tc>
          <w:tcPr>
            <w:tcW w:w="4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independent registered public accounting firm for 2007.</w:t>
            </w:r>
          </w:p>
        </w:tc>
        <w:tc>
          <w:tcPr>
            <w:tcW w:w="1380" w:type="dxa"/>
            <w:vAlign w:val="bottom"/>
          </w:tcPr>
          <w:p>
            <w:pPr>
              <w:jc w:val="right"/>
              <w:ind w:right="199"/>
              <w:spacing w:after="0"/>
              <w:rPr>
                <w:sz w:val="20"/>
                <w:szCs w:val="20"/>
                <w:color w:val="auto"/>
              </w:rPr>
            </w:pPr>
            <w:r>
              <w:rPr>
                <w:rFonts w:ascii="Arial" w:cs="Arial" w:eastAsia="Arial" w:hAnsi="Arial"/>
                <w:sz w:val="18"/>
                <w:szCs w:val="18"/>
                <w:color w:val="auto"/>
              </w:rPr>
              <w:t>19,315,518</w:t>
            </w:r>
          </w:p>
        </w:tc>
        <w:tc>
          <w:tcPr>
            <w:tcW w:w="1640" w:type="dxa"/>
            <w:vAlign w:val="bottom"/>
            <w:gridSpan w:val="2"/>
          </w:tcPr>
          <w:p>
            <w:pPr>
              <w:jc w:val="right"/>
              <w:ind w:right="228"/>
              <w:spacing w:after="0"/>
              <w:rPr>
                <w:sz w:val="20"/>
                <w:szCs w:val="20"/>
                <w:color w:val="auto"/>
              </w:rPr>
            </w:pPr>
            <w:r>
              <w:rPr>
                <w:rFonts w:ascii="Arial" w:cs="Arial" w:eastAsia="Arial" w:hAnsi="Arial"/>
                <w:sz w:val="18"/>
                <w:szCs w:val="18"/>
                <w:color w:val="auto"/>
              </w:rPr>
              <w:t>928,321</w:t>
            </w:r>
          </w:p>
        </w:tc>
        <w:tc>
          <w:tcPr>
            <w:tcW w:w="1660" w:type="dxa"/>
            <w:vAlign w:val="bottom"/>
            <w:gridSpan w:val="2"/>
          </w:tcPr>
          <w:p>
            <w:pPr>
              <w:jc w:val="right"/>
              <w:ind w:right="228"/>
              <w:spacing w:after="0"/>
              <w:rPr>
                <w:sz w:val="20"/>
                <w:szCs w:val="20"/>
                <w:color w:val="auto"/>
              </w:rPr>
            </w:pPr>
            <w:r>
              <w:rPr>
                <w:rFonts w:ascii="Arial" w:cs="Arial" w:eastAsia="Arial" w:hAnsi="Arial"/>
                <w:sz w:val="18"/>
                <w:szCs w:val="18"/>
                <w:color w:val="auto"/>
              </w:rPr>
              <w:t>109,983</w:t>
            </w:r>
          </w:p>
        </w:tc>
        <w:tc>
          <w:tcPr>
            <w:tcW w:w="1260" w:type="dxa"/>
            <w:vAlign w:val="bottom"/>
            <w:gridSpan w:val="2"/>
          </w:tcPr>
          <w:p>
            <w:pPr>
              <w:jc w:val="center"/>
              <w:ind w:left="41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3(i).1</w:t>
            </w:r>
          </w:p>
        </w:tc>
        <w:tc>
          <w:tcPr>
            <w:tcW w:w="10920" w:type="dxa"/>
            <w:vAlign w:val="bottom"/>
          </w:tcPr>
          <w:p>
            <w:pPr>
              <w:ind w:left="100"/>
              <w:spacing w:after="0"/>
              <w:rPr>
                <w:sz w:val="20"/>
                <w:szCs w:val="20"/>
                <w:color w:val="auto"/>
              </w:rPr>
            </w:pPr>
            <w:r>
              <w:rPr>
                <w:rFonts w:ascii="Arial" w:cs="Arial" w:eastAsia="Arial" w:hAnsi="Arial"/>
                <w:sz w:val="18"/>
                <w:szCs w:val="18"/>
                <w:color w:val="auto"/>
                <w:w w:val="93"/>
              </w:rPr>
              <w:t>Amended and Restated Certificate of Incorporation of Cohu, Inc. incorporated herein by reference to Exhibit 3.1(a) from the Cohu, Inc. Form 10-Q</w:t>
            </w:r>
          </w:p>
        </w:tc>
      </w:tr>
      <w:tr>
        <w:trPr>
          <w:trHeight w:val="230"/>
        </w:trPr>
        <w:tc>
          <w:tcPr>
            <w:tcW w:w="500" w:type="dxa"/>
            <w:vAlign w:val="bottom"/>
          </w:tcPr>
          <w:p>
            <w:pPr>
              <w:spacing w:after="0"/>
              <w:rPr>
                <w:sz w:val="20"/>
                <w:szCs w:val="20"/>
                <w:color w:val="auto"/>
              </w:rPr>
            </w:pPr>
          </w:p>
        </w:tc>
        <w:tc>
          <w:tcPr>
            <w:tcW w:w="10920" w:type="dxa"/>
            <w:vAlign w:val="bottom"/>
          </w:tcPr>
          <w:p>
            <w:pPr>
              <w:ind w:left="100"/>
              <w:spacing w:after="0"/>
              <w:rPr>
                <w:sz w:val="20"/>
                <w:szCs w:val="20"/>
                <w:color w:val="auto"/>
              </w:rPr>
            </w:pPr>
            <w:r>
              <w:rPr>
                <w:rFonts w:ascii="Arial" w:cs="Arial" w:eastAsia="Arial" w:hAnsi="Arial"/>
                <w:sz w:val="18"/>
                <w:szCs w:val="18"/>
                <w:color w:val="auto"/>
              </w:rPr>
              <w:t>for the quarterly period ended June 30, 1999</w:t>
            </w: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3(i).2</w:t>
            </w:r>
          </w:p>
        </w:tc>
        <w:tc>
          <w:tcPr>
            <w:tcW w:w="10920" w:type="dxa"/>
            <w:vAlign w:val="bottom"/>
          </w:tcPr>
          <w:p>
            <w:pPr>
              <w:ind w:left="100"/>
              <w:spacing w:after="0"/>
              <w:rPr>
                <w:sz w:val="20"/>
                <w:szCs w:val="20"/>
                <w:color w:val="auto"/>
              </w:rPr>
            </w:pPr>
            <w:r>
              <w:rPr>
                <w:rFonts w:ascii="Arial" w:cs="Arial" w:eastAsia="Arial" w:hAnsi="Arial"/>
                <w:sz w:val="18"/>
                <w:szCs w:val="18"/>
                <w:color w:val="auto"/>
                <w:w w:val="92"/>
              </w:rPr>
              <w:t>Certificate of Amendment of Amended and Restated Certificate of Incorporation of Cohu, Inc. incorporated herein by reference from the Cohu, Inc.</w:t>
            </w:r>
          </w:p>
        </w:tc>
      </w:tr>
      <w:tr>
        <w:trPr>
          <w:trHeight w:val="230"/>
        </w:trPr>
        <w:tc>
          <w:tcPr>
            <w:tcW w:w="500" w:type="dxa"/>
            <w:vAlign w:val="bottom"/>
          </w:tcPr>
          <w:p>
            <w:pPr>
              <w:spacing w:after="0"/>
              <w:rPr>
                <w:sz w:val="20"/>
                <w:szCs w:val="20"/>
                <w:color w:val="auto"/>
              </w:rPr>
            </w:pPr>
          </w:p>
        </w:tc>
        <w:tc>
          <w:tcPr>
            <w:tcW w:w="10920" w:type="dxa"/>
            <w:vAlign w:val="bottom"/>
          </w:tcPr>
          <w:p>
            <w:pPr>
              <w:ind w:left="100"/>
              <w:spacing w:after="0"/>
              <w:rPr>
                <w:sz w:val="20"/>
                <w:szCs w:val="20"/>
                <w:color w:val="auto"/>
              </w:rPr>
            </w:pPr>
            <w:r>
              <w:rPr>
                <w:rFonts w:ascii="Arial" w:cs="Arial" w:eastAsia="Arial" w:hAnsi="Arial"/>
                <w:sz w:val="18"/>
                <w:szCs w:val="18"/>
                <w:color w:val="auto"/>
              </w:rPr>
              <w:t>Form S-8 filed with the Securities and Exchange Commission on June 30, 2000, Exhibit 4.1(a)</w:t>
            </w: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3(ii)</w:t>
            </w:r>
          </w:p>
        </w:tc>
        <w:tc>
          <w:tcPr>
            <w:tcW w:w="10920" w:type="dxa"/>
            <w:vAlign w:val="bottom"/>
          </w:tcPr>
          <w:p>
            <w:pPr>
              <w:ind w:left="100"/>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 filed with the</w:t>
            </w:r>
          </w:p>
        </w:tc>
      </w:tr>
      <w:tr>
        <w:trPr>
          <w:trHeight w:val="230"/>
        </w:trPr>
        <w:tc>
          <w:tcPr>
            <w:tcW w:w="500" w:type="dxa"/>
            <w:vAlign w:val="bottom"/>
          </w:tcPr>
          <w:p>
            <w:pPr>
              <w:spacing w:after="0"/>
              <w:rPr>
                <w:sz w:val="20"/>
                <w:szCs w:val="20"/>
                <w:color w:val="auto"/>
              </w:rPr>
            </w:pPr>
          </w:p>
        </w:tc>
        <w:tc>
          <w:tcPr>
            <w:tcW w:w="10920" w:type="dxa"/>
            <w:vAlign w:val="bottom"/>
          </w:tcPr>
          <w:p>
            <w:pPr>
              <w:ind w:left="100"/>
              <w:spacing w:after="0"/>
              <w:rPr>
                <w:sz w:val="20"/>
                <w:szCs w:val="20"/>
                <w:color w:val="auto"/>
              </w:rPr>
            </w:pPr>
            <w:r>
              <w:rPr>
                <w:rFonts w:ascii="Arial" w:cs="Arial" w:eastAsia="Arial" w:hAnsi="Arial"/>
                <w:sz w:val="18"/>
                <w:szCs w:val="18"/>
                <w:color w:val="auto"/>
              </w:rPr>
              <w:t>Securities and Exchange Commission on December 12, 1996</w:t>
            </w: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tcPr>
          <w:p>
            <w:pPr>
              <w:ind w:left="100"/>
              <w:spacing w:after="0"/>
              <w:rPr>
                <w:sz w:val="20"/>
                <w:szCs w:val="20"/>
                <w:color w:val="auto"/>
              </w:rPr>
            </w:pPr>
            <w:r>
              <w:rPr>
                <w:rFonts w:ascii="Arial" w:cs="Arial" w:eastAsia="Arial" w:hAnsi="Arial"/>
                <w:sz w:val="18"/>
                <w:szCs w:val="18"/>
                <w:color w:val="auto"/>
                <w:w w:val="95"/>
              </w:rPr>
              <w:t>Amended and Restated Rights Agreement dated November 10, 2006, between Cohu, Inc. and Mellon Investor Services LLC, as Rights Agent,</w:t>
            </w:r>
          </w:p>
        </w:tc>
      </w:tr>
      <w:tr>
        <w:trPr>
          <w:trHeight w:val="216"/>
        </w:trPr>
        <w:tc>
          <w:tcPr>
            <w:tcW w:w="500" w:type="dxa"/>
            <w:vAlign w:val="bottom"/>
          </w:tcPr>
          <w:p>
            <w:pPr>
              <w:spacing w:after="0"/>
              <w:rPr>
                <w:sz w:val="18"/>
                <w:szCs w:val="18"/>
                <w:color w:val="auto"/>
              </w:rPr>
            </w:pPr>
          </w:p>
        </w:tc>
        <w:tc>
          <w:tcPr>
            <w:tcW w:w="10920" w:type="dxa"/>
            <w:vAlign w:val="bottom"/>
          </w:tcPr>
          <w:p>
            <w:pPr>
              <w:ind w:left="100"/>
              <w:spacing w:after="0"/>
              <w:rPr>
                <w:sz w:val="20"/>
                <w:szCs w:val="20"/>
                <w:color w:val="auto"/>
              </w:rPr>
            </w:pPr>
            <w:r>
              <w:rPr>
                <w:rFonts w:ascii="Arial" w:cs="Arial" w:eastAsia="Arial" w:hAnsi="Arial"/>
                <w:sz w:val="18"/>
                <w:szCs w:val="18"/>
                <w:color w:val="auto"/>
                <w:w w:val="94"/>
              </w:rPr>
              <w:t>incorporated herein by reference from the Cohu, Inc. Report on Form 8-K filed with the Securities and Exchange Commission on November 13,</w:t>
            </w:r>
          </w:p>
        </w:tc>
      </w:tr>
      <w:tr>
        <w:trPr>
          <w:trHeight w:val="230"/>
        </w:trPr>
        <w:tc>
          <w:tcPr>
            <w:tcW w:w="500" w:type="dxa"/>
            <w:vAlign w:val="bottom"/>
          </w:tcPr>
          <w:p>
            <w:pPr>
              <w:spacing w:after="0"/>
              <w:rPr>
                <w:sz w:val="20"/>
                <w:szCs w:val="20"/>
                <w:color w:val="auto"/>
              </w:rPr>
            </w:pPr>
          </w:p>
        </w:tc>
        <w:tc>
          <w:tcPr>
            <w:tcW w:w="10920" w:type="dxa"/>
            <w:vAlign w:val="bottom"/>
          </w:tcPr>
          <w:p>
            <w:pPr>
              <w:ind w:left="100"/>
              <w:spacing w:after="0"/>
              <w:rPr>
                <w:sz w:val="20"/>
                <w:szCs w:val="20"/>
                <w:color w:val="auto"/>
              </w:rPr>
            </w:pPr>
            <w:r>
              <w:rPr>
                <w:rFonts w:ascii="Arial" w:cs="Arial" w:eastAsia="Arial" w:hAnsi="Arial"/>
                <w:sz w:val="18"/>
                <w:szCs w:val="18"/>
                <w:color w:val="auto"/>
              </w:rPr>
              <w:t>2006, Exhibit 99.1</w:t>
            </w: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920" w:type="dxa"/>
            <w:vAlign w:val="bottom"/>
          </w:tcPr>
          <w:p>
            <w:pPr>
              <w:ind w:left="100"/>
              <w:spacing w:after="0"/>
              <w:rPr>
                <w:sz w:val="20"/>
                <w:szCs w:val="20"/>
                <w:color w:val="auto"/>
              </w:rPr>
            </w:pPr>
            <w:r>
              <w:rPr>
                <w:rFonts w:ascii="Arial" w:cs="Arial" w:eastAsia="Arial" w:hAnsi="Arial"/>
                <w:sz w:val="18"/>
                <w:szCs w:val="18"/>
                <w:color w:val="auto"/>
                <w:w w:val="91"/>
              </w:rPr>
              <w:t>Amendment No. 3 dated May 29, 2007 to Loan Agreement dated June 28, 2004 between Cohu, Inc. and Bank of America, N.A., incorporated herein</w:t>
            </w:r>
          </w:p>
        </w:tc>
      </w:tr>
      <w:tr>
        <w:trPr>
          <w:trHeight w:val="230"/>
        </w:trPr>
        <w:tc>
          <w:tcPr>
            <w:tcW w:w="500" w:type="dxa"/>
            <w:vAlign w:val="bottom"/>
          </w:tcPr>
          <w:p>
            <w:pPr>
              <w:spacing w:after="0"/>
              <w:rPr>
                <w:sz w:val="20"/>
                <w:szCs w:val="20"/>
                <w:color w:val="auto"/>
              </w:rPr>
            </w:pPr>
          </w:p>
        </w:tc>
        <w:tc>
          <w:tcPr>
            <w:tcW w:w="10920" w:type="dxa"/>
            <w:vAlign w:val="bottom"/>
          </w:tcPr>
          <w:p>
            <w:pPr>
              <w:ind w:left="100"/>
              <w:spacing w:after="0"/>
              <w:rPr>
                <w:sz w:val="20"/>
                <w:szCs w:val="20"/>
                <w:color w:val="auto"/>
              </w:rPr>
            </w:pPr>
            <w:r>
              <w:rPr>
                <w:rFonts w:ascii="Arial" w:cs="Arial" w:eastAsia="Arial" w:hAnsi="Arial"/>
                <w:sz w:val="18"/>
                <w:szCs w:val="18"/>
                <w:color w:val="auto"/>
                <w:w w:val="94"/>
              </w:rPr>
              <w:t>by reference from the Cohu, Inc. Current Report on Form 8-K filed with the Securities and Exchange Commission on May 31, 2007, Exhibit 99.1</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920" w:type="dxa"/>
            <w:vAlign w:val="bottom"/>
          </w:tcPr>
          <w:p>
            <w:pPr>
              <w:ind w:left="10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920" w:type="dxa"/>
            <w:vAlign w:val="bottom"/>
          </w:tcPr>
          <w:p>
            <w:pPr>
              <w:ind w:left="10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92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1092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05"/>
        </w:trPr>
        <w:tc>
          <w:tcPr>
            <w:tcW w:w="500" w:type="dxa"/>
            <w:vAlign w:val="bottom"/>
          </w:tcPr>
          <w:p>
            <w:pPr>
              <w:spacing w:after="0"/>
              <w:rPr>
                <w:sz w:val="24"/>
                <w:szCs w:val="24"/>
                <w:color w:val="auto"/>
              </w:rPr>
            </w:pPr>
          </w:p>
        </w:tc>
        <w:tc>
          <w:tcPr>
            <w:tcW w:w="10920" w:type="dxa"/>
            <w:vAlign w:val="bottom"/>
          </w:tcPr>
          <w:p>
            <w:pPr>
              <w:ind w:left="5120"/>
              <w:spacing w:after="0"/>
              <w:rPr>
                <w:sz w:val="20"/>
                <w:szCs w:val="20"/>
                <w:color w:val="auto"/>
              </w:rPr>
            </w:pPr>
            <w:r>
              <w:rPr>
                <w:rFonts w:ascii="Arial" w:cs="Arial" w:eastAsia="Arial" w:hAnsi="Arial"/>
                <w:sz w:val="18"/>
                <w:szCs w:val="18"/>
                <w:color w:val="auto"/>
              </w:rPr>
              <w:t>25</w:t>
            </w:r>
          </w:p>
        </w:tc>
      </w:tr>
      <w:tr>
        <w:trPr>
          <w:trHeight w:val="226"/>
        </w:trPr>
        <w:tc>
          <w:tcPr>
            <w:tcW w:w="500" w:type="dxa"/>
            <w:vAlign w:val="bottom"/>
            <w:tcBorders>
              <w:bottom w:val="single" w:sz="8" w:color="808080"/>
            </w:tcBorders>
          </w:tcPr>
          <w:p>
            <w:pPr>
              <w:spacing w:after="0"/>
              <w:rPr>
                <w:sz w:val="19"/>
                <w:szCs w:val="19"/>
                <w:color w:val="auto"/>
              </w:rPr>
            </w:pPr>
          </w:p>
        </w:tc>
        <w:tc>
          <w:tcPr>
            <w:tcW w:w="10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July 26, 2007</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July 26, 2007</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Finance &amp; Chief Financial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3(i).1</w:t>
            </w:r>
          </w:p>
        </w:tc>
        <w:tc>
          <w:tcPr>
            <w:tcW w:w="580" w:type="dxa"/>
            <w:vAlign w:val="bottom"/>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w w:val="92"/>
              </w:rPr>
              <w:t>Amended and Restated Certificate of Incorporation of Cohu, Inc. incorporated herein by reference to Exhibit 3.1(a) from the Cohu, Inc.</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3(i).2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1"/>
              </w:rPr>
              <w:t>Certificate of Amendment of Amended and Restated Certificate of Incorporation of Cohu, Inc. incorporated herein by reference from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Cohu, Inc. Form S-8 filed with the Securities and Exchange Commission on June 30, 2000, Exhibit 4.1(a)</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3(ii)</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Amended and Restated Rights Agreement dated November 10, 2006, between Cohu, Inc. and Mellon Investor Services LLC, as Rights</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1"/>
              </w:rPr>
              <w:t>Agent, incorporated herein by reference from the Cohu, Inc. Report on Form 8-K filed with the Securities and Exchange Commission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November 13, 2006, 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7"/>
              </w:rPr>
              <w:t>Amendment No. 3 dated May 29, 2007 to Loan Agreement dated June 28, 2004 between Cohu, Inc. and Bank of America, N.A.,</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1"/>
              </w:rPr>
              <w:t>incorporated herein by reference from the Cohu, Inc. Current Report on Form 8-K filed with the Securities and Exchange Commission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May 31, 2007, Exhibit 99.1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80" w:hanging="5"/>
        <w:spacing w:after="0" w:line="264" w:lineRule="auto"/>
        <w:tabs>
          <w:tab w:leader="none" w:pos="12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660" w:hanging="5"/>
        <w:spacing w:after="0" w:line="308" w:lineRule="auto"/>
        <w:tabs>
          <w:tab w:leader="none" w:pos="127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340" w:hanging="5"/>
        <w:spacing w:after="0" w:line="277" w:lineRule="auto"/>
        <w:tabs>
          <w:tab w:leader="none" w:pos="128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52"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540" w:right="400" w:hanging="316"/>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right="280" w:hanging="7"/>
        <w:spacing w:after="0" w:line="264" w:lineRule="auto"/>
        <w:tabs>
          <w:tab w:leader="none" w:pos="9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200" w:hanging="7"/>
        <w:spacing w:after="0" w:line="264" w:lineRule="auto"/>
        <w:tabs>
          <w:tab w:leader="none" w:pos="9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780" w:hanging="7"/>
        <w:spacing w:after="0" w:line="342" w:lineRule="auto"/>
        <w:tabs>
          <w:tab w:leader="none" w:pos="94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00" w:right="220" w:hanging="7"/>
        <w:spacing w:after="0" w:line="264" w:lineRule="auto"/>
        <w:tabs>
          <w:tab w:leader="none" w:pos="9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180" w:hanging="7"/>
        <w:spacing w:after="0" w:line="277" w:lineRule="auto"/>
        <w:tabs>
          <w:tab w:leader="none" w:pos="9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00" w:right="140" w:hanging="7"/>
        <w:spacing w:after="0" w:line="277" w:lineRule="auto"/>
        <w:tabs>
          <w:tab w:leader="none" w:pos="9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2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June 30, 2007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right="640" w:firstLine="8"/>
        <w:spacing w:after="0" w:line="402"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26, 2007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2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June 30, 2007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720" w:firstLine="8"/>
        <w:spacing w:after="0" w:line="402"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26, 2007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2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8"/>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2019-12-11T17:00:47Z</dcterms:created>
  <dcterms:modified xsi:type="dcterms:W3CDTF">2019-12-11T17:00:47Z</dcterms:modified>
</cp:coreProperties>
</file>