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380" w:right="38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2007 the Registrant had 22,734,891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gridSpan w:val="18"/>
            <w:vMerge w:val="restart"/>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 Number</w:t>
            </w:r>
          </w:p>
        </w:tc>
        <w:tc>
          <w:tcPr>
            <w:tcW w:w="0" w:type="dxa"/>
            <w:vAlign w:val="bottom"/>
          </w:tcPr>
          <w:p>
            <w:pPr>
              <w:spacing w:after="0"/>
              <w:rPr>
                <w:sz w:val="1"/>
                <w:szCs w:val="1"/>
                <w:color w:val="auto"/>
              </w:rPr>
            </w:pPr>
          </w:p>
        </w:tc>
      </w:tr>
      <w:tr>
        <w:trPr>
          <w:trHeight w:val="210"/>
        </w:trPr>
        <w:tc>
          <w:tcPr>
            <w:tcW w:w="880" w:type="dxa"/>
            <w:vAlign w:val="bottom"/>
            <w:gridSpan w:val="4"/>
            <w:vMerge w:val="continue"/>
          </w:tcPr>
          <w:p>
            <w:pPr>
              <w:spacing w:after="0"/>
              <w:rPr>
                <w:sz w:val="18"/>
                <w:szCs w:val="18"/>
                <w:color w:val="auto"/>
              </w:rPr>
            </w:pPr>
          </w:p>
        </w:tc>
        <w:tc>
          <w:tcPr>
            <w:tcW w:w="9620" w:type="dxa"/>
            <w:vAlign w:val="bottom"/>
            <w:gridSpan w:val="18"/>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1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838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March 31, 2007 (unaudited) and December 30, 2006</w:t>
              </w:r>
            </w:hyperlink>
          </w:p>
        </w:tc>
        <w:tc>
          <w:tcPr>
            <w:tcW w:w="3520" w:type="dxa"/>
            <w:vAlign w:val="bottom"/>
            <w:gridSpan w:val="4"/>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Three Months Ended March 31, 2007 and March 25 2006</w:t>
              </w:r>
            </w:hyperlink>
          </w:p>
        </w:tc>
        <w:tc>
          <w:tcPr>
            <w:tcW w:w="1800" w:type="dxa"/>
            <w:vAlign w:val="bottom"/>
            <w:gridSpan w:val="2"/>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Three Months Ended March 31, 2007 and March 25, 2006</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040" w:type="dxa"/>
            <w:vAlign w:val="bottom"/>
            <w:tcBorders>
              <w:top w:val="single" w:sz="8" w:color="0000EE"/>
            </w:tcBorders>
            <w:gridSpan w:val="4"/>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3480" w:type="dxa"/>
            <w:vAlign w:val="bottom"/>
            <w:gridSpan w:val="3"/>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4. Controls and Procedures</w:t>
              </w:r>
            </w:hyperlink>
          </w:p>
        </w:tc>
        <w:tc>
          <w:tcPr>
            <w:tcW w:w="8160" w:type="dxa"/>
            <w:vAlign w:val="bottom"/>
            <w:gridSpan w:val="11"/>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8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1640" w:type="dxa"/>
            <w:vAlign w:val="bottom"/>
            <w:tcBorders>
              <w:bottom w:val="single" w:sz="8" w:color="0000EE"/>
            </w:tcBorders>
            <w:gridSpan w:val="8"/>
          </w:tcPr>
          <w:p>
            <w:pPr>
              <w:ind w:left="200"/>
              <w:spacing w:after="0"/>
              <w:rPr>
                <w:rFonts w:ascii="Arial" w:cs="Arial" w:eastAsia="Arial" w:hAnsi="Arial"/>
                <w:sz w:val="18"/>
                <w:szCs w:val="18"/>
                <w:b w:val="1"/>
                <w:bCs w:val="1"/>
                <w:color w:val="0000EE"/>
                <w:w w:val="93"/>
              </w:rPr>
            </w:pPr>
            <w:hyperlink w:anchor="page22">
              <w:r>
                <w:rPr>
                  <w:rFonts w:ascii="Arial" w:cs="Arial" w:eastAsia="Arial" w:hAnsi="Arial"/>
                  <w:sz w:val="18"/>
                  <w:szCs w:val="18"/>
                  <w:b w:val="1"/>
                  <w:bCs w:val="1"/>
                  <w:color w:val="0000EE"/>
                  <w:w w:val="93"/>
                </w:rPr>
                <w:t>Other Information</w:t>
              </w:r>
            </w:hyperlink>
          </w:p>
        </w:tc>
        <w:tc>
          <w:tcPr>
            <w:tcW w:w="798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 Legal Proceedings</w:t>
              </w:r>
            </w:hyperlink>
          </w:p>
        </w:tc>
        <w:tc>
          <w:tcPr>
            <w:tcW w:w="8600" w:type="dxa"/>
            <w:vAlign w:val="bottom"/>
            <w:gridSpan w:val="13"/>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900" w:type="dxa"/>
            <w:vAlign w:val="bottom"/>
            <w:gridSpan w:val="15"/>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2. Unregistered Sales of Equity Securities and Use of Proceeds</w:t>
              </w:r>
            </w:hyperlink>
          </w:p>
        </w:tc>
        <w:tc>
          <w:tcPr>
            <w:tcW w:w="5580" w:type="dxa"/>
            <w:vAlign w:val="bottom"/>
            <w:gridSpan w:val="7"/>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 Defaults Upon Senior Securities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Submission of Matters to a Vote of Security Holders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6"/>
          </w:tcPr>
          <w:p>
            <w:pPr>
              <w:spacing w:after="0"/>
              <w:rPr>
                <w:sz w:val="24"/>
                <w:szCs w:val="24"/>
                <w:color w:val="auto"/>
              </w:rPr>
            </w:pPr>
          </w:p>
        </w:tc>
        <w:tc>
          <w:tcPr>
            <w:tcW w:w="6180" w:type="dxa"/>
            <w:vAlign w:val="bottom"/>
            <w:gridSpan w:val="8"/>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80" w:type="dxa"/>
            <w:vAlign w:val="bottom"/>
            <w:tcBorders>
              <w:top w:val="single" w:sz="8" w:color="0000EE"/>
            </w:tcBorders>
            <w:gridSpan w:val="4"/>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40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40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40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2007</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30, 2006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50,169</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105,400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$1,654 in 2007 and $1,644 in 2006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42,044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13,038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22,039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6,028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273,099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23,319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30,119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60,453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(29,787)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30,666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2,598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 purchased intangible assets (Note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12,898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$2,695 in 2007 and $2,178 in 2006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330,568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10,325</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warranty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Customer advances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profit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4,906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50,462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2,434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432"/>
        </w:trPr>
        <w:tc>
          <w:tcPr>
            <w:tcW w:w="846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6"/>
              </w:rPr>
              <w:t>Common stock, $1 par value; 60,000 shares authorized, 22,735 shares issued and outstanding in 2007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22,700 shares in 2006</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22,735</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48,400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202,847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273,585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330,568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30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30, 2006 audited financial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60" w:type="dxa"/>
            <w:vAlign w:val="bottom"/>
            <w:gridSpan w:val="4"/>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327"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327"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53,368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Cost and expenses: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33,703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10,282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Discontinued operations (Note 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Loss from discontinued metal detection equipment operation, including loss on sale of $39 for the three months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March 31, 2007, before income taxes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Income tax benefit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Loss from discontinued operations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Loss from discontinued operations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22,717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23,111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76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w w:val="97"/>
              </w:rPr>
              <w:t>Adjustments to reconcile net income to net cash provided from (used for) continuing operating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Share-based compensation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Increase (decrease) in other accrued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 options exercised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Changes in current assets and liabilities, excluding effects from acquisitions and divestitures: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4,227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Customer advances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8"/>
                <w:szCs w:val="18"/>
                <w:color w:val="auto"/>
              </w:rPr>
              <w:t>Deferred profit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continuing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flows from continuing investing activities, excluding effects from acquisitions and divestitures: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short-term investments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(34,420)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52,123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Payment for purchase of AVS, net of cash received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(7,609)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Unigen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Cash advances to discontinued operations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800"/>
              <w:spacing w:after="0"/>
              <w:rPr>
                <w:sz w:val="20"/>
                <w:szCs w:val="20"/>
                <w:color w:val="auto"/>
              </w:rPr>
            </w:pPr>
            <w:r>
              <w:rPr>
                <w:rFonts w:ascii="Arial" w:cs="Arial" w:eastAsia="Arial" w:hAnsi="Arial"/>
                <w:sz w:val="18"/>
                <w:szCs w:val="18"/>
                <w:color w:val="auto"/>
              </w:rPr>
              <w:t>Net cash provided from (used for) investing activities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Issuance of stock,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benefits from stock options exercised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Cash dividends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beginning of period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Cash used for operating activities of discontinued operations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for investing activities of discontinued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Cash advances from continuing operations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 of discontinued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period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Income taxes, net of refunds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9" w:lineRule="exact"/>
        <w:rPr>
          <w:sz w:val="20"/>
          <w:szCs w:val="20"/>
          <w:color w:val="auto"/>
        </w:rPr>
      </w:pPr>
    </w:p>
    <w:p>
      <w:pPr>
        <w:ind w:left="260" w:right="7780" w:hanging="252"/>
        <w:spacing w:after="0" w:line="393"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2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fiscal years are based on a 52- or 53-week period ending on the last Saturday in December. The condensed consolidated balance sheet at December 30, 2006 has been derived from our audited financial statements at that date. The interim condensed consolidated financial statements as of March 31, 2007 (also referred to as “the first quarter of fiscal 2007”) and March 25, 2006 (also referred to as “the first quarter of fiscal 2006”) are unaudited. However, in management’s opinion, these financial statements reflect all adjustments (consisting only of normal, recurring items) necessary to provide a fair presentation of our financial position, results of operations and cash flows for the periods presented. The first quarter of fiscal 2007 and 2006 were comprised of thirteen weeks and twelve weeks, respectively.</w:t>
      </w:r>
    </w:p>
    <w:p>
      <w:pPr>
        <w:spacing w:after="0" w:line="98" w:lineRule="exact"/>
        <w:rPr>
          <w:rFonts w:ascii="Arial" w:cs="Arial" w:eastAsia="Arial" w:hAnsi="Arial"/>
          <w:sz w:val="18"/>
          <w:szCs w:val="18"/>
          <w:b w:val="1"/>
          <w:bCs w:val="1"/>
          <w:color w:val="auto"/>
        </w:rPr>
      </w:pPr>
    </w:p>
    <w:p>
      <w:pPr>
        <w:ind w:left="2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30, 2006, which are included in our 2006 Annual Report on Form 10-K, filed with the U. S. Securities and Exchange Commission (“SEC”). In the following notes to our interim condensed consolidated financial statements, Cohu, Inc. is referred to as “Cohu”, “we”, “our” and “us”.</w:t>
      </w:r>
    </w:p>
    <w:p>
      <w:pPr>
        <w:spacing w:after="0" w:line="8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As our interim description of risks and uncertainties only includes any material changes to our annual description, we also recommend reading the description of the risk factors associated with our business previously disclosed in Item 1A. of our 2006 Annual Report on Form 10-K. Understanding these risks and uncertainties is integral to the review of our interim condensed consolidated financial statements.</w:t>
      </w:r>
    </w:p>
    <w:p>
      <w:pPr>
        <w:spacing w:after="0" w:line="8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12, 2006, we sold our metal detection equipment business, FRL, Incorporated (“FRL”). Subsequent to the sale, the operating results of FRL are being presented as discontinued operations (Note 2) and all prior period financial statements have been reclassified accordingly.</w:t>
      </w:r>
    </w:p>
    <w:p>
      <w:pPr>
        <w:spacing w:after="0" w:line="47"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4" w:lineRule="exact"/>
        <w:rPr>
          <w:rFonts w:ascii="Arial" w:cs="Arial" w:eastAsia="Arial" w:hAnsi="Arial"/>
          <w:sz w:val="18"/>
          <w:szCs w:val="18"/>
          <w:b w:val="1"/>
          <w:bCs w:val="1"/>
          <w:color w:val="auto"/>
        </w:rPr>
      </w:pPr>
    </w:p>
    <w:p>
      <w:pPr>
        <w:ind w:left="2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On January 1, 2006, we adopted the provisions of FASB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(“Statement No. 123R”) and SEC Staff Accounting Bulletin No. 107, (“SAB No. 107”) requiring the measurement and recognition of all 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 No. 123R and SAB No. 107.</w:t>
      </w:r>
    </w:p>
    <w:p>
      <w:pPr>
        <w:spacing w:after="0" w:line="76" w:lineRule="exact"/>
        <w:rPr>
          <w:rFonts w:ascii="Arial" w:cs="Arial" w:eastAsia="Arial" w:hAnsi="Arial"/>
          <w:sz w:val="18"/>
          <w:szCs w:val="18"/>
          <w:b w:val="1"/>
          <w:bCs w:val="1"/>
          <w:color w:val="auto"/>
        </w:rPr>
      </w:pPr>
    </w:p>
    <w:p>
      <w:pPr>
        <w:ind w:left="260"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5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Reported share-based compensation is classified, in the condensed consolidated interim financial statements,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9"/>
              </w:rPr>
              <w:t>March 31,</w:t>
            </w:r>
          </w:p>
        </w:tc>
        <w:tc>
          <w:tcPr>
            <w:tcW w:w="32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March 25,</w:t>
            </w:r>
          </w:p>
        </w:tc>
        <w:tc>
          <w:tcPr>
            <w:tcW w:w="0" w:type="dxa"/>
            <w:vAlign w:val="bottom"/>
          </w:tcPr>
          <w:p>
            <w:pPr>
              <w:spacing w:after="0"/>
              <w:rPr>
                <w:sz w:val="1"/>
                <w:szCs w:val="1"/>
                <w:color w:val="auto"/>
              </w:rPr>
            </w:pPr>
          </w:p>
        </w:tc>
      </w:tr>
      <w:tr>
        <w:trPr>
          <w:trHeight w:val="174"/>
        </w:trPr>
        <w:tc>
          <w:tcPr>
            <w:tcW w:w="43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4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4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900" w:type="dxa"/>
            <w:vAlign w:val="bottom"/>
            <w:vMerge w:val="restart"/>
          </w:tcPr>
          <w:p>
            <w:pPr>
              <w:jc w:val="right"/>
              <w:ind w:right="34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Per Share</w:t>
      </w:r>
    </w:p>
    <w:p>
      <w:pPr>
        <w:spacing w:after="0" w:line="121" w:lineRule="exact"/>
        <w:rPr>
          <w:sz w:val="20"/>
          <w:szCs w:val="20"/>
          <w:color w:val="auto"/>
        </w:rPr>
      </w:pPr>
    </w:p>
    <w:p>
      <w:pPr>
        <w:ind w:left="240" w:right="20"/>
        <w:spacing w:after="0" w:line="272" w:lineRule="auto"/>
        <w:rPr>
          <w:sz w:val="20"/>
          <w:szCs w:val="20"/>
          <w:color w:val="auto"/>
        </w:rPr>
      </w:pPr>
      <w:r>
        <w:rPr>
          <w:rFonts w:ascii="Arial" w:cs="Arial" w:eastAsia="Arial" w:hAnsi="Arial"/>
          <w:sz w:val="17"/>
          <w:szCs w:val="17"/>
          <w:color w:val="auto"/>
        </w:rPr>
        <w:t xml:space="preserve">Income per share is computed in accordance with FASB Statement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months ended March 31, 2007, options to purchase approximately 729,000 shares of common stock were excluded from the computation. For the three months ended March 25, 2006, options to purchase approximately 178,000 shares of common stock were excluded from the computation. The following table reconciles the denominators used in computing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8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r>
      <w:tr>
        <w:trPr>
          <w:trHeight w:val="174"/>
        </w:trPr>
        <w:tc>
          <w:tcPr>
            <w:tcW w:w="6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80" w:type="dxa"/>
            <w:vAlign w:val="bottom"/>
            <w:gridSpan w:val="3"/>
          </w:tcPr>
          <w:p>
            <w:pPr>
              <w:jc w:val="right"/>
              <w:ind w:right="320"/>
              <w:spacing w:after="0"/>
              <w:rPr>
                <w:sz w:val="20"/>
                <w:szCs w:val="20"/>
                <w:color w:val="auto"/>
              </w:rPr>
            </w:pPr>
            <w:r>
              <w:rPr>
                <w:rFonts w:ascii="Arial" w:cs="Arial" w:eastAsia="Arial" w:hAnsi="Arial"/>
                <w:sz w:val="14"/>
                <w:szCs w:val="14"/>
                <w:color w:val="auto"/>
              </w:rPr>
              <w:t>March 31, 2007</w:t>
            </w:r>
          </w:p>
        </w:tc>
        <w:tc>
          <w:tcPr>
            <w:tcW w:w="1340" w:type="dxa"/>
            <w:vAlign w:val="bottom"/>
            <w:gridSpan w:val="3"/>
          </w:tcPr>
          <w:p>
            <w:pPr>
              <w:ind w:left="320"/>
              <w:spacing w:after="0"/>
              <w:rPr>
                <w:sz w:val="20"/>
                <w:szCs w:val="20"/>
                <w:color w:val="auto"/>
              </w:rPr>
            </w:pPr>
            <w:r>
              <w:rPr>
                <w:rFonts w:ascii="Arial" w:cs="Arial" w:eastAsia="Arial" w:hAnsi="Arial"/>
                <w:sz w:val="14"/>
                <w:szCs w:val="14"/>
                <w:color w:val="auto"/>
              </w:rPr>
              <w:t>March 25, 2006</w:t>
            </w:r>
          </w:p>
        </w:tc>
      </w:tr>
      <w:tr>
        <w:trPr>
          <w:trHeight w:val="216"/>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98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22,717</w:t>
            </w:r>
          </w:p>
        </w:tc>
        <w:tc>
          <w:tcPr>
            <w:tcW w:w="13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7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394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525</w:t>
            </w: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23,111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23,025</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30, 2006.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the consolidated balance sheet.</w:t>
      </w:r>
    </w:p>
    <w:p>
      <w:pPr>
        <w:spacing w:after="0" w:line="79"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At March 31, 2007, we had deferred revenue totaling approximately $30.5 million and deferred profit of $12.4 million. At December 30, 2006, we had deferred revenue totaling approximately $22.0 million and deferred profit of $9.8 million.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Retiree Medical Benefits</w:t>
      </w:r>
    </w:p>
    <w:p>
      <w:pPr>
        <w:spacing w:after="0" w:line="12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quarter of fiscal 2007 and 2006 was not significant.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240" w:right="46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(“Statement No. 159”). Statement No. 159 gives entities the option to carry many financial assets and liabilities at fair value, with changes in fair value recorded in earnings. Statement No. 159, which will be effective in our first quarter of fiscal 2008, is not expected to have a material impact on our consolidated financial position or results of operations.</w:t>
      </w:r>
    </w:p>
    <w:p>
      <w:pPr>
        <w:spacing w:after="0" w:line="7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May 12,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March 31,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key financial information of our discontinued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9"/>
              </w:rPr>
              <w:t>March 25,</w:t>
            </w:r>
          </w:p>
        </w:tc>
        <w:tc>
          <w:tcPr>
            <w:tcW w:w="0" w:type="dxa"/>
            <w:vAlign w:val="bottom"/>
          </w:tcPr>
          <w:p>
            <w:pPr>
              <w:spacing w:after="0"/>
              <w:rPr>
                <w:sz w:val="1"/>
                <w:szCs w:val="1"/>
                <w:color w:val="auto"/>
              </w:rPr>
            </w:pPr>
          </w:p>
        </w:tc>
      </w:t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right="8520" w:hanging="252"/>
        <w:spacing w:after="0" w:line="472" w:lineRule="auto"/>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Intangible Assets </w:t>
      </w:r>
      <w:r>
        <w:rPr>
          <w:rFonts w:ascii="Arial" w:cs="Arial" w:eastAsia="Arial" w:hAnsi="Arial"/>
          <w:sz w:val="15"/>
          <w:szCs w:val="15"/>
          <w:i w:val="1"/>
          <w:iCs w:val="1"/>
          <w:u w:val="single" w:color="auto"/>
          <w:color w:val="auto"/>
        </w:rPr>
        <w:t>Tandberg Television AVS GmbH</w:t>
      </w:r>
    </w:p>
    <w:p>
      <w:pPr>
        <w:ind w:left="260" w:right="1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Pro forma results of operations have not been presented because the effect of the acquisition was not material. AVS, located near Frankfurt, Germany, designs, develops, manufactures and sells digital microwave transmitters, receivers and communications systems. This acquisition expands our digital microwave communications solutions, especially in high definition broadcast television and public safety and law enforcement applications.</w:t>
      </w:r>
    </w:p>
    <w:p>
      <w:pPr>
        <w:spacing w:after="0" w:line="93" w:lineRule="exact"/>
        <w:rPr>
          <w:rFonts w:ascii="Arial" w:cs="Arial" w:eastAsia="Arial" w:hAnsi="Arial"/>
          <w:sz w:val="15"/>
          <w:szCs w:val="15"/>
          <w:b w:val="1"/>
          <w:bCs w:val="1"/>
          <w:color w:val="auto"/>
        </w:rPr>
      </w:pPr>
    </w:p>
    <w:p>
      <w:pPr>
        <w:ind w:left="260" w:right="2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The purchase price of this acquisition was approximately $7.9 million, and was funded by our cash reserves and certain liabilities that we assumed. The purchase price is subject to a working capital adjustment and, as a result, adjustments to the amounts noted below are likely. We expect to finalize the sales price and related purchase price allocation no later than the third quarter of fiscal 2007.</w:t>
      </w:r>
    </w:p>
    <w:p>
      <w:pPr>
        <w:spacing w:after="0" w:line="86" w:lineRule="exact"/>
        <w:rPr>
          <w:rFonts w:ascii="Arial" w:cs="Arial" w:eastAsia="Arial" w:hAnsi="Arial"/>
          <w:sz w:val="15"/>
          <w:szCs w:val="15"/>
          <w:b w:val="1"/>
          <w:bCs w:val="1"/>
          <w:color w:val="auto"/>
        </w:rPr>
      </w:pPr>
    </w:p>
    <w:p>
      <w:pPr>
        <w:ind w:left="260" w:right="180"/>
        <w:spacing w:after="0" w:line="288" w:lineRule="auto"/>
        <w:rPr>
          <w:rFonts w:ascii="Arial" w:cs="Arial" w:eastAsia="Arial" w:hAnsi="Arial"/>
          <w:sz w:val="15"/>
          <w:szCs w:val="15"/>
          <w:b w:val="1"/>
          <w:bCs w:val="1"/>
          <w:color w:val="auto"/>
        </w:rPr>
      </w:pPr>
      <w:r>
        <w:rPr>
          <w:rFonts w:ascii="Arial" w:cs="Arial" w:eastAsia="Arial" w:hAnsi="Arial"/>
          <w:sz w:val="16"/>
          <w:szCs w:val="16"/>
          <w:color w:val="auto"/>
        </w:rPr>
        <w:t>The acquisition was considered a business in accordance with EITF 98-3, “</w:t>
      </w:r>
      <w:r>
        <w:rPr>
          <w:rFonts w:ascii="Arial" w:cs="Arial" w:eastAsia="Arial" w:hAnsi="Arial"/>
          <w:sz w:val="16"/>
          <w:szCs w:val="16"/>
          <w:i w:val="1"/>
          <w:iCs w:val="1"/>
          <w:color w:val="auto"/>
        </w:rPr>
        <w:t>Determining Whether a Nonmonetary Transaction Involves Receipt of</w:t>
      </w:r>
      <w:r>
        <w:rPr>
          <w:rFonts w:ascii="Arial" w:cs="Arial" w:eastAsia="Arial" w:hAnsi="Arial"/>
          <w:sz w:val="16"/>
          <w:szCs w:val="16"/>
          <w:color w:val="auto"/>
        </w:rPr>
        <w:t xml:space="preserve"> </w:t>
      </w:r>
      <w:r>
        <w:rPr>
          <w:rFonts w:ascii="Arial" w:cs="Arial" w:eastAsia="Arial" w:hAnsi="Arial"/>
          <w:sz w:val="16"/>
          <w:szCs w:val="16"/>
          <w:i w:val="1"/>
          <w:iCs w:val="1"/>
          <w:color w:val="auto"/>
        </w:rPr>
        <w:t>Productive Assets or of a Business</w:t>
      </w:r>
      <w:r>
        <w:rPr>
          <w:rFonts w:ascii="Arial" w:cs="Arial" w:eastAsia="Arial" w:hAnsi="Arial"/>
          <w:sz w:val="16"/>
          <w:szCs w:val="16"/>
          <w:color w:val="auto"/>
        </w:rPr>
        <w:t>” (“EITF 98-3”), and the total cost of the acquisition was allocated to the assets acquired and liabilities assumed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their estimated respective fair values, subject to adjustment, in accordance with FASB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(“Statement</w:t>
      </w:r>
    </w:p>
    <w:p>
      <w:pPr>
        <w:ind w:left="260"/>
        <w:spacing w:after="0"/>
        <w:rPr>
          <w:rFonts w:ascii="Arial" w:cs="Arial" w:eastAsia="Arial" w:hAnsi="Arial"/>
          <w:sz w:val="15"/>
          <w:szCs w:val="15"/>
          <w:b w:val="1"/>
          <w:bCs w:val="1"/>
          <w:color w:val="auto"/>
        </w:rPr>
      </w:pPr>
      <w:r>
        <w:rPr>
          <w:rFonts w:ascii="Arial" w:cs="Arial" w:eastAsia="Arial" w:hAnsi="Arial"/>
          <w:sz w:val="18"/>
          <w:szCs w:val="18"/>
          <w:color w:val="auto"/>
        </w:rPr>
        <w:t>No. 141”). Any goodwill will be assigned to our microwave communications segment.</w:t>
      </w:r>
    </w:p>
    <w:p>
      <w:pPr>
        <w:spacing w:after="0" w:line="116" w:lineRule="exact"/>
        <w:rPr>
          <w:rFonts w:ascii="Arial" w:cs="Arial" w:eastAsia="Arial" w:hAnsi="Arial"/>
          <w:sz w:val="15"/>
          <w:szCs w:val="15"/>
          <w:b w:val="1"/>
          <w:bCs w:val="1"/>
          <w:color w:val="auto"/>
        </w:rPr>
      </w:pPr>
    </w:p>
    <w:p>
      <w:pPr>
        <w:ind w:left="260"/>
        <w:spacing w:after="0"/>
        <w:rPr>
          <w:rFonts w:ascii="Arial" w:cs="Arial" w:eastAsia="Arial" w:hAnsi="Arial"/>
          <w:sz w:val="15"/>
          <w:szCs w:val="15"/>
          <w:b w:val="1"/>
          <w:bCs w:val="1"/>
          <w:color w:val="auto"/>
        </w:rPr>
      </w:pPr>
      <w:r>
        <w:rPr>
          <w:rFonts w:ascii="Arial" w:cs="Arial" w:eastAsia="Arial" w:hAnsi="Arial"/>
          <w:sz w:val="18"/>
          <w:szCs w:val="18"/>
          <w:color w:val="auto"/>
        </w:rPr>
        <w:t xml:space="preserve">The preliminary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Unallocated goodwill and other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(1,989)</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color w:val="auto"/>
        </w:rPr>
        <w:t>The purchase price allocation was based on management’s preliminary valuation and the estimates and assumptions used are subject to change. The primary areas of the purchase price allocation that are not yet finalized relate to acquisition costs, purchased intangible assets, deferred income taxes and residual goodwill.</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Unigen Acquisition</w:t>
      </w:r>
    </w:p>
    <w:p>
      <w:pPr>
        <w:spacing w:after="0" w:line="117" w:lineRule="exact"/>
        <w:rPr>
          <w:sz w:val="20"/>
          <w:szCs w:val="20"/>
          <w:color w:val="auto"/>
        </w:rPr>
      </w:pPr>
    </w:p>
    <w:p>
      <w:pPr>
        <w:ind w:left="240" w:right="40"/>
        <w:spacing w:after="0" w:line="302" w:lineRule="auto"/>
        <w:rPr>
          <w:sz w:val="20"/>
          <w:szCs w:val="20"/>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(“Unisys”)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the assets we acquired were the patents licensed from Unisys in December 2005 and, as a result, these two transactions have been combined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purposes of allocating the total purchase price to the assets acquired. The purchase price of this acquisition was approximately $17.2 million, and was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funded primarily by our cash reserves ($7.7 million), cash previously paid in December 2005 for the patent license and a deposit on the acquisition</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($5.3 million), other acquisition costs ($0.2 million) and certain Unigen liabilities assumed ($0.1 million). We also recorded a $4.0 million liability for</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amounts owed to Unisys for inventory we acquired. The acquisition was considered a business in accordance with EITF 98-3, and the total cost of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acquisition was allocated to the assets acquired and liabilities assumed based on their respective fair values in accordance with Statement No. 141. All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are expected to be fully deductible for tax purposes. The goodwill was assigned to our semiconductor equipment segment.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color w:val="auto"/>
              </w:rPr>
              <w:t>March 31, 2007</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30, 2006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740" w:type="dxa"/>
            <w:vAlign w:val="bottom"/>
            <w:gridSpan w:val="4"/>
          </w:tcPr>
          <w:p>
            <w:pPr>
              <w:ind w:left="66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12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w w:val="91"/>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67"/>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color w:val="auto"/>
              </w:rPr>
              <w:t>Amount</w:t>
            </w:r>
          </w:p>
        </w:tc>
        <w:tc>
          <w:tcPr>
            <w:tcW w:w="174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7"/>
        </w:trPr>
        <w:tc>
          <w:tcPr>
            <w:tcW w:w="3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60"/>
        <w:spacing w:after="0" w:line="264" w:lineRule="auto"/>
        <w:rPr>
          <w:sz w:val="20"/>
          <w:szCs w:val="20"/>
          <w:color w:val="auto"/>
        </w:rPr>
      </w:pPr>
      <w:r>
        <w:rPr>
          <w:rFonts w:ascii="Arial" w:cs="Arial" w:eastAsia="Arial" w:hAnsi="Arial"/>
          <w:sz w:val="18"/>
          <w:szCs w:val="18"/>
          <w:color w:val="auto"/>
        </w:rPr>
        <w:t>Amortization expense related to purchased and other intangible assets was approximately $0.5 million for the first quarter of fiscal 2007, and approximately $0.2 million in the first quarter of fiscal 2006. As of March 31, 2007, we expect amortization expense in future periods, to be as follows: remainder of 2007 – $1,555,000; 2008 – $1,640,000; 2009 – $1,422,000; 2010 – $1,422,000, 2011 – $236,000.</w:t>
      </w:r>
    </w:p>
    <w:p>
      <w:pPr>
        <w:spacing w:after="0" w:line="73"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color w:val="auto"/>
        </w:rPr>
        <w:t>The amounts above do not reflect the impact of the acquisition of AVS that was completed on March 30, 2007 as the allocation of purchase price between goodwill and other intangible assets is in the process of being completed.</w:t>
      </w:r>
    </w:p>
    <w:p>
      <w:pPr>
        <w:spacing w:after="0" w:line="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130" w:lineRule="exact"/>
        <w:rPr>
          <w:rFonts w:ascii="Arial" w:cs="Arial" w:eastAsia="Arial" w:hAnsi="Arial"/>
          <w:sz w:val="18"/>
          <w:szCs w:val="18"/>
          <w:b w:val="1"/>
          <w:bCs w:val="1"/>
          <w:color w:val="auto"/>
        </w:rPr>
      </w:pPr>
    </w:p>
    <w:p>
      <w:pPr>
        <w:ind w:left="260"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 1,400,000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Under the Plan, eligible employees may purchase shares of common stock through payroll deductions. The price paid for the common stock is equal to 85% of the fair market value of our Common Stock on specified dates. At March 31, 2007, there were 685,127 shares available for issuance under the Plan.</w:t>
      </w:r>
    </w:p>
    <w:p>
      <w:pPr>
        <w:spacing w:after="0" w:line="85" w:lineRule="exact"/>
        <w:rPr>
          <w:rFonts w:ascii="Arial" w:cs="Arial" w:eastAsia="Arial" w:hAnsi="Arial"/>
          <w:sz w:val="18"/>
          <w:szCs w:val="18"/>
          <w:b w:val="1"/>
          <w:bCs w:val="1"/>
          <w:color w:val="auto"/>
        </w:rPr>
      </w:pPr>
    </w:p>
    <w:p>
      <w:pPr>
        <w:ind w:left="260" w:right="3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March 31, 2007, 1,364,613 shares were available for future equity grants under the Cohu, Inc. 2005 Equity Incentive Plan. We have historically issued new shares of Cohu Common Stock upon share option exercise.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left="240" w:right="280"/>
        <w:spacing w:after="0" w:line="308" w:lineRule="auto"/>
        <w:rPr>
          <w:sz w:val="20"/>
          <w:szCs w:val="20"/>
          <w:color w:val="auto"/>
        </w:rPr>
      </w:pPr>
      <w:r>
        <w:rPr>
          <w:rFonts w:ascii="Arial" w:cs="Arial" w:eastAsia="Arial" w:hAnsi="Arial"/>
          <w:sz w:val="17"/>
          <w:szCs w:val="17"/>
          <w:color w:val="auto"/>
        </w:rPr>
        <w:t>At March 31, 2007 we had 2,385,435 stock options outstanding. These options had a weighted-average exercise price of $15.90 per share, an aggregate intrinsic value of approximately $7.6 million and the weighted average remaining contractual term was approximately 6.0 years.</w:t>
      </w:r>
    </w:p>
    <w:p>
      <w:pPr>
        <w:spacing w:after="0" w:line="38" w:lineRule="exact"/>
        <w:rPr>
          <w:sz w:val="20"/>
          <w:szCs w:val="20"/>
          <w:color w:val="auto"/>
        </w:rPr>
      </w:pPr>
    </w:p>
    <w:p>
      <w:pPr>
        <w:jc w:val="both"/>
        <w:ind w:left="240" w:right="140"/>
        <w:spacing w:after="0" w:line="277" w:lineRule="auto"/>
        <w:rPr>
          <w:sz w:val="20"/>
          <w:szCs w:val="20"/>
          <w:color w:val="auto"/>
        </w:rPr>
      </w:pPr>
      <w:r>
        <w:rPr>
          <w:rFonts w:ascii="Arial" w:cs="Arial" w:eastAsia="Arial" w:hAnsi="Arial"/>
          <w:sz w:val="18"/>
          <w:szCs w:val="18"/>
          <w:color w:val="auto"/>
        </w:rPr>
        <w:t>At March 31, 2007 we had 1,572,599 stock options outstanding that were exercisable. These options had a weighted-average exercise price of $15.54 per share, and an aggregate intrinsic value of approximately $5.7 million.</w:t>
      </w:r>
    </w:p>
    <w:p>
      <w:pPr>
        <w:spacing w:after="0" w:line="58" w:lineRule="exact"/>
        <w:rPr>
          <w:sz w:val="20"/>
          <w:szCs w:val="20"/>
          <w:color w:val="auto"/>
        </w:rPr>
      </w:pPr>
    </w:p>
    <w:p>
      <w:pPr>
        <w:jc w:val="both"/>
        <w:ind w:left="240" w:right="14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We issue restricted stock units to certain employees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2007 we had 250,087 restricted stock units outstanding with an aggregate intrinsic value of approximately $4.7 million.</w:t>
      </w:r>
    </w:p>
    <w:p>
      <w:pPr>
        <w:spacing w:after="0" w:line="11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5"/>
          </w:tcPr>
          <w:p>
            <w:pPr>
              <w:ind w:left="340"/>
              <w:spacing w:after="0"/>
              <w:rPr>
                <w:sz w:val="20"/>
                <w:szCs w:val="20"/>
                <w:color w:val="auto"/>
              </w:rPr>
            </w:pPr>
            <w:r>
              <w:rPr>
                <w:rFonts w:ascii="Arial" w:cs="Arial" w:eastAsia="Arial" w:hAnsi="Arial"/>
                <w:sz w:val="14"/>
                <w:szCs w:val="14"/>
                <w:color w:val="auto"/>
                <w:w w:val="9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8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5"/>
          </w:tcPr>
          <w:p>
            <w:pPr>
              <w:spacing w:after="0"/>
              <w:rPr>
                <w:sz w:val="20"/>
                <w:szCs w:val="20"/>
                <w:color w:val="auto"/>
              </w:rPr>
            </w:pPr>
            <w:r>
              <w:rPr>
                <w:rFonts w:ascii="Arial" w:cs="Arial" w:eastAsia="Arial" w:hAnsi="Arial"/>
                <w:sz w:val="14"/>
                <w:szCs w:val="14"/>
                <w:color w:val="auto"/>
              </w:rPr>
              <w:t>March 31, 2007</w:t>
            </w:r>
          </w:p>
        </w:tc>
        <w:tc>
          <w:tcPr>
            <w:tcW w:w="1320" w:type="dxa"/>
            <w:vAlign w:val="bottom"/>
            <w:gridSpan w:val="4"/>
          </w:tcPr>
          <w:p>
            <w:pPr>
              <w:ind w:left="300"/>
              <w:spacing w:after="0"/>
              <w:rPr>
                <w:sz w:val="20"/>
                <w:szCs w:val="20"/>
                <w:color w:val="auto"/>
              </w:rPr>
            </w:pPr>
            <w:r>
              <w:rPr>
                <w:rFonts w:ascii="Arial" w:cs="Arial" w:eastAsia="Arial" w:hAnsi="Arial"/>
                <w:sz w:val="14"/>
                <w:szCs w:val="14"/>
                <w:color w:val="auto"/>
              </w:rPr>
              <w:t>March 25, 2006</w:t>
            </w:r>
          </w:p>
        </w:tc>
      </w:tr>
      <w:tr>
        <w:trPr>
          <w:trHeight w:val="216"/>
        </w:trPr>
        <w:tc>
          <w:tcPr>
            <w:tcW w:w="20" w:type="dxa"/>
            <w:vAlign w:val="bottom"/>
          </w:tcPr>
          <w:p>
            <w:pPr>
              <w:spacing w:after="0"/>
              <w:rPr>
                <w:sz w:val="18"/>
                <w:szCs w:val="18"/>
                <w:color w:val="auto"/>
              </w:rPr>
            </w:pPr>
          </w:p>
        </w:tc>
        <w:tc>
          <w:tcPr>
            <w:tcW w:w="8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1,716</w:t>
            </w: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 for accrued retiree medical benefits and foreign pensions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40"/>
        <w:spacing w:after="0" w:line="286" w:lineRule="auto"/>
        <w:rPr>
          <w:sz w:val="20"/>
          <w:szCs w:val="20"/>
          <w:color w:val="auto"/>
        </w:rPr>
      </w:pPr>
      <w:r>
        <w:rPr>
          <w:rFonts w:ascii="Arial" w:cs="Arial" w:eastAsia="Arial" w:hAnsi="Arial"/>
          <w:sz w:val="17"/>
          <w:szCs w:val="17"/>
          <w:color w:val="auto"/>
        </w:rPr>
        <w:t xml:space="preserve">Our accumulated other comprehensive loss totaled approximately $0.4 million at March 31, 2007 and December 30, 2006, respectively, and was attributed to after-tax unrealized losses and gains on investments and adjustments resulting from FASB Statement No. 158, </w:t>
      </w:r>
      <w:r>
        <w:rPr>
          <w:rFonts w:ascii="Arial" w:cs="Arial" w:eastAsia="Arial" w:hAnsi="Arial"/>
          <w:sz w:val="17"/>
          <w:szCs w:val="17"/>
          <w:i w:val="1"/>
          <w:iCs w:val="1"/>
          <w:color w:val="auto"/>
        </w:rPr>
        <w:t>Employers’ Accounting for Defined</w:t>
      </w:r>
      <w:r>
        <w:rPr>
          <w:rFonts w:ascii="Arial" w:cs="Arial" w:eastAsia="Arial" w:hAnsi="Arial"/>
          <w:sz w:val="17"/>
          <w:szCs w:val="17"/>
          <w:color w:val="auto"/>
        </w:rPr>
        <w:t xml:space="preserve"> </w:t>
      </w:r>
      <w:r>
        <w:rPr>
          <w:rFonts w:ascii="Arial" w:cs="Arial" w:eastAsia="Arial" w:hAnsi="Arial"/>
          <w:sz w:val="17"/>
          <w:szCs w:val="17"/>
          <w:i w:val="1"/>
          <w:iCs w:val="1"/>
          <w:color w:val="auto"/>
        </w:rPr>
        <w:t>Benefit Pension and Other Postretirement Plans</w:t>
      </w:r>
      <w:r>
        <w:rPr>
          <w:rFonts w:ascii="Arial" w:cs="Arial" w:eastAsia="Arial" w:hAnsi="Arial"/>
          <w:sz w:val="17"/>
          <w:szCs w:val="17"/>
          <w:color w:val="auto"/>
        </w:rPr>
        <w:t>, (an amendment of FASB Statements No. 87, 88, 106, and 132R), net of income taxes.</w:t>
      </w:r>
    </w:p>
    <w:p>
      <w:pPr>
        <w:spacing w:after="0" w:line="5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We adopted the provisions of FASB Interpretation No. 48, </w:t>
      </w:r>
      <w:r>
        <w:rPr>
          <w:rFonts w:ascii="Arial" w:cs="Arial" w:eastAsia="Arial" w:hAnsi="Arial"/>
          <w:sz w:val="18"/>
          <w:szCs w:val="18"/>
          <w:i w:val="1"/>
          <w:iCs w:val="1"/>
          <w:color w:val="auto"/>
        </w:rPr>
        <w:t>Accounting for Uncertainty in Income Taxes — an interpretation of FASB Statement No.109</w:t>
      </w:r>
      <w:r>
        <w:rPr>
          <w:rFonts w:ascii="Arial" w:cs="Arial" w:eastAsia="Arial" w:hAnsi="Arial"/>
          <w:sz w:val="18"/>
          <w:szCs w:val="18"/>
          <w:color w:val="auto"/>
        </w:rPr>
        <w:t>,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92" w:lineRule="exact"/>
        <w:rPr>
          <w:rFonts w:ascii="Arial" w:cs="Arial" w:eastAsia="Arial" w:hAnsi="Arial"/>
          <w:sz w:val="18"/>
          <w:szCs w:val="18"/>
          <w:b w:val="1"/>
          <w:bCs w:val="1"/>
          <w:color w:val="auto"/>
        </w:rPr>
      </w:pPr>
    </w:p>
    <w:p>
      <w:pPr>
        <w:ind w:left="26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unrecognized tax benefits, excluding accrued interest, totaled approximately $3.7 million at December 31, 2006 and there has been no material change in this amount as of March 31, 2007. If these unrecognized tax benefits are ultimately recognized, this amount, less the related federal benefit for state items of approximately $700,000, would result in a reduction in our income tax expense and effective tax rate.</w:t>
      </w:r>
    </w:p>
    <w:p>
      <w:pPr>
        <w:spacing w:after="0" w:line="70" w:lineRule="exact"/>
        <w:rPr>
          <w:rFonts w:ascii="Arial" w:cs="Arial" w:eastAsia="Arial" w:hAnsi="Arial"/>
          <w:sz w:val="18"/>
          <w:szCs w:val="18"/>
          <w:b w:val="1"/>
          <w:bCs w:val="1"/>
          <w:color w:val="auto"/>
        </w:rPr>
      </w:pPr>
    </w:p>
    <w:p>
      <w:pPr>
        <w:ind w:left="260"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recognize interest accrued related to unrecognized tax benefits in income tax expense. Cohu had approximately $200,000 accrued for the payment of accrued interest at December 31, 2006. Interest expense accrued in the quarter ended March 31, 2007 was not significant.</w:t>
      </w:r>
    </w:p>
    <w:p>
      <w:pPr>
        <w:spacing w:after="0" w:line="5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Internal Revenue Service has examined our income tax returns through 2002, and the California Franchise Tax Board through 1999.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left="240" w:right="20"/>
        <w:spacing w:after="0" w:line="293" w:lineRule="auto"/>
        <w:rPr>
          <w:sz w:val="20"/>
          <w:szCs w:val="20"/>
          <w:color w:val="auto"/>
        </w:rPr>
      </w:pPr>
      <w:r>
        <w:rPr>
          <w:rFonts w:ascii="Arial" w:cs="Arial" w:eastAsia="Arial" w:hAnsi="Arial"/>
          <w:sz w:val="16"/>
          <w:szCs w:val="16"/>
          <w:color w:val="auto"/>
        </w:rPr>
        <w:t>The income tax provision included in the statements of income for the three months ended March 31, 2007 and March 25, 2006, is based on the estimated annual effective tax rate for the entire year. These estimated effective tax rates are subject to adjustment in subsequent quarterly periods as our estimates of pretax income for the year are increased or decreased. The effective tax rates of 34.8% and 34.5% for the three months ended March 31, 2007 and March 25,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recognized on compensation expense related to incentive stock options and employee stock purchase plans.</w:t>
      </w:r>
    </w:p>
    <w:p>
      <w:pPr>
        <w:spacing w:after="0" w:line="57" w:lineRule="exact"/>
        <w:rPr>
          <w:sz w:val="20"/>
          <w:szCs w:val="20"/>
          <w:color w:val="auto"/>
        </w:rPr>
      </w:pPr>
    </w:p>
    <w:p>
      <w:pPr>
        <w:jc w:val="both"/>
        <w:ind w:left="240" w:right="200"/>
        <w:spacing w:after="0" w:line="279" w:lineRule="auto"/>
        <w:rPr>
          <w:sz w:val="20"/>
          <w:szCs w:val="20"/>
          <w:color w:val="auto"/>
        </w:rPr>
      </w:pPr>
      <w:r>
        <w:rPr>
          <w:rFonts w:ascii="Arial" w:cs="Arial" w:eastAsia="Arial" w:hAnsi="Arial"/>
          <w:sz w:val="17"/>
          <w:szCs w:val="17"/>
          <w:color w:val="auto"/>
        </w:rPr>
        <w:t>We have derived significant tax benefits from export sales. As a result of the American Jobs Creation Act of 2004, the export sales benefit derived from the Extraterritorial Income Exclusion (“ETI”) was repealed subject to a phase-out that limited the full tax benefit to 60% in 2006 with no benefit in 2007 and subsequent years. The ETI benefit was replaced with a deduction for domestic manufacturing activities subject to a phase-in beginning in 2005. The tax benefits we derive from the domestic manufacturing deduction will be less than those from ETI.</w:t>
      </w:r>
    </w:p>
    <w:p>
      <w:pPr>
        <w:spacing w:after="0" w:line="5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134" w:lineRule="exact"/>
        <w:rPr>
          <w:rFonts w:ascii="Arial" w:cs="Arial" w:eastAsia="Arial" w:hAnsi="Arial"/>
          <w:sz w:val="18"/>
          <w:szCs w:val="18"/>
          <w:b w:val="1"/>
          <w:bCs w:val="1"/>
          <w:color w:val="auto"/>
        </w:rPr>
      </w:pPr>
    </w:p>
    <w:p>
      <w:pPr>
        <w:ind w:left="2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w:t>
      </w:r>
    </w:p>
    <w:p>
      <w:pPr>
        <w:spacing w:after="0" w:line="76" w:lineRule="exact"/>
        <w:rPr>
          <w:rFonts w:ascii="Arial" w:cs="Arial" w:eastAsia="Arial" w:hAnsi="Arial"/>
          <w:sz w:val="18"/>
          <w:szCs w:val="18"/>
          <w:b w:val="1"/>
          <w:bCs w:val="1"/>
          <w:color w:val="auto"/>
        </w:rPr>
      </w:pPr>
    </w:p>
    <w:p>
      <w:pPr>
        <w:ind w:left="2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7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ind w:left="540"/>
              <w:spacing w:after="0"/>
              <w:rPr>
                <w:sz w:val="20"/>
                <w:szCs w:val="20"/>
                <w:color w:val="auto"/>
              </w:rPr>
            </w:pPr>
            <w:r>
              <w:rPr>
                <w:rFonts w:ascii="Arial" w:cs="Arial" w:eastAsia="Arial" w:hAnsi="Arial"/>
                <w:sz w:val="14"/>
                <w:szCs w:val="14"/>
                <w:color w:val="auto"/>
                <w:w w:val="92"/>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March 31, 2007</w:t>
            </w:r>
          </w:p>
        </w:tc>
        <w:tc>
          <w:tcPr>
            <w:tcW w:w="180" w:type="dxa"/>
            <w:vAlign w:val="bottom"/>
          </w:tcPr>
          <w:p>
            <w:pPr>
              <w:spacing w:after="0"/>
              <w:rPr>
                <w:sz w:val="15"/>
                <w:szCs w:val="15"/>
                <w:color w:val="auto"/>
              </w:rPr>
            </w:pPr>
          </w:p>
        </w:tc>
        <w:tc>
          <w:tcPr>
            <w:tcW w:w="1240" w:type="dxa"/>
            <w:vAlign w:val="bottom"/>
            <w:gridSpan w:val="4"/>
          </w:tcPr>
          <w:p>
            <w:pPr>
              <w:ind w:left="220"/>
              <w:spacing w:after="0"/>
              <w:rPr>
                <w:sz w:val="20"/>
                <w:szCs w:val="20"/>
                <w:color w:val="auto"/>
              </w:rPr>
            </w:pPr>
            <w:r>
              <w:rPr>
                <w:rFonts w:ascii="Arial" w:cs="Arial" w:eastAsia="Arial" w:hAnsi="Arial"/>
                <w:sz w:val="14"/>
                <w:szCs w:val="14"/>
                <w:color w:val="auto"/>
              </w:rPr>
              <w:t>March 25,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3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3580" w:type="dxa"/>
            <w:vAlign w:val="bottom"/>
            <w:gridSpan w:val="4"/>
          </w:tcPr>
          <w:p>
            <w:pPr>
              <w:ind w:left="348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43,339</w:t>
            </w: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consolidated net sales and net sales for reportable segments</w:t>
            </w:r>
          </w:p>
        </w:tc>
        <w:tc>
          <w:tcPr>
            <w:tcW w:w="3580" w:type="dxa"/>
            <w:vAlign w:val="bottom"/>
            <w:gridSpan w:val="4"/>
            <w:shd w:val="clear" w:color="auto" w:fill="CCEEFF"/>
          </w:tcPr>
          <w:p>
            <w:pPr>
              <w:ind w:left="348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53,368</w:t>
            </w: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3580" w:type="dxa"/>
            <w:vAlign w:val="bottom"/>
            <w:gridSpan w:val="4"/>
            <w:shd w:val="clear" w:color="auto" w:fill="CCEEFF"/>
          </w:tcPr>
          <w:p>
            <w:pPr>
              <w:ind w:left="348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1,591</w:t>
            </w: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Income from continuing operations before income taxes</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40" w:type="dxa"/>
            <w:vAlign w:val="bottom"/>
            <w:gridSpan w:val="7"/>
          </w:tcPr>
          <w:p>
            <w:pPr>
              <w:ind w:left="3280"/>
              <w:spacing w:after="0"/>
              <w:rPr>
                <w:sz w:val="20"/>
                <w:szCs w:val="20"/>
                <w:color w:val="auto"/>
              </w:rPr>
            </w:pPr>
            <w:r>
              <w:rPr>
                <w:rFonts w:ascii="Arial" w:cs="Arial" w:eastAsia="Arial" w:hAnsi="Arial"/>
                <w:sz w:val="14"/>
                <w:szCs w:val="14"/>
                <w:color w:val="auto"/>
              </w:rPr>
              <w:t>March 31, 2007</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3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348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116,689</w:t>
            </w:r>
          </w:p>
        </w:tc>
        <w:tc>
          <w:tcPr>
            <w:tcW w:w="26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23,621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150,042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179,401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Total consolidated assets</w:t>
            </w:r>
          </w:p>
        </w:tc>
        <w:tc>
          <w:tcPr>
            <w:tcW w:w="3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330,568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80" w:type="dxa"/>
            <w:vAlign w:val="bottom"/>
            <w:vMerge w:val="restart"/>
          </w:tcPr>
          <w:p>
            <w:pPr>
              <w:jc w:val="right"/>
              <w:ind w:right="2753"/>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left="240" w:right="340"/>
        <w:spacing w:after="0" w:line="342" w:lineRule="auto"/>
        <w:rPr>
          <w:sz w:val="20"/>
          <w:szCs w:val="20"/>
          <w:color w:val="auto"/>
        </w:rPr>
      </w:pPr>
      <w:r>
        <w:rPr>
          <w:rFonts w:ascii="Arial" w:cs="Arial" w:eastAsia="Arial" w:hAnsi="Arial"/>
          <w:sz w:val="16"/>
          <w:szCs w:val="16"/>
          <w:color w:val="auto"/>
        </w:rPr>
        <w:t>A small number of customers historically have been responsible for a significant portion of our consolidated net sales. Three customers of the semiconductor equipment segment accounted for 57% and 64% of our consolidated net sales for the first quarter of fiscal 2007 and 2006, respectively.</w:t>
      </w:r>
    </w:p>
    <w:p>
      <w:pPr>
        <w:spacing w:after="0" w:line="1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2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are occasionally involved in various legal proceedings, lawsuits,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66" w:lineRule="exact"/>
        <w:rPr>
          <w:rFonts w:ascii="Arial" w:cs="Arial" w:eastAsia="Arial" w:hAnsi="Arial"/>
          <w:sz w:val="18"/>
          <w:szCs w:val="18"/>
          <w:b w:val="1"/>
          <w:bCs w:val="1"/>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2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5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first quarter of fiscal 2007 and 2006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2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March 31, 2007, the maximum potential amount of future payments that Cohu could be required to make under these standby letters of credit is approximately $1.0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2006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changes in demand. Changes in the semiconductor, electronics, computer and telecommunications industries, as well as rapidly shifting global economic conditions, have had and will continue to have a significant impact on our businesses.</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Orders for semiconductor equipment declined during both the fourth quarter of fiscal 2006 and the first quarter of fiscal 2007, reflecting a continuation of the general softness in the back-end semiconductor equipment industry that began in late 2006. During this period we have seen a significant decrease in demand for our advanced thermal handlers that has been partially offset by increased orders for our high-speed test handlers and burn-in related thermal sub-system products. Our high-speed test handlers and burn-in related thermal sub-system products have significantly lower gross margins than our advanced thermal test handlers. As a result of this shift in product mix our gross margin declined during fiscal 2006 and the first quarter of fiscal 2007 compared to fiscal 2005. We expect demand for our advanced thermal handlers to continue to be soft in the near term and as a result our gross margin will be adversely impacted. We will continue to focus on reducing product costs and overall spending, while we develop new product offerings for the test handler and burn-in markets.</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deferred revenue totaled $30.5 million and $22.0 million at March 31, 2007 and December 30, 2006, respectively. The increase in deferred revenue is primarily the result of additional deferrals of semiconductor equipment product sales, including thermal sub-systems used in burn-in applications, which as of March 31, 2007 are awaiting customer acceptance.</w:t>
      </w:r>
    </w:p>
    <w:p>
      <w:pPr>
        <w:spacing w:after="0" w:line="7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operating results in the last three years have been impacted by charges to cost of sales related to excess, obsolete and lower of cost or market inventory issues. These charges totaled approximately $21.7 million during the three-year period ended December 30, 2006 (approximately $1.2 million and</w:t>
      </w:r>
    </w:p>
    <w:p>
      <w:pPr>
        <w:ind w:right="300"/>
        <w:spacing w:after="0" w:line="271" w:lineRule="auto"/>
        <w:rPr>
          <w:sz w:val="20"/>
          <w:szCs w:val="20"/>
          <w:color w:val="auto"/>
        </w:rPr>
      </w:pPr>
      <w:r>
        <w:rPr>
          <w:rFonts w:ascii="Arial" w:cs="Arial" w:eastAsia="Arial" w:hAnsi="Arial"/>
          <w:sz w:val="17"/>
          <w:szCs w:val="17"/>
          <w:color w:val="auto"/>
        </w:rPr>
        <w:t>$0.5 million in the first quarters of fiscal 2007 and 2006, respectively) and were primarily the result of decreases in customer forecasts, competitive conditions in the test handler industry and, to a lesser extent, changes in our sales product mix.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and the first quarter of 2007, due primarily to our purchase of the Unigen business, increased headcount, increased business volume, investment in product development programs and share-based compensation.</w:t>
      </w:r>
    </w:p>
    <w:p>
      <w:pPr>
        <w:spacing w:after="0" w:line="7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non-semiconductor equipment businesses have comprised approximately 14% of our revenues during the last three years. During 2006, and the first fiscal quarter of 2007 our microwave communications business has shown improved results, primarily as a result of strong product demand from U.S. government and law enforcement agencies. In an effort to expand this business segment, on March 30, 2007 we acquired AVS to increase our digital microwave communications solutions, especially in high definition broadcast television and public safety and law enforcement applications.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strong with significant cash and short-term investments and no long-term debt.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our Annual Report on Form 10-K for the fiscal year ended December 30, 2006, affect the significant judgments and estimates used in the preparation of our consolidated financial statements.</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On January 1, 2006, we adopted the provisions of Statement No. 123R and SAB No. 107 requiring the measurement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of all 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 No. 123R and SAB No. 107.</w:t>
      </w:r>
    </w:p>
    <w:p>
      <w:pPr>
        <w:spacing w:after="0" w:line="7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for which full payment is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the liability for unrecognized tax benefits, deferred tax assets and liabilities and any valuation allowance to be recorded against net deferred tax assets. Our gross deferred tax asset balance as of March 31, 2007 was $28.9 million, with a valuation allowance of $1.7 million for state tax credit and loss carryforwards. The deferred tax assets consist primarily of deductible temporary differences, tax credit and net operating loss carryforwards.</w:t>
      </w:r>
    </w:p>
    <w:p>
      <w:pPr>
        <w:spacing w:after="0" w:line="7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March 31, 2007, intangible assets other than goodwill were evaluated for impairment using undiscounted cash flows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(“Statement No. 144”), and we concluded there was no impairment loss. We are required to assess goodwill impairment using the methodology prescribed by FASB Statement</w:t>
      </w:r>
    </w:p>
    <w:p>
      <w:pPr>
        <w:jc w:val="both"/>
        <w:spacing w:after="0" w:line="255" w:lineRule="auto"/>
        <w:rPr>
          <w:sz w:val="20"/>
          <w:szCs w:val="20"/>
          <w:color w:val="auto"/>
        </w:rPr>
      </w:pPr>
      <w:r>
        <w:rPr>
          <w:rFonts w:ascii="Arial" w:cs="Arial" w:eastAsia="Arial" w:hAnsi="Arial"/>
          <w:sz w:val="18"/>
          <w:szCs w:val="18"/>
          <w:color w:val="auto"/>
        </w:rPr>
        <w:t xml:space="preserve">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5"/>
          <w:szCs w:val="15"/>
          <w:color w:val="auto"/>
        </w:rPr>
        <w:t>st</w:t>
      </w:r>
      <w:r>
        <w:rPr>
          <w:rFonts w:ascii="Arial" w:cs="Arial" w:eastAsia="Arial" w:hAnsi="Arial"/>
          <w:sz w:val="18"/>
          <w:szCs w:val="18"/>
          <w:color w:val="auto"/>
        </w:rPr>
        <w:t xml:space="preserve"> of each year. We did not recognize any goodwill impairment as a result of performing this annual test in fiscal 2006.</w:t>
      </w:r>
    </w:p>
    <w:p>
      <w:pPr>
        <w:spacing w:after="0" w:line="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In February 2007, the FASB issued Statement No. 159,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Fair Value Option for Financial Assets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(“Statement No. 159”). Statement No. 159 gives entities the option to carry many financial assets and liabilities at fair value, with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recorded in earnings. Statement No. 159, which will be effective in our first quarter of fiscal 2008, is not expected to have a material impact on our consolidated financial position or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three-month periods ended March 31, 2007 and March 25,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(63.2)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gridSpan w:val="2"/>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Quarterly Report on Form 10-Q relate to continuing operations only.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2007 Compared to First Fiscal Quarter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net sales decreased 6.0% to $53.4 million in 2007, compared to net sales of $56.8 million in 2006. Sales of semiconductor test handling equipment in the first fiscal quarter of 2007 decreased 12.1% from the comparable 2006 period and accounted for 81.2% of consolidated net sales in 2007 versus 86.9% in 2006. The primary reasons for the decrease in sales of our semiconductor equipment business were depressed conditions in the back-end semiconductor equipment industry and reduced demand for thermal test handlers.</w:t>
      </w:r>
    </w:p>
    <w:p>
      <w:pPr>
        <w:spacing w:after="0" w:line="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Sales of television cameras accounted for 7.9% of net sales in 2007 and increased 16.5% when compared to the same period of 2006. The increase in sales of our television camera equipment business was primarily attributable to increased demand for CCTV products from U.S. government agencies.</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of microwave communications equipment accounted for 10.9% of net sales in 2007 and increased 51.1% when compared to 2006. The increase in sales of our microwave communications business was primarily attributable to continued strong demand for microwave products from defense related U.S. government agencies, defense subcontractors and other law enforcement agencies.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Gross margin consists of net sales less cost of sales. Cost of sales consists primarily of the cost of materials, assembly and test costs, and overhead from operations. Our gross margin, as a percentage of net sales, increased to 36.8% in 2007 from 35.6% in 2006. The increase was the result of higher margins in our semiconductor equipment business as a result of reduced product support and warranty costs in 2007 as warranty expense in 2006 was impacted by higher than expected costs associated with supporting certain customer test handler applications and estimated future handler support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gross margin has been impacted by charges to cost of sales related to excess, obsolete and lower of cost or market inventory issues and in 2006 higher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warranty costs associated with certain test handlers. We compute the majority of our excess and obsolete inventory reserve requirements using a one-year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inventory usage forecast. During the first fiscal quarter of 2007 and 2006, we recorded net charges to cost of sales of approximately $1.2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respectively, for excess and obsolete inventory. While we believe our reserves for excess and obsolete inventory and lower of cost or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concerns are adequate to cover our known exposures at March 31, 2007, reductions in customer forecasts or continued modifications to products,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failure to meet specifications or other customer requirements, will result in additional charges to operations that could negatively impact our gross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margin in future periods. Conversely, if our actual inventory usage is greater than our forecasted usage, our gross margin in future periods may be favorably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fiscal 2006 and the first quarter of fiscal 2007 we have seen a significant decrease in demand for our advanced thermal handlers that has been partially offset by increased orders for our high-speed test handlers and burn-in related thermal sub-system products. Our high-speed test handlers and burn-in related thermal sub-system products have significantly lower gross margins than our advanced thermal test handlers. We expect demand for our advanced thermal handlers to continue to be soft in the near term and as a result our gross margin will be significantly lower than the first fiscal quarter of 2007.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as a percentage of net sales was 19.3% in 2007, compared to 13.4% in 2006, increasing from $7.6 million in 2006 to $10.3 million in 2007. Higher R&amp;D expense in 2007 was primarily a result of a longer accounting period in 2007 (e.g. thirteen weeks in 2007 vs. twelve weeks in 2006), increased costs within our semiconductor equipment business for labor and material for new burn-in and test handling products currently under development and incremental costs incurred as a result of our March 2006 acquisition of Unigen.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 consists primarily of salaries and benefit costs of employees, commission expenses to independent sales representatives, product promotion and costs of professional services. SG&amp;A expense as a percentage of net sales increased to 16.5% in 2007, from 15.1% in 2006, increasing from $8.6 million in 2006 to $8.8 million in 2007. The increase in SG&amp;A expense in the first fiscal quarter of 2007 was primarily related to increased share-based compensation expense of approximately $0.2 million and increased sales and marketing costs and incentive compensation incurred by our microwave communications businesses as a result of increased business volume. These increases were partially offset by decreased costs within our semiconductor equipment business as result of decreased business volume.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income was approximately $2.1 million and $1.4 million in 2007 and 2006, respectively. The increase in interest income resulted from an increase in our average cash and cash equivalents and investment balances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unrecognized tax benefits, excluding accrued interest, totaled approximately $3.7 million at December 31, 2006 and there has been no material change in this amount as of March 31, 2007. If these unrecognized tax benefits are ultimately recognized, this amount, less the related federal benefit for state items of approximately $700,000, would result in a reduction in our income tax expense and effective tax rate.</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recognize interest accrued related to unrecognized tax benefits in income tax expense. We had approximately $200,000 accrued for the payment of interest at December 31, 2006. Interest expense accrued in the quarter ended March 31, 2007 was not 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Service has examined our income tax returns through 2002, and the California Franchise Tax Board through 1999.</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income tax provision included in the statements of income for the three months ended March 31, 2007 and March 25, 2006, is based on the estimated annual effective tax rate for the entire year. These estimated effective tax rates are subject to adjustment in subsequent quarterly periods as our estimates of pretax income for the year are increased or decreased. The effective tax rates of 34.8% and 34.5% for the three months ended March 31, 2007 and March 25,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recognized on compensation expense related to incentive stock options and employee stock purchase plans.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Realization of our deferred tax assets is based upon the weight of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Statement No. 109, net deferred tax assets are reduced by a valuation allowance if it is more likely than not that some or all of the deferred tax assets will not be realized. A valuation allowance of approximately $1.7 million and $1.6 million was provided on deferred tax assets at March 31, 2007 and December 30, 2006, respectively, for state tax credit and net operating loss carryforwards that, in the opinion of management, are more likely than not to expire before we can use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$1.7 million in 2007, compared to $3.6 million in 2006. Our net income was $1.7 million in 2007, compared to $3.4 million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We have in the past implemented cost reduction programs aimed at aligning our ongoing operating costs with our currently expected revenues over the near term. These cost management initiatives have included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right"/>
              <w:ind w:right="439"/>
              <w:spacing w:after="0"/>
              <w:rPr>
                <w:sz w:val="20"/>
                <w:szCs w:val="20"/>
                <w:color w:val="auto"/>
              </w:rPr>
            </w:pPr>
            <w:r>
              <w:rPr>
                <w:rFonts w:ascii="Arial" w:cs="Arial" w:eastAsia="Arial" w:hAnsi="Arial"/>
                <w:sz w:val="14"/>
                <w:szCs w:val="14"/>
                <w:color w:val="auto"/>
              </w:rPr>
              <w:t>Increase</w:t>
            </w:r>
          </w:p>
        </w:tc>
        <w:tc>
          <w:tcPr>
            <w:tcW w:w="124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67"/>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2007</w:t>
            </w:r>
          </w:p>
        </w:tc>
        <w:tc>
          <w:tcPr>
            <w:tcW w:w="16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2006</w:t>
            </w: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(Decrease)</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r>
      <w:tr>
        <w:trPr>
          <w:trHeight w:val="209"/>
        </w:trPr>
        <w:tc>
          <w:tcPr>
            <w:tcW w:w="470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240" w:type="dxa"/>
            <w:vAlign w:val="bottom"/>
          </w:tcPr>
          <w:p>
            <w:pPr>
              <w:jc w:val="right"/>
              <w:ind w:right="416"/>
              <w:spacing w:after="0"/>
              <w:rPr>
                <w:sz w:val="20"/>
                <w:szCs w:val="20"/>
                <w:color w:val="auto"/>
              </w:rPr>
            </w:pPr>
            <w:r>
              <w:rPr>
                <w:rFonts w:ascii="Arial" w:cs="Arial" w:eastAsia="Arial" w:hAnsi="Arial"/>
                <w:sz w:val="18"/>
                <w:szCs w:val="18"/>
                <w:color w:val="auto"/>
              </w:rPr>
              <w:t>$155,569</w:t>
            </w:r>
          </w:p>
        </w:tc>
        <w:tc>
          <w:tcPr>
            <w:tcW w:w="1660" w:type="dxa"/>
            <w:vAlign w:val="bottom"/>
          </w:tcPr>
          <w:p>
            <w:pPr>
              <w:jc w:val="right"/>
              <w:ind w:right="396"/>
              <w:spacing w:after="0"/>
              <w:rPr>
                <w:sz w:val="20"/>
                <w:szCs w:val="20"/>
                <w:color w:val="auto"/>
              </w:rPr>
            </w:pPr>
            <w:r>
              <w:rPr>
                <w:rFonts w:ascii="Arial" w:cs="Arial" w:eastAsia="Arial" w:hAnsi="Arial"/>
                <w:sz w:val="18"/>
                <w:szCs w:val="18"/>
                <w:color w:val="auto"/>
              </w:rPr>
              <w:t>$147,916</w:t>
            </w:r>
          </w:p>
        </w:tc>
        <w:tc>
          <w:tcPr>
            <w:tcW w:w="1580" w:type="dxa"/>
            <w:vAlign w:val="bottom"/>
          </w:tcPr>
          <w:p>
            <w:pPr>
              <w:jc w:val="right"/>
              <w:ind w:right="439"/>
              <w:spacing w:after="0"/>
              <w:rPr>
                <w:sz w:val="20"/>
                <w:szCs w:val="20"/>
                <w:color w:val="auto"/>
              </w:rPr>
            </w:pPr>
            <w:r>
              <w:rPr>
                <w:rFonts w:ascii="Arial" w:cs="Arial" w:eastAsia="Arial" w:hAnsi="Arial"/>
                <w:sz w:val="18"/>
                <w:szCs w:val="18"/>
                <w:color w:val="auto"/>
              </w:rPr>
              <w:t>$ 7,653</w:t>
            </w: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5.2%</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Working capital</w:t>
            </w:r>
          </w:p>
        </w:tc>
        <w:tc>
          <w:tcPr>
            <w:tcW w:w="2240" w:type="dxa"/>
            <w:vAlign w:val="bottom"/>
          </w:tcPr>
          <w:p>
            <w:pPr>
              <w:jc w:val="right"/>
              <w:ind w:right="416"/>
              <w:spacing w:after="0"/>
              <w:rPr>
                <w:sz w:val="20"/>
                <w:szCs w:val="20"/>
                <w:color w:val="auto"/>
              </w:rPr>
            </w:pPr>
            <w:r>
              <w:rPr>
                <w:rFonts w:ascii="Arial" w:cs="Arial" w:eastAsia="Arial" w:hAnsi="Arial"/>
                <w:sz w:val="18"/>
                <w:szCs w:val="18"/>
                <w:color w:val="auto"/>
              </w:rPr>
              <w:t>222,637</w:t>
            </w:r>
          </w:p>
        </w:tc>
        <w:tc>
          <w:tcPr>
            <w:tcW w:w="1660" w:type="dxa"/>
            <w:vAlign w:val="bottom"/>
          </w:tcPr>
          <w:p>
            <w:pPr>
              <w:jc w:val="right"/>
              <w:ind w:right="396"/>
              <w:spacing w:after="0"/>
              <w:rPr>
                <w:sz w:val="20"/>
                <w:szCs w:val="20"/>
                <w:color w:val="auto"/>
              </w:rPr>
            </w:pPr>
            <w:r>
              <w:rPr>
                <w:rFonts w:ascii="Arial" w:cs="Arial" w:eastAsia="Arial" w:hAnsi="Arial"/>
                <w:sz w:val="18"/>
                <w:szCs w:val="18"/>
                <w:color w:val="auto"/>
              </w:rPr>
              <w:t>225,520</w:t>
            </w:r>
          </w:p>
        </w:tc>
        <w:tc>
          <w:tcPr>
            <w:tcW w:w="1580" w:type="dxa"/>
            <w:vAlign w:val="bottom"/>
          </w:tcPr>
          <w:p>
            <w:pPr>
              <w:jc w:val="right"/>
              <w:ind w:right="379"/>
              <w:spacing w:after="0"/>
              <w:rPr>
                <w:sz w:val="20"/>
                <w:szCs w:val="20"/>
                <w:color w:val="auto"/>
              </w:rPr>
            </w:pPr>
            <w:r>
              <w:rPr>
                <w:rFonts w:ascii="Arial" w:cs="Arial" w:eastAsia="Arial" w:hAnsi="Arial"/>
                <w:sz w:val="18"/>
                <w:szCs w:val="18"/>
                <w:color w:val="auto"/>
              </w:rPr>
              <w:t>(2,883)</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Our net cash flows provided from operating activities in the first fiscal quarter of 2007 totaled $17.1 million. The major components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provided by operating activities were net income of $1.7 million, depreciation and amortization of $1.6 million, non-cash share-based compensation expense of $1.1 million and other changes in net current assets. The change in current assets and liabilities included a decrease in accounts receivable and inventories of $8.2 million and $4.2 million, respectively. The decrease in accounts receivable was primarily due to cash collections made in the first fiscal quarter of 2007 and decreased business volume within our semiconductor equipment business. The decrease in inventory was a result of decreased business volume within our semiconductor equipment business and our ongoing efforts to reduce inventory levels.</w:t>
      </w:r>
    </w:p>
    <w:p>
      <w:pPr>
        <w:spacing w:after="0" w:line="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Our net cash provided from investing activities in the first fiscal quarter of 2007 totaled $9.1 million and was primarily the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$52.1 million in net proceeds from sales and maturities of short-term investments; partially offset by $34.4 million cash used for purchases of short-term investments. Our other expenditures in the first fiscal quarter of 2007 included the purchase of AVS for $7.6 million and purchases of property, plant and equipment of $0.9 million. The acquisition of AVS was a strategic transaction to expand our digital microwave communications solutions, especially in high definition broadcast television and public safety and law enforcement applications within our microwave communications equipment business. The purchases of property, plant and equipment were primarily made to support activities in our semiconductor equipment business and consisted primarily of equipment used in engineering, manufacturing and related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2007</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Our net cash provided from financing activities in the first fiscal quarter of 2007 included $0.5 million received from the issuance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upon the exercise of stock options, offset by $1.4 million for the payment of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2006, we renewed our $5.0 million unsecured bank line of credit bearing interest at the bank’s prime rate. The line of credit will expire in July, 2007, and requires that we maintain specified minimum levels of net worth, limits the amount of our capital expenditures and requires us to meet certain other financial covenants. We are currently in compliance with these covenants. No borrowings were outstanding at March 31, 2007; however, approximately $1.0 million of the credit facility was allocated to standby letters of credit at March 31, 2007, leaving the balance of $4.0 million available for future borrowings.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that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30, 2006.</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31, 2007,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31, 2007 our investment portfolio includes fixed-income securities with a fair value of approximately $105.4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last fiscal quarter,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color w:val="auto"/>
        </w:rPr>
        <w:t>The information set forth above under Note 8 contained in the “Notes to Unaudited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40" w:right="120"/>
        <w:spacing w:after="0" w:line="276" w:lineRule="auto"/>
        <w:rPr>
          <w:sz w:val="20"/>
          <w:szCs w:val="20"/>
          <w:color w:val="auto"/>
        </w:rPr>
      </w:pPr>
      <w:r>
        <w:rPr>
          <w:rFonts w:ascii="Arial" w:cs="Arial" w:eastAsia="Arial" w:hAnsi="Arial"/>
          <w:sz w:val="17"/>
          <w:szCs w:val="17"/>
          <w:color w:val="auto"/>
        </w:rPr>
        <w:t>There have been no material changes to the risk factors set forth in our Annual Report on Form 10-K for the year ended December 30, 2006, as filed with the SEC. In addition to the other information set forth in this report, you should carefully consider the factors discussed in Part I, Item 1A, “Risk Factors” in our Annual Report on Form 10-K which could materially affect our business, financial condition or future results. The risks described in our Annual Report on Form 10-K are not the only risks facing our company. Additional risks and uncertainties not currently known to us or that we currently deem immaterial also may have a material adverse effect on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3(i).1</w:t>
            </w:r>
          </w:p>
        </w:tc>
        <w:tc>
          <w:tcPr>
            <w:tcW w:w="10640" w:type="dxa"/>
            <w:vAlign w:val="bottom"/>
          </w:tcPr>
          <w:p>
            <w:pPr>
              <w:ind w:left="380"/>
              <w:spacing w:after="0"/>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3(i).2</w:t>
            </w:r>
          </w:p>
        </w:tc>
        <w:tc>
          <w:tcPr>
            <w:tcW w:w="10640" w:type="dxa"/>
            <w:vAlign w:val="bottom"/>
          </w:tcPr>
          <w:p>
            <w:pPr>
              <w:ind w:left="380"/>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Cohu, Inc. Form S-8 filed with the Securities and Exchange Commission on June 30, 2000, Exhibit 4.1(a)</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3(ii)</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herein by reference from the Cohu, Inc. Report on Form 8-K filed with the Securities and Exchange Commission on</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November 13, 2006, Exhibit 99.1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Capital Equipment, Goods and Services Purchase Agreement dated January 10, 2007 between Delta Design, Inc. and Intel Corporation,</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incorporated herein by reference from the Cohu, Inc. Current Report on Form 8-K filed with the Securities and Exchange Commission on</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April 25, 2007, Exhibit 99.1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COHU, INC.</w:t>
            </w:r>
          </w:p>
        </w:tc>
      </w:tr>
      <w:tr>
        <w:trPr>
          <w:trHeight w:val="224"/>
        </w:trPr>
        <w:tc>
          <w:tcPr>
            <w:tcW w:w="5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91"/>
              </w:rPr>
              <w:t>(Registrant)</w:t>
            </w:r>
          </w:p>
        </w:tc>
      </w:tr>
      <w:tr>
        <w:trPr>
          <w:trHeight w:val="647"/>
        </w:trPr>
        <w:tc>
          <w:tcPr>
            <w:tcW w:w="5500" w:type="dxa"/>
            <w:vAlign w:val="bottom"/>
          </w:tcPr>
          <w:p>
            <w:pPr>
              <w:spacing w:after="0"/>
              <w:rPr>
                <w:sz w:val="20"/>
                <w:szCs w:val="20"/>
                <w:color w:val="auto"/>
              </w:rPr>
            </w:pPr>
            <w:r>
              <w:rPr>
                <w:rFonts w:ascii="Arial" w:cs="Arial" w:eastAsia="Arial" w:hAnsi="Arial"/>
                <w:sz w:val="18"/>
                <w:szCs w:val="18"/>
                <w:color w:val="auto"/>
              </w:rPr>
              <w:t>Date: April 27, 2007</w:t>
            </w:r>
          </w:p>
        </w:tc>
        <w:tc>
          <w:tcPr>
            <w:tcW w:w="5920" w:type="dxa"/>
            <w:vAlign w:val="bottom"/>
            <w:gridSpan w:val="3"/>
          </w:tcPr>
          <w:p>
            <w:pPr>
              <w:spacing w:after="0"/>
              <w:rPr>
                <w:sz w:val="20"/>
                <w:szCs w:val="20"/>
                <w:color w:val="auto"/>
              </w:rPr>
            </w:pPr>
            <w:r>
              <w:rPr>
                <w:rFonts w:ascii="Arial" w:cs="Arial" w:eastAsia="Arial" w:hAnsi="Arial"/>
                <w:sz w:val="18"/>
                <w:szCs w:val="18"/>
                <w:color w:val="auto"/>
              </w:rPr>
              <w:t>/s/ James A. Donahue</w:t>
            </w:r>
          </w:p>
        </w:tc>
      </w:tr>
      <w:tr>
        <w:trPr>
          <w:trHeight w:val="195"/>
        </w:trPr>
        <w:tc>
          <w:tcPr>
            <w:tcW w:w="550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A. Donahue</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President &amp; Chief Executive Officer</w:t>
            </w:r>
          </w:p>
        </w:tc>
      </w:tr>
      <w:tr>
        <w:trPr>
          <w:trHeight w:val="864"/>
        </w:trPr>
        <w:tc>
          <w:tcPr>
            <w:tcW w:w="5500" w:type="dxa"/>
            <w:vAlign w:val="bottom"/>
          </w:tcPr>
          <w:p>
            <w:pPr>
              <w:spacing w:after="0"/>
              <w:rPr>
                <w:sz w:val="20"/>
                <w:szCs w:val="20"/>
                <w:color w:val="auto"/>
              </w:rPr>
            </w:pPr>
            <w:r>
              <w:rPr>
                <w:rFonts w:ascii="Arial" w:cs="Arial" w:eastAsia="Arial" w:hAnsi="Arial"/>
                <w:sz w:val="18"/>
                <w:szCs w:val="18"/>
                <w:color w:val="auto"/>
              </w:rPr>
              <w:t>Date: April 27, 2007</w:t>
            </w:r>
          </w:p>
        </w:tc>
        <w:tc>
          <w:tcPr>
            <w:tcW w:w="5920" w:type="dxa"/>
            <w:vAlign w:val="bottom"/>
            <w:gridSpan w:val="3"/>
          </w:tcPr>
          <w:p>
            <w:pPr>
              <w:spacing w:after="0"/>
              <w:rPr>
                <w:sz w:val="20"/>
                <w:szCs w:val="20"/>
                <w:color w:val="auto"/>
              </w:rPr>
            </w:pPr>
            <w:r>
              <w:rPr>
                <w:rFonts w:ascii="Arial" w:cs="Arial" w:eastAsia="Arial" w:hAnsi="Arial"/>
                <w:sz w:val="18"/>
                <w:szCs w:val="18"/>
                <w:color w:val="auto"/>
              </w:rPr>
              <w:t>/s/ John H. Allen</w:t>
            </w:r>
          </w:p>
        </w:tc>
      </w:tr>
      <w:tr>
        <w:trPr>
          <w:trHeight w:val="195"/>
        </w:trPr>
        <w:tc>
          <w:tcPr>
            <w:tcW w:w="550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John H. Allen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Vice President, Finance &amp; Chief Financial Officer</w:t>
            </w:r>
          </w:p>
        </w:tc>
      </w:tr>
      <w:tr>
        <w:trPr>
          <w:trHeight w:val="621"/>
        </w:trPr>
        <w:tc>
          <w:tcPr>
            <w:tcW w:w="55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22</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24"/>
                <w:szCs w:val="24"/>
                <w:color w:val="auto"/>
              </w:rPr>
            </w:pPr>
          </w:p>
        </w:tc>
        <w:tc>
          <w:tcPr>
            <w:tcW w:w="1014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720" w:type="dxa"/>
            <w:vAlign w:val="bottom"/>
          </w:tcPr>
          <w:p>
            <w:pPr>
              <w:spacing w:after="0"/>
              <w:rPr>
                <w:sz w:val="20"/>
                <w:szCs w:val="20"/>
                <w:color w:val="auto"/>
              </w:rPr>
            </w:pPr>
            <w:r>
              <w:rPr>
                <w:rFonts w:ascii="Arial" w:cs="Arial" w:eastAsia="Arial" w:hAnsi="Arial"/>
                <w:sz w:val="18"/>
                <w:szCs w:val="18"/>
                <w:color w:val="auto"/>
              </w:rPr>
              <w:t>3(i).1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of Cohu, Inc. incorporated herein by reference to Exhibit 3.1(a) from the Cohu, Inc.</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3(i).2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Certificate of Amendment of Amended and Restated Certificate of Incorporation of Cohu, Inc. incorporated herein by reference from the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Cohu, Inc. Form S-8 filed with the Securities and Exchange Commission on June 30, 2000, Exhibit 4.1(a)</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3(ii)</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Amended and Restated Rights Agreement dated November 10, 2006, between Cohu, Inc. and Mellon Investor Services LLC, as Rights</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Agent, incorporated herein by reference from the Cohu, Inc. Report on Form 8-K filed with the Securities and Exchange Commission on</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November 13, 2006, Exhibit 99.1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Capital Equipment, Goods and Services Purchase Agreement dated January 10, 2007 between Delta Design, Inc. and Intel Corporation,</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incorporated herein by reference from the Cohu, Inc. Current Report on Form 8-K filed with the Securities and Exchange Commission on</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April 25, 2007, Exhibit 99.1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280" w:hanging="7"/>
        <w:spacing w:after="0" w:line="264" w:lineRule="auto"/>
        <w:tabs>
          <w:tab w:leader="none" w:pos="9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9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780" w:hanging="7"/>
        <w:spacing w:after="0" w:line="342" w:lineRule="auto"/>
        <w:tabs>
          <w:tab w:leader="none" w:pos="9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00" w:right="220" w:hanging="7"/>
        <w:spacing w:after="0" w:line="264" w:lineRule="auto"/>
        <w:tabs>
          <w:tab w:leader="none" w:pos="9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700" w:right="180" w:hanging="7"/>
        <w:spacing w:after="0" w:line="277" w:lineRule="auto"/>
        <w:tabs>
          <w:tab w:leader="none" w:pos="9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40" w:hanging="7"/>
        <w:spacing w:after="0" w:line="277" w:lineRule="auto"/>
        <w:tabs>
          <w:tab w:leader="none" w:pos="9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09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280" w:hanging="7"/>
        <w:spacing w:after="0" w:line="264" w:lineRule="auto"/>
        <w:tabs>
          <w:tab w:leader="none" w:pos="9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9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780" w:hanging="7"/>
        <w:spacing w:after="0" w:line="342" w:lineRule="auto"/>
        <w:tabs>
          <w:tab w:leader="none" w:pos="94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00" w:right="220" w:hanging="7"/>
        <w:spacing w:after="0" w:line="264" w:lineRule="auto"/>
        <w:tabs>
          <w:tab w:leader="none" w:pos="9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700" w:right="180" w:hanging="7"/>
        <w:spacing w:after="0" w:line="277" w:lineRule="auto"/>
        <w:tabs>
          <w:tab w:leader="none" w:pos="9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40" w:hanging="7"/>
        <w:spacing w:after="0" w:line="277" w:lineRule="auto"/>
        <w:tabs>
          <w:tab w:leader="none" w:pos="9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70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31, 2007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8"/>
        <w:spacing w:after="0" w:line="402"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27,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09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31, 2007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8"/>
        <w:spacing w:after="0" w:line="402"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27,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70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2019-12-11T16:40:15Z</dcterms:created>
  <dcterms:modified xsi:type="dcterms:W3CDTF">2019-12-11T16:40:15Z</dcterms:modified>
</cp:coreProperties>
</file>