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2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2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$1.00 par value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Stock Purchase Rights, $1.00 par value</w:t>
      </w:r>
    </w:p>
    <w:p>
      <w:pPr>
        <w:spacing w:after="0" w:line="70" w:lineRule="exact"/>
        <w:rPr>
          <w:sz w:val="20"/>
          <w:szCs w:val="20"/>
          <w:color w:val="auto"/>
        </w:rPr>
      </w:pPr>
    </w:p>
    <w:p>
      <w:pPr>
        <w:ind w:left="240" w:right="160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18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0"/>
          <w:szCs w:val="20"/>
          <w:color w:val="auto"/>
        </w:rPr>
      </w:pPr>
    </w:p>
    <w:p>
      <w:pPr>
        <w:ind w:left="240"/>
        <w:spacing w:after="0" w:line="207" w:lineRule="exact"/>
        <w:tabs>
          <w:tab w:leader="none" w:pos="2720" w:val="left"/>
          <w:tab w:leader="none" w:pos="49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17"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$285,000,000 based on the closing stock price as reported by the Nasdaq National Market as of June 24, 2005.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February 22, 2006, the Registrant had 22,539,821 shares of its $1.00 par value common stock outstanding.</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Portions of the Proxy Statement for Cohu Inc.’s 2006 Annual Meeting of Stockholders to be held on May 9, 2006, and to be filed pursuant to Regulation 14A within 120 days after registrant’s fiscal year ended December 31, 2005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Item 1A. Risk Factors</w:t>
        </w:r>
      </w:hyperlink>
    </w:p>
    <w:p>
      <w:pPr>
        <w:ind w:left="320"/>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1B. Unresolved Staff Comments</w:t>
        </w:r>
      </w:hyperlink>
    </w:p>
    <w:p>
      <w:pPr>
        <w:ind w:left="320"/>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2. Properties</w:t>
        </w:r>
      </w:hyperlink>
    </w:p>
    <w:p>
      <w:pPr>
        <w:ind w:left="320"/>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3. Legal Proceedings</w:t>
        </w:r>
      </w:hyperlink>
    </w:p>
    <w:p>
      <w:pPr>
        <w:ind w:left="320"/>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4. Submission of Matters to a Vote of Security Holders</w:t>
        </w:r>
      </w:hyperlink>
    </w:p>
    <w:p>
      <w:pPr>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PART II</w:t>
        </w:r>
      </w:hyperlink>
    </w:p>
    <w:p>
      <w:pPr>
        <w:ind w:left="320"/>
        <w:spacing w:after="0" w:line="230"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Item 5. Market for Registrant’s Common Equity and Related Stockholder Matters and Issuer Purchases of Equity</w:t>
        </w:r>
      </w:hyperlink>
      <w:r>
        <w:rPr>
          <w:rFonts w:ascii="Arial" w:cs="Arial" w:eastAsia="Arial" w:hAnsi="Arial"/>
          <w:sz w:val="22"/>
          <w:szCs w:val="22"/>
          <w:u w:val="single" w:color="auto"/>
          <w:color w:val="0000EE"/>
        </w:rPr>
        <w:t xml:space="preserve"> </w:t>
      </w:r>
      <w:hyperlink w:anchor="page17">
        <w:r>
          <w:rPr>
            <w:rFonts w:ascii="Arial" w:cs="Arial" w:eastAsia="Arial" w:hAnsi="Arial"/>
            <w:sz w:val="22"/>
            <w:szCs w:val="22"/>
            <w:u w:val="single" w:color="auto"/>
            <w:color w:val="0000EE"/>
          </w:rPr>
          <w:t>Securities</w:t>
        </w:r>
      </w:hyperlink>
    </w:p>
    <w:p>
      <w:pPr>
        <w:ind w:left="320"/>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1360"/>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7.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Item 8. Financial Statements and Supplementary Data</w:t>
        </w:r>
      </w:hyperlink>
    </w:p>
    <w:p>
      <w:pPr>
        <w:ind w:left="320"/>
        <w:spacing w:after="0" w:line="232"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Item 9. Changes in and Disagreements with Accountants on Accounting and Financial Disclosure</w:t>
        </w:r>
      </w:hyperlink>
    </w:p>
    <w:p>
      <w:pPr>
        <w:ind w:left="320"/>
        <w:spacing w:after="0" w:line="231"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Item 9A. Controls and Procedures</w:t>
        </w:r>
      </w:hyperlink>
    </w:p>
    <w:p>
      <w:pPr>
        <w:ind w:left="320"/>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9B. Other Information</w:t>
        </w:r>
      </w:hyperlink>
    </w:p>
    <w:p>
      <w:pPr>
        <w:spacing w:after="0" w:line="231"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PART III</w:t>
        </w:r>
      </w:hyperlink>
    </w:p>
    <w:p>
      <w:pPr>
        <w:ind w:left="320" w:right="4680"/>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260"/>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12. Security Ownership of Certain Beneficial Owners and Management and Related Stockholder Matters</w:t>
        </w:r>
      </w:hyperlink>
      <w:r>
        <w:rPr>
          <w:rFonts w:ascii="Arial" w:cs="Arial" w:eastAsia="Arial" w:hAnsi="Arial"/>
          <w:sz w:val="22"/>
          <w:szCs w:val="22"/>
          <w:u w:val="single" w:color="auto"/>
          <w:color w:val="0000EE"/>
        </w:rPr>
        <w:t xml:space="preserve"> </w:t>
      </w:r>
      <w:hyperlink w:anchor="page31">
        <w:r>
          <w:rPr>
            <w:rFonts w:ascii="Arial" w:cs="Arial" w:eastAsia="Arial" w:hAnsi="Arial"/>
            <w:sz w:val="22"/>
            <w:szCs w:val="22"/>
            <w:u w:val="single" w:color="auto"/>
            <w:color w:val="0000EE"/>
          </w:rPr>
          <w:t>Item 13. Certain Relationships and Related Transactions</w:t>
        </w:r>
      </w:hyperlink>
      <w:r>
        <w:rPr>
          <w:rFonts w:ascii="Arial" w:cs="Arial" w:eastAsia="Arial" w:hAnsi="Arial"/>
          <w:sz w:val="22"/>
          <w:szCs w:val="22"/>
          <w:u w:val="single" w:color="auto"/>
          <w:color w:val="0000EE"/>
        </w:rPr>
        <w:t xml:space="preserve"> </w:t>
      </w:r>
      <w:hyperlink w:anchor="page31">
        <w:r>
          <w:rPr>
            <w:rFonts w:ascii="Arial" w:cs="Arial" w:eastAsia="Arial" w:hAnsi="Arial"/>
            <w:sz w:val="22"/>
            <w:szCs w:val="22"/>
            <w:u w:val="single" w:color="auto"/>
            <w:color w:val="0000EE"/>
          </w:rPr>
          <w:t>Item 14. Principal Accountant Fees and Services</w:t>
        </w:r>
      </w:hyperlink>
    </w:p>
    <w:p>
      <w:pPr>
        <w:spacing w:after="0" w:line="232"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Item 15. Exhibits, Financial Statement Schedules</w:t>
        </w:r>
      </w:hyperlink>
    </w:p>
    <w:p>
      <w:pPr>
        <w:spacing w:after="0" w:line="230" w:lineRule="auto"/>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Index to Exhibits</w:t>
        </w:r>
      </w:hyperlink>
    </w:p>
    <w:p>
      <w:pPr>
        <w:spacing w:after="0" w:line="231" w:lineRule="auto"/>
        <w:rPr>
          <w:rFonts w:ascii="Arial" w:cs="Arial" w:eastAsia="Arial" w:hAnsi="Arial"/>
          <w:sz w:val="22"/>
          <w:szCs w:val="22"/>
          <w:u w:val="single" w:color="auto"/>
          <w:color w:val="0000EE"/>
        </w:rPr>
      </w:pPr>
      <w:hyperlink w:anchor="page57">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EXHIBIT 21</w:t>
      </w:r>
    </w:p>
    <w:p>
      <w:pPr>
        <w:spacing w:after="0" w:line="230" w:lineRule="auto"/>
        <w:rPr>
          <w:sz w:val="20"/>
          <w:szCs w:val="20"/>
          <w:color w:val="auto"/>
        </w:rPr>
      </w:pPr>
      <w:r>
        <w:rPr>
          <w:rFonts w:ascii="Arial" w:cs="Arial" w:eastAsia="Arial" w:hAnsi="Arial"/>
          <w:sz w:val="22"/>
          <w:szCs w:val="22"/>
          <w:u w:val="single" w:color="auto"/>
          <w:color w:val="0000EE"/>
        </w:rPr>
        <w:t>EXHIBIT 23</w:t>
      </w:r>
    </w:p>
    <w:p>
      <w:pPr>
        <w:spacing w:after="0" w:line="231" w:lineRule="auto"/>
        <w:rPr>
          <w:sz w:val="20"/>
          <w:szCs w:val="20"/>
          <w:color w:val="auto"/>
        </w:rPr>
      </w:pPr>
      <w:r>
        <w:rPr>
          <w:rFonts w:ascii="Arial" w:cs="Arial" w:eastAsia="Arial" w:hAnsi="Arial"/>
          <w:sz w:val="22"/>
          <w:szCs w:val="22"/>
          <w:u w:val="single" w:color="auto"/>
          <w:color w:val="0000EE"/>
        </w:rPr>
        <w:t>EXHIBIT 31.1</w:t>
      </w:r>
    </w:p>
    <w:p>
      <w:pPr>
        <w:spacing w:after="0" w:line="230" w:lineRule="auto"/>
        <w:rPr>
          <w:sz w:val="20"/>
          <w:szCs w:val="20"/>
          <w:color w:val="auto"/>
        </w:rPr>
      </w:pPr>
      <w:r>
        <w:rPr>
          <w:rFonts w:ascii="Arial" w:cs="Arial" w:eastAsia="Arial" w:hAnsi="Arial"/>
          <w:sz w:val="22"/>
          <w:szCs w:val="22"/>
          <w:u w:val="single" w:color="auto"/>
          <w:color w:val="0000EE"/>
        </w:rPr>
        <w:t>EXHIBIT 31.2</w:t>
      </w:r>
    </w:p>
    <w:p>
      <w:pPr>
        <w:spacing w:after="0" w:line="231" w:lineRule="auto"/>
        <w:rPr>
          <w:sz w:val="20"/>
          <w:szCs w:val="20"/>
          <w:color w:val="auto"/>
        </w:rPr>
      </w:pPr>
      <w:r>
        <w:rPr>
          <w:rFonts w:ascii="Arial" w:cs="Arial" w:eastAsia="Arial" w:hAnsi="Arial"/>
          <w:sz w:val="22"/>
          <w:szCs w:val="22"/>
          <w:u w:val="single" w:color="auto"/>
          <w:color w:val="0000EE"/>
        </w:rPr>
        <w:t>EXHIBIT 32.1</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EXHIBIT 32.2</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820" w:top="111" w:right="9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industries.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7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 xml:space="preserve">We have four reportable segments as defined by Financial Accounting Standards Board (“FASB”) Statement No. 131, </w:t>
      </w:r>
      <w:r>
        <w:rPr>
          <w:rFonts w:ascii="Arial" w:cs="Arial" w:eastAsia="Arial" w:hAnsi="Arial"/>
          <w:sz w:val="18"/>
          <w:szCs w:val="18"/>
          <w:i w:val="1"/>
          <w:iCs w:val="1"/>
          <w:color w:val="auto"/>
        </w:rPr>
        <w:t>Disclosures about Segments of an</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 and Related Information</w:t>
      </w:r>
      <w:r>
        <w:rPr>
          <w:rFonts w:ascii="Arial" w:cs="Arial" w:eastAsia="Arial" w:hAnsi="Arial"/>
          <w:sz w:val="18"/>
          <w:szCs w:val="18"/>
          <w:color w:val="auto"/>
        </w:rPr>
        <w:t>, (“Statement No. 131”)</w:t>
      </w:r>
      <w:r>
        <w:rPr>
          <w:rFonts w:ascii="Arial" w:cs="Arial" w:eastAsia="Arial" w:hAnsi="Arial"/>
          <w:sz w:val="18"/>
          <w:szCs w:val="18"/>
          <w:i w:val="1"/>
          <w:iCs w:val="1"/>
          <w:color w:val="auto"/>
        </w:rPr>
        <w:t xml:space="preserve">. </w:t>
      </w:r>
      <w:r>
        <w:rPr>
          <w:rFonts w:ascii="Arial" w:cs="Arial" w:eastAsia="Arial" w:hAnsi="Arial"/>
          <w:sz w:val="18"/>
          <w:szCs w:val="18"/>
          <w:color w:val="auto"/>
        </w:rPr>
        <w:t>Our four segments are: semiconductor equipment; television cameras; metal detection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microwave communications.</w:t>
      </w:r>
    </w:p>
    <w:p>
      <w:pPr>
        <w:spacing w:after="0" w:line="7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semiconductor equipment segment, operated under our wholly owned subsidiary Delta Design, Inc. (“Delta”), designs, manufactures and sells semiconductor test handling equipment to semiconductor manufacturers and semiconductor test subcontractors throughout the world. The television camera segment (“Electronics Division”) designs, manufactures and sells closed circuit television cameras and systems to original equipment manufacturers, contractors and government agencies. Our other reportable segments include Fisher Research Laboratory, Inc. (“FRL”), a metal detection instrumentation business, and Broadcast Microwave Services, Inc. (“BMS”), a microwave communications equipment company.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auto"/>
            </w:tcBorders>
          </w:tcPr>
          <w:p>
            <w:pPr>
              <w:spacing w:after="0"/>
              <w:rPr>
                <w:sz w:val="14"/>
                <w:szCs w:val="14"/>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equipment</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Television cameras</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11</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Metal detection</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Microwave communications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4</w:t>
            </w:r>
          </w:p>
        </w:tc>
      </w:tr>
      <w:tr>
        <w:trPr>
          <w:trHeight w:val="27"/>
        </w:trPr>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7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 financial information on industry segments for each of the last three years is included on pages 16 (Selected Financial Data) and 46 (Note 10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are a worldwide supplier of semiconductor test handling equipment. Delta, designs, manufactures, sells and services a broad line of test handlers capable of handling a wide range of integrated circuit packages. Test handlers are electromechanical systems used to automate the final test process in the “back end” of the semiconductor manufacturing process. Testing determines the quality and performance of the integrated circuit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prior to shipment to customers. Testers are designed to verify the performance of what is inside of the integrated circuit, such as microprocessors, logic, DRAM or mixed signal devices. Handlers are engineered to thermally condition and present for testing, the packages that protect the micro-circuitry within the integrated circuit. The majority of test handlers use either pick-and-place or gravity-feed technologies to process integrated circuits. Delta’s product line includes pick-and-place handlers. The integrated circuit package type normally determines the appropriate handling approach. Because gravity-feed handling is simple, reliable and fast, it is the preferred technique for handling packages with leads on only two sides, including the dual-in-line and small outline packages. In gravity-feed handlers, integrated circuits are typically unloaded from plastic tubes or metal magazines at the top of the machine and flow through the system, from top to bottom, propelled along precision track work by the force of gravity. After testing, the integrated circuits are sorted and reloaded into tubes or magazines for additional process steps or for shipment.</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Integrated circuits with leads on all four sides, such as the quad flat pack, balls or pads on the bottom of the package, such as ball grid array packages and certain low profile integrated circuits with leads on two sides, such as the thin small outline package, are predominately handled in pick-and-place systems. In pick-and-place systems, integrated circuits are picked from waffle-like trays, placed in precision transport boats or carriers and cycled through the system. After testing, integrated circuits are sorted and reloaded into designated trays, based on test results.</w:t>
      </w:r>
    </w:p>
    <w:p>
      <w:pPr>
        <w:spacing w:after="0" w:line="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To ensure the quality of the integrated circuits produced, semiconductor manufacturers typically test integrated circuits at hot and/or cold temperatures, which can accelerate failures within the integrated circuit. Delta’s test handlers are designed to provide a precisely controlled test environment over the range of -60 degrees Celsius to +160 degrees Celsius. In recent years, as the performance and speed of integrated circuits has increased, test handler manufacturers have faced the additional and substantial challenge of dissipating the significant amount of heat that is generated within these high performance integrated circuits during the test process. This heat is capable of damaging or destroying the integrated circuit and can result in speed downgrading, when devices self heat and fail to successfully test at their maximum possible speed. Device yields are extremely important and may directly affect the selling price of the integrated circuit and the profitability of the semiconductor manufacturer. In addition to temperature capability, other key factors in the design of test handlers are cost, handling speed, flexibility, parallel test capability, system size and reliability.</w:t>
      </w:r>
    </w:p>
    <w:p>
      <w:pPr>
        <w:spacing w:after="0" w:line="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Handlers are complex, electromechanical systems, that are used in high volume production environments and many are in service twenty-four hours per day, seven days a week. Customers continuously strive to increase the utilization of their production test equipment and expect high reliability from test handlers. The availability of trained technical support personnel is an important competitive factor in the marketplace. Delta deploys service engineers worldwide, often within customer production facilities, who work with customer personnel on continuous equipment improvement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currently sell the following products into the semiconductor test handling equipment market:</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Delta’s Castle Lx is a hot and cold pick-and-place handler and it is capable of thermally conditioning devices from -60 degrees Celsius to +160 degrees Celsius. The Castle Lx can position from one to nine devices for testing. Its large thermal soak area provides a steady flow of thermally conditioned devices to the test site allowing the handler to process parts at high speed when running at temperature. The Castle Lx contains an innovative vertical tray storage system which saves space on the test floor by minimizing the handler’s footprint.</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Delta’s Summit series of pick-and-place handlers are designed to meet the requirements of manufacturers of advanced microprocessors and other high speed, high power devices. The Summit handlers are designed around Delta’s proprietary thermal management technology. The Summit PTC, or Passive Thermal Control, and ATC, or Active Thermal Control, models are designed to dissipate the heat generated during test and maintain the desired set point temperature of the device being tested.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 xml:space="preserve">The Delta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xml:space="preserve">™ is a pick-and-place handler that combines an economical design with a small footprint and fast index time. The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handler is currently designed to meet the needs of integrated circuit manufacturers and subcontractors who test only at ambient and hot temperatures.</w:t>
      </w:r>
    </w:p>
    <w:p>
      <w:pPr>
        <w:spacing w:after="0" w:line="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Delta’s Orion system is a test-on-strip handler. In pick-and-place handlers, integrated circuits are processed in single packages, after they are excised from leadframes or laminate substrates. In test-on-strip, integrated circuits are tested on the leadframe or substrate and are separated in a subsequent operation. Test-on-strip may provide advantages in some applications, such as when testing very small integrated circuits and when testing multiple integrated circuits simultaneously (parallel testing).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Cameras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Electronics Division has developed, manufactured and sold closed circuit television or CCTV cameras and systems for over 50 years. The customer base for these products is broadly distributed between machine vision, traffic control and management, scientific imaging and security/surveillance markets. The current product line consists of a broad array of indoor and outdoor CCTV cameras and camera control equipment. To support its camera products, the Electronics Division offers accessories including monitors, lenses and camera test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 Detection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FRL designs, manufactures and sells metal detectors and related underground detection instruments for consumer, industrial and security applications. Consumer metal detectors include models for prospectors, relic hunters, sport divers and treasure hunters. Industrial products include pipe and cable locators, water leak detectors, property marker locators and instruments for locating reinforcing bars in concrete. Security products include FRL’s portable walk-through metal detector which was introduced in late 2004.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Microwave Communications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BMS designs, manufactures and sells microwave communications equipment, antenna systems and associated equipment. These products are used in the transmission of telemetry, data, video and audio signals. Customers include military applications, government test ranges, law enforcement agencies, unmanned air vehicle programs, television broadcasters and other commercial 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customers include semiconductor manufacturers and subcontractors (test houses) that perform test services for integrated circuit manufacturers. Repeat sales to existing customers represent a significant portion of our sales in this segment.</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rely on a limited number of customers for a substantial percentage of our net sales. In 2005, Intel, Advanced Micro Devices and Texas Instruments accounted for 43%, 12%, and 8%, respectively, of our consolidated net sales. In 2004, Intel, Advanced Micro Devices and Texas Instruments accounted for 44%, 1%, and 9%, respectively, of our consolidated net sales. In 2003, Intel, Advanced Micro Devices and Texas Instruments accounted for 41%, 1%, and 16%, respectively, of our consolidated net sales. 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Cameras, Metal Detection and Microwave Communications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customer base in the television camera industry segment is diverse and includes government agencies, original equipment manufacturers, contractors and value-added resellers throughout the world. No single customer of this segment accounted for 10% or more of our consolidated net sales in 2005, 2004 or 2003.</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Our customer base for FRL and BMS is also diverse and includes government agencies, original equipment manufacturers, contractors, distributors and consumers throughout the world. No single customer of either FRL or BMS accounted for 10% or more of our consolidated net sales in 2005, 2004 or 2003.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We market our products worldwide through a combination of a direct sales force and independent sales representatives. In geographic areas where we believe there is sufficient sales potential, we maintain sales offices staffed with our own sales personnel. We maintain U.S. sales offices for the semiconductor equipment business in Santa Clara, California and Austin, Texas and at Delta’s Poway, California and Littleton, Massachusetts facilities. In 1993, a foreign subsidiary was formed in Singapore to handle the sales and service of our test handling products to customers located in Southeast Asia. In 1995, a branch of the Singapore sales and service subsidiary was opened in Taipei, Taiwan. Sales in Europe are made primarily through independent sales representatives. A portion of the sales at our FRL and Cohu Electronics businesses are made under agreements to independent sales representatives or distributors that purchase products for resale to end-users. These agreements include standard payment terms and no right of return, price protection or stock rotation rights. Revenue is generally recognized at the time of shipment, provided all the requirements of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(“SAB No. 104”), and all accounting principles generally accepted in the United States of America are satisfied.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in the U.S. and throughout the world and there are a large number of competitors for a relatively small worldwide market. The Japanese and Korean markets for test handling equipment are large and represent a significant percentage of the worldwide market. During the last five years our sales to Japanese and Korean customers, who have historically purchased test handling equipment from Asian suppliers, have represented less than five percent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 competitive position and reduced sales of existing products. No assurance can be given that we will continue to compete successfully in the U.S. or throughout the world.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Cameras, Metal Detection and Microwave Communications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products in the television camera, metal detection and microwave communications segments are sold in highly competitive markets throughout the world, where competition is on the basis of price, product performance and integration with customer requirements, service,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dollar amount of our order backlog as of December 31, 2005, was $83.2 million as compared to $62.6 million at December 31, 2004. Of these amounts,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$52.6 million ($40.8 million in 2004) was in semiconductor test handling equipment, $5.3 million ($4.9 million in 2004) was in television cameras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$25.3 million ($16.9 million in 2004) from FRL and BMS. Backlog is generally expected to be shipped within the next twelve months. Our backlog at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point in time may not be representative of actual sales in any future period due to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Certain orders are subject to cancellation or rescheduling by the customer with limited penalty. There is no significant seasonal aspect to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manufacturing operations are currently located in Poway, California (BMS and Delta Design), San Diego, California (Electronics Division), Littleton, Massachusetts (Delta Design), Los Banos, California (FRL), Tijuana, B.C. Mexico (Delta Design) and near Manila, in the Philippines (Delta Design). Many of the components and subassemblies we utilize are standard products, although certain items are made to our specifications. Certain components, particularly in our semiconductor equipment business,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proprietary technology is protected by various intellectual property laws including patents, licenses, trademarks, copyrights and trade secrets. In addition, we believe that, due to the rapid pace of technological change in the semiconductor equipment industry and our other business segments, the successful manufacture and sale of our products also depend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of the markets in which we compete, particularly the semiconductor equipment industry, are characterized by rapid technological change. Research and development activities are carried on in our various subsidiaries and division and are directed toward development of new products and equipment, as well as enhancements to existing products and equipment. Our total research and development expense was $29.8 million in 2005, $27.9 million in 2004 and $24.7 million in 2003.</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Thus far, compliance 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our competitive position. However, future changes in regulations may require expenditures which could adversely impact earnings in future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17, 2006. Executive Officers serve at the discretion of the Board of Directors, until their successors are appointed.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Arial" w:cs="Arial" w:eastAsia="Arial" w:hAnsi="Arial"/>
                <w:sz w:val="14"/>
                <w:szCs w:val="14"/>
                <w:b w:val="1"/>
                <w:bCs w:val="1"/>
                <w:color w:val="auto"/>
              </w:rPr>
              <w:t>Age</w:t>
            </w:r>
          </w:p>
        </w:tc>
        <w:tc>
          <w:tcPr>
            <w:tcW w:w="524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Cohu:</w:t>
            </w:r>
          </w:p>
        </w:tc>
        <w:tc>
          <w:tcPr>
            <w:tcW w:w="2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20" w:type="dxa"/>
            <w:vAlign w:val="bottom"/>
            <w:tcBorders>
              <w:top w:val="single" w:sz="8" w:color="auto"/>
            </w:tcBorders>
          </w:tcPr>
          <w:p>
            <w:pPr>
              <w:spacing w:after="0"/>
              <w:rPr>
                <w:sz w:val="16"/>
                <w:szCs w:val="16"/>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James A. Donahue</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57</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President &amp; Chief Executive Officer</w:t>
            </w:r>
          </w:p>
        </w:tc>
      </w:tr>
      <w:tr>
        <w:trPr>
          <w:trHeight w:val="212"/>
        </w:trPr>
        <w:tc>
          <w:tcPr>
            <w:tcW w:w="5460" w:type="dxa"/>
            <w:vAlign w:val="bottom"/>
          </w:tcPr>
          <w:p>
            <w:pPr>
              <w:spacing w:after="0"/>
              <w:rPr>
                <w:sz w:val="20"/>
                <w:szCs w:val="20"/>
                <w:color w:val="auto"/>
              </w:rPr>
            </w:pPr>
            <w:r>
              <w:rPr>
                <w:rFonts w:ascii="Arial" w:cs="Arial" w:eastAsia="Arial" w:hAnsi="Arial"/>
                <w:sz w:val="18"/>
                <w:szCs w:val="18"/>
                <w:color w:val="auto"/>
              </w:rPr>
              <w:t>John H. Allen</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54</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Vice President, Finance &amp; Chief Financial Officer</w:t>
            </w:r>
          </w:p>
        </w:tc>
      </w:tr>
      <w:tr>
        <w:trPr>
          <w:trHeight w:val="220"/>
        </w:trPr>
        <w:tc>
          <w:tcPr>
            <w:tcW w:w="5460" w:type="dxa"/>
            <w:vAlign w:val="bottom"/>
          </w:tcPr>
          <w:p>
            <w:pPr>
              <w:spacing w:after="0"/>
              <w:rPr>
                <w:sz w:val="20"/>
                <w:szCs w:val="20"/>
                <w:color w:val="auto"/>
              </w:rPr>
            </w:pPr>
            <w:r>
              <w:rPr>
                <w:rFonts w:ascii="Arial" w:cs="Arial" w:eastAsia="Arial" w:hAnsi="Arial"/>
                <w:sz w:val="18"/>
                <w:szCs w:val="18"/>
                <w:b w:val="1"/>
                <w:bCs w:val="1"/>
                <w:color w:val="auto"/>
              </w:rPr>
              <w:t>Delta Design:</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Thomas G. Lightner</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61</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Vice President, Manufacturing</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James G. McFarlane</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55</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Senior Vice President</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Colin P. Scholefield</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42</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Senior Vice President, Sales and Service</w:t>
            </w:r>
          </w:p>
        </w:tc>
      </w:tr>
    </w:tbl>
    <w:p>
      <w:pPr>
        <w:spacing w:after="0" w:line="9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Mr. Donahue has been employed by Delta Design since 1978 and has been President of Delta Design since May, 1983. In October, 1999, Mr. Donahue was named to the position of President and Chief Operating Officer of Cohu and was appointed to Cohu’s Board of Directors. In June, 2000, Mr. Donahue was promoted to Chief Executive Officer.</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Allen has been employed by Cohu since June, 1995. He was Director of Finance until September, 1995, became Vice President, Finance in September, 1995 and was appointed Chief Financial Officer in October, 1995. Prior to joining Cohu, Mr. Allen held various positions with Ernst &amp; Young LLP from 1976 until June, 1995 and had been a partner with that firm since 1987.</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Mr. Lightner has been employed by Delta Design since 2000. He was Director of Manufacturing from 2000 until April 2001 at which time he was promoted to Vice President of Manufacturing.</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McFarlane has been employed by Delta Design since 1989. He was Director of Engineering from 1992 to 1998 and was promoted to Vice President of Engineering in 1998. In 2000, Mr. McFarlane was promoted to Senior Vice President.</w:t>
      </w:r>
    </w:p>
    <w:p>
      <w:pPr>
        <w:spacing w:after="0" w:line="6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Mr. Scholefield has been employed by Delta Design since 1991 and has held various positions including Customer Support Manager. He was promoted to Vice President of Sales in 2000, Senior Vice President of Sales in 2001 and Senior Vice President of Sales and Service in 2003.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At December 31, 2005, we had approximately 1,000 employees. Our employee headcount has fluctuated in the last five years primarily due to the volatile business conditions in the semiconductor equipment industry. None of our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u w:val="single" w:color="auto"/>
          <w:color w:val="auto"/>
        </w:rPr>
        <w:t>www.cohu.com</w:t>
      </w:r>
      <w:r>
        <w:rPr>
          <w:rFonts w:ascii="Arial" w:cs="Arial" w:eastAsia="Arial" w:hAnsi="Arial"/>
          <w:sz w:val="18"/>
          <w:szCs w:val="18"/>
          <w:color w:val="auto"/>
        </w:rPr>
        <w:t>. We make available free of charge, on or through our web site, our annual report on Form 10-K, quarterly reports on Form 10-Q, current reports on Form 8-K, and all amendments to those reports, as soon as reasonably practicable after such material is electronically filed with the Securities and Exchange Commission. Our Code of Business Conduct and Ethics is also posted on our web site at www.cohu.com/investors/corporategovernance. Information contained on our web site is not deemed part of this report.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Industries in Which We Compete and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such as those experienced in 2001, 2002, 2003 and during the third and fourth quarters of 2004.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the years ended December 31, 2005, 2004, and 2003, we recorded pretax inventory-related charges of approximately $6.2 million, $5.8 million, $4.6 million, respectively, primarily as a result of changes in customer forecasts.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relatively small number of customers historically have been responsible for a significant portion of our net sales. In the year ended December 31, 2005, three customers of the semiconductor equipment segment accounted for 63% (54% in 2004, and 58% in 2003) of our net sales. During the past five years, the percentage of our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manufacturing and customer support capabilities and offer more extensive product offerings than Cohu. In addition, there are emerging semiconductor equipment companies that provide or may provide innovative technology incorporated in products that may compete favorably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our Delta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handler, may adversely impact sales and/or margins of existing products. In addition, the introduction of new products by us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31, 2005. Future inventory write-offs and increased inventory reserve requirements could have a material adverse impact on our results of operations and financial condition.</w:t>
      </w:r>
    </w:p>
    <w:p>
      <w:pPr>
        <w:spacing w:after="0" w:line="5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new integrated circuit test handling equipment is extremely difficult and subject to a great deal of risk. In addition, not all integrated circuit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as is common with semiconductor equipment,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62" w:lineRule="exact"/>
        <w:rPr>
          <w:sz w:val="20"/>
          <w:szCs w:val="20"/>
          <w:color w:val="auto"/>
        </w:rPr>
      </w:pPr>
    </w:p>
    <w:p>
      <w:pPr>
        <w:ind w:left="440" w:hanging="216"/>
        <w:spacing w:after="0"/>
        <w:tabs>
          <w:tab w:leader="none" w:pos="4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142" w:lineRule="exact"/>
        <w:rPr>
          <w:rFonts w:ascii="Arial" w:cs="Arial" w:eastAsia="Arial" w:hAnsi="Arial"/>
          <w:sz w:val="17"/>
          <w:szCs w:val="17"/>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other operational matters;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acquired businesses;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lack of synergy, or the inability to realize expected synergies, resulting from the acquisition;</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to commercialize purchased technology; and</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11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Additionally, such acquisitions or investments may result in immediate charges to operating results. Mergers, acquisitions and investments are inherently risky and the inability to effectively manage these risks could materially and adversely affect our business, financial condition and results of operations.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taken remedial measures to address previous slowdowns in the semiconductor equipment industry that may affect our ability to be competitive.</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past, we have taken remedial measures to address the slowdown in the market for our products. In particular, we reduced our workforce, delayed salary increases, reduced senior executives’ pay, implemented furloughs, reduced expense budgets and announced facility consolidations including Delta Design’s Columbus, Ohio and Littleton, Massachusetts operations into our Poway, California facility. Each of these measures could have long-term effects on our business by reducing our pool of technical talent, decreasing or slowing improvements in our products and making it more difficult for us to respond to our customer’s needs.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our backlog at December 31, 2005, may not be a reliable indicator of revenues in future periods due to delayed delivery dates or customer requested changes to delivery schedules, order cancellations and delays in recognizing revenue due to accounting requirements.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participate in the gravity-feed and DRAM test handler markets.</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Pick-and-place handlers used in DRAM applications account for a significant portion of the worldwide test handler market and our market share in the DRAM segment is negligible. In addition, gravity-feed test handlers are used in numerous non DRAM applications and continue to represent a significant portion of the worldwide test handler market. Because we do not participate in the DRAM and/or gravity-feed market segments, our total available sales market is limited.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 global corporation with offices and subsidiaries around the world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73" w:lineRule="exact"/>
        <w:rPr>
          <w:sz w:val="20"/>
          <w:szCs w:val="20"/>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costs and difficulties in staffing and managing international operations;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difficulties in enforcing contractual and intellectual property rights;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local political and economic conditions;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 which can affect demand and increase our costs.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provide assurance that we will continue to declare dividends at all or in any particular amounts.</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that cash dividends are in the best interest of the stockholders. Our dividend policy may be affected by, among other items, our views on potential future capital requirements, including those related to research and development, creation and expansion of sales distribution channels, investments and acquisitions, legal risks and stock repurchases.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rely on patent, copyright, trademark and trade secret laws to establish and maintain proprietary rights in our technology and products. Any of our proprietary rights may expire due to patent life, or be challenged, invalidated or circumvented, and certain of these patent rights are licensed from third parties and we may not be able to negotiate extensions of any such licenses that have or may expire and these rights may cease to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year ended December 31, 2005, 75.4% of our total net sales were exported to foreign countries, including 85.4% of the sales in the semiconductor equipment segment. 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San Diego, California, where the majority of our personnel are located, is very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 and have generated significant losses.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 products that may compete favorably against our own products. We have seen a significant decline in the operating results of these businesses over the last several years with increasing losses and the future prospects for certain of these businesses remain uncertain. We may not be able to continue to compete successfully in these businesses.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will impact our future operating results.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example, under Statement No. 123R, in 2006, we will be required to account for equity under our stock plans as a compensation expense and our net income and net income per share will be significantly reduced. Currently, we calculate compensation expense and disclose the impact on net income and net income per share, as well as the impact of all stock-based compensation expense in a footnote to the consolidated financial statements. Statement No. 123R requires that we expense share-based payment awards given to employees, including shares issued under employee stock purchase plans and stock options, as compensation cost. As a result, our adoption of the new standard in the first quarter of fiscal 2006 could negatively affect our stock price and our stock price volatility.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117" w:lineRule="exact"/>
        <w:rPr>
          <w:sz w:val="20"/>
          <w:szCs w:val="20"/>
          <w:color w:val="auto"/>
        </w:rPr>
      </w:pPr>
    </w:p>
    <w:p>
      <w:pPr>
        <w:ind w:left="440" w:hanging="21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timing of orders from customers and shipments to customers;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recognize revenue due to accounting requirements;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impact of foreign currency exchange rates on the price of our products in international locations;</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inventory writedowns; and</w:t>
      </w:r>
    </w:p>
    <w:p>
      <w:pPr>
        <w:spacing w:after="0" w:line="130" w:lineRule="exact"/>
        <w:rPr>
          <w:rFonts w:ascii="Arial" w:cs="Arial" w:eastAsia="Arial" w:hAnsi="Arial"/>
          <w:sz w:val="18"/>
          <w:szCs w:val="18"/>
          <w:b w:val="1"/>
          <w:bCs w:val="1"/>
          <w:color w:val="auto"/>
        </w:rPr>
      </w:pPr>
    </w:p>
    <w:p>
      <w:pPr>
        <w:ind w:left="440" w:hanging="21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inability to deliver solutions as expected by our customers.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generally. This could cause the market price of our stock to decline, perhaps significantly.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$13.01 to $27.39. The price of our stock may be more volatile than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future changes in securities laws and regulations have increased our costs.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new SEC regulations and Nasdaq National Market rules, are creating challenges for all publicly-held companies. We are committed to maintaining high standards of corporate governance and public disclosure. As a result, 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efforts to maintain compliance with Section 404 of the Sarbanes-Oxley Act of 2002 and the related regulations regarding our required assessment of our internal controls over financial reporting and our external auditors’ audit of that assessment has required the commitment of significant financial and managerial resources. We expect these efforts to require the continued commitment of significant resources. Further,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harm our business.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threats may adversely impact our operations and sales.</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Asian sales and service headquarters is located in Singapore and the majority of our sales are made to destinations in Asia. In addition, we have an operation in the Philippines that fabricates certain component parts used in our semiconductor test handlers. These regions are known for being vulnerable to natural disasters and other risks, such as earthquakes, tsunamis, fires, floods and Avian (bird) flu,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BMS is currently involved in a significant contract with the United Arab Emirates. Continued terrorist attacks or threats in this region may cause geopolitical instability that may have an adverse effect on our ability to successfully satisfy customer acceptance requirements and recognize revenue under the agreement, which could materially impact our results of operations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Cohu, like other public companies, from time to time receives written comments from the staff of the SEC regarding its periodic or current reports under the Exchange Act. There are no comments that remain unresolved that Cohu received not less than 180 days before the end of its fiscal year to which this report relates.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31, 2005, identified by business segment is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spacing w:after="0"/>
              <w:rPr>
                <w:sz w:val="20"/>
                <w:szCs w:val="20"/>
                <w:color w:val="auto"/>
              </w:rPr>
            </w:pPr>
            <w:r>
              <w:rPr>
                <w:rFonts w:ascii="Arial" w:cs="Arial" w:eastAsia="Arial" w:hAnsi="Arial"/>
                <w:sz w:val="14"/>
                <w:szCs w:val="14"/>
                <w:b w:val="1"/>
                <w:bCs w:val="1"/>
                <w:color w:val="auto"/>
              </w:rPr>
              <w:t>Location</w:t>
            </w:r>
          </w:p>
        </w:tc>
        <w:tc>
          <w:tcPr>
            <w:tcW w:w="540" w:type="dxa"/>
            <w:vAlign w:val="bottom"/>
          </w:tcPr>
          <w:p>
            <w:pPr>
              <w:spacing w:after="0"/>
              <w:rPr>
                <w:sz w:val="14"/>
                <w:szCs w:val="14"/>
                <w:color w:val="auto"/>
              </w:rPr>
            </w:pPr>
          </w:p>
        </w:tc>
        <w:tc>
          <w:tcPr>
            <w:tcW w:w="1260" w:type="dxa"/>
            <w:vAlign w:val="bottom"/>
          </w:tcPr>
          <w:p>
            <w:pPr>
              <w:jc w:val="right"/>
              <w:ind w:right="142"/>
              <w:spacing w:after="0"/>
              <w:rPr>
                <w:sz w:val="20"/>
                <w:szCs w:val="20"/>
                <w:color w:val="auto"/>
              </w:rPr>
            </w:pPr>
            <w:r>
              <w:rPr>
                <w:rFonts w:ascii="Arial" w:cs="Arial" w:eastAsia="Arial" w:hAnsi="Arial"/>
                <w:sz w:val="14"/>
                <w:szCs w:val="14"/>
                <w:b w:val="1"/>
                <w:bCs w:val="1"/>
                <w:color w:val="auto"/>
              </w:rPr>
              <w:t>Approximate</w:t>
            </w:r>
          </w:p>
        </w:tc>
        <w:tc>
          <w:tcPr>
            <w:tcW w:w="54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Ownership</w:t>
            </w:r>
          </w:p>
        </w:tc>
        <w:tc>
          <w:tcPr>
            <w:tcW w:w="0" w:type="dxa"/>
            <w:vAlign w:val="bottom"/>
          </w:tcPr>
          <w:p>
            <w:pPr>
              <w:spacing w:after="0"/>
              <w:rPr>
                <w:sz w:val="1"/>
                <w:szCs w:val="1"/>
                <w:color w:val="auto"/>
              </w:rPr>
            </w:pPr>
          </w:p>
        </w:tc>
      </w:tr>
      <w:tr>
        <w:trPr>
          <w:trHeight w:val="171"/>
        </w:trPr>
        <w:tc>
          <w:tcPr>
            <w:tcW w:w="828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Sq. Footage</w:t>
            </w:r>
          </w:p>
        </w:tc>
        <w:tc>
          <w:tcPr>
            <w:tcW w:w="54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80" w:type="dxa"/>
            <w:vAlign w:val="bottom"/>
          </w:tcPr>
          <w:p>
            <w:pPr>
              <w:spacing w:after="0" w:line="195" w:lineRule="exact"/>
              <w:rPr>
                <w:sz w:val="20"/>
                <w:szCs w:val="20"/>
                <w:color w:val="auto"/>
              </w:rPr>
            </w:pPr>
            <w:r>
              <w:rPr>
                <w:rFonts w:ascii="Arial" w:cs="Arial" w:eastAsia="Arial" w:hAnsi="Arial"/>
                <w:sz w:val="18"/>
                <w:szCs w:val="18"/>
                <w:color w:val="auto"/>
              </w:rPr>
              <w:t>Poway, California (1) (3) (5)</w:t>
            </w:r>
          </w:p>
        </w:tc>
        <w:tc>
          <w:tcPr>
            <w:tcW w:w="540" w:type="dxa"/>
            <w:vAlign w:val="bottom"/>
          </w:tcPr>
          <w:p>
            <w:pPr>
              <w:spacing w:after="0"/>
              <w:rPr>
                <w:sz w:val="16"/>
                <w:szCs w:val="16"/>
                <w:color w:val="auto"/>
              </w:rPr>
            </w:pPr>
          </w:p>
        </w:tc>
        <w:tc>
          <w:tcPr>
            <w:tcW w:w="1260" w:type="dxa"/>
            <w:vAlign w:val="bottom"/>
          </w:tcPr>
          <w:p>
            <w:pPr>
              <w:jc w:val="right"/>
              <w:ind w:right="262"/>
              <w:spacing w:after="0" w:line="195" w:lineRule="exact"/>
              <w:rPr>
                <w:sz w:val="20"/>
                <w:szCs w:val="20"/>
                <w:color w:val="auto"/>
              </w:rPr>
            </w:pPr>
            <w:r>
              <w:rPr>
                <w:rFonts w:ascii="Arial" w:cs="Arial" w:eastAsia="Arial" w:hAnsi="Arial"/>
                <w:sz w:val="18"/>
                <w:szCs w:val="18"/>
                <w:color w:val="auto"/>
              </w:rPr>
              <w:t>338,000</w:t>
            </w:r>
          </w:p>
        </w:tc>
        <w:tc>
          <w:tcPr>
            <w:tcW w:w="540" w:type="dxa"/>
            <w:vAlign w:val="bottom"/>
          </w:tcPr>
          <w:p>
            <w:pPr>
              <w:spacing w:after="0"/>
              <w:rPr>
                <w:sz w:val="16"/>
                <w:szCs w:val="16"/>
                <w:color w:val="auto"/>
              </w:rPr>
            </w:pPr>
          </w:p>
        </w:tc>
        <w:tc>
          <w:tcPr>
            <w:tcW w:w="800" w:type="dxa"/>
            <w:vAlign w:val="bottom"/>
          </w:tcPr>
          <w:p>
            <w:pPr>
              <w:spacing w:after="0" w:line="195" w:lineRule="exact"/>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Littleton, Massachusetts (1)</w:t>
            </w:r>
          </w:p>
        </w:tc>
        <w:tc>
          <w:tcPr>
            <w:tcW w:w="1800" w:type="dxa"/>
            <w:vAlign w:val="bottom"/>
            <w:gridSpan w:val="2"/>
          </w:tcPr>
          <w:p>
            <w:pPr>
              <w:jc w:val="right"/>
              <w:ind w:right="262"/>
              <w:spacing w:after="0"/>
              <w:rPr>
                <w:sz w:val="20"/>
                <w:szCs w:val="20"/>
                <w:color w:val="auto"/>
              </w:rPr>
            </w:pPr>
            <w:r>
              <w:rPr>
                <w:rFonts w:ascii="Arial" w:cs="Arial" w:eastAsia="Arial" w:hAnsi="Arial"/>
                <w:sz w:val="18"/>
                <w:szCs w:val="18"/>
                <w:color w:val="auto"/>
              </w:rPr>
              <w:t>102,000</w:t>
            </w:r>
          </w:p>
        </w:tc>
        <w:tc>
          <w:tcPr>
            <w:tcW w:w="54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Singapore (1)</w:t>
            </w:r>
          </w:p>
        </w:tc>
        <w:tc>
          <w:tcPr>
            <w:tcW w:w="1800" w:type="dxa"/>
            <w:vAlign w:val="bottom"/>
            <w:gridSpan w:val="2"/>
          </w:tcPr>
          <w:p>
            <w:pPr>
              <w:jc w:val="right"/>
              <w:ind w:right="262"/>
              <w:spacing w:after="0"/>
              <w:rPr>
                <w:sz w:val="20"/>
                <w:szCs w:val="20"/>
                <w:color w:val="auto"/>
              </w:rPr>
            </w:pPr>
            <w:r>
              <w:rPr>
                <w:rFonts w:ascii="Arial" w:cs="Arial" w:eastAsia="Arial" w:hAnsi="Arial"/>
                <w:sz w:val="18"/>
                <w:szCs w:val="18"/>
                <w:color w:val="auto"/>
              </w:rPr>
              <w:t>13,000</w:t>
            </w:r>
          </w:p>
        </w:tc>
        <w:tc>
          <w:tcPr>
            <w:tcW w:w="54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Calamba City, Laguna, Philippines (1)</w:t>
            </w:r>
          </w:p>
        </w:tc>
        <w:tc>
          <w:tcPr>
            <w:tcW w:w="1800" w:type="dxa"/>
            <w:vAlign w:val="bottom"/>
            <w:gridSpan w:val="2"/>
          </w:tcPr>
          <w:p>
            <w:pPr>
              <w:jc w:val="right"/>
              <w:ind w:right="262"/>
              <w:spacing w:after="0"/>
              <w:rPr>
                <w:sz w:val="20"/>
                <w:szCs w:val="20"/>
                <w:color w:val="auto"/>
              </w:rPr>
            </w:pPr>
            <w:r>
              <w:rPr>
                <w:rFonts w:ascii="Arial" w:cs="Arial" w:eastAsia="Arial" w:hAnsi="Arial"/>
                <w:sz w:val="18"/>
                <w:szCs w:val="18"/>
                <w:color w:val="auto"/>
              </w:rPr>
              <w:t>14,000</w:t>
            </w:r>
          </w:p>
        </w:tc>
        <w:tc>
          <w:tcPr>
            <w:tcW w:w="54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San Diego, California (2)</w:t>
            </w:r>
          </w:p>
        </w:tc>
        <w:tc>
          <w:tcPr>
            <w:tcW w:w="1800" w:type="dxa"/>
            <w:vAlign w:val="bottom"/>
            <w:gridSpan w:val="2"/>
          </w:tcPr>
          <w:p>
            <w:pPr>
              <w:jc w:val="right"/>
              <w:ind w:right="262"/>
              <w:spacing w:after="0"/>
              <w:rPr>
                <w:sz w:val="20"/>
                <w:szCs w:val="20"/>
                <w:color w:val="auto"/>
              </w:rPr>
            </w:pPr>
            <w:r>
              <w:rPr>
                <w:rFonts w:ascii="Arial" w:cs="Arial" w:eastAsia="Arial" w:hAnsi="Arial"/>
                <w:sz w:val="18"/>
                <w:szCs w:val="18"/>
                <w:color w:val="auto"/>
              </w:rPr>
              <w:t>57,000</w:t>
            </w:r>
          </w:p>
        </w:tc>
        <w:tc>
          <w:tcPr>
            <w:tcW w:w="54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Los Banos, California (4)</w:t>
            </w:r>
          </w:p>
        </w:tc>
        <w:tc>
          <w:tcPr>
            <w:tcW w:w="1800" w:type="dxa"/>
            <w:vAlign w:val="bottom"/>
            <w:gridSpan w:val="2"/>
          </w:tcPr>
          <w:p>
            <w:pPr>
              <w:jc w:val="right"/>
              <w:ind w:right="262"/>
              <w:spacing w:after="0"/>
              <w:rPr>
                <w:sz w:val="20"/>
                <w:szCs w:val="20"/>
                <w:color w:val="auto"/>
              </w:rPr>
            </w:pPr>
            <w:r>
              <w:rPr>
                <w:rFonts w:ascii="Arial" w:cs="Arial" w:eastAsia="Arial" w:hAnsi="Arial"/>
                <w:sz w:val="18"/>
                <w:szCs w:val="18"/>
                <w:color w:val="auto"/>
              </w:rPr>
              <w:t>23,000</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Television cameras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BMS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FRL</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11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 addition to the locations listed above, we lease other properties for sales and service offices in various locations including Austin, Texas; Santa Clara, California and Taipei, Taiwan. We believe our facilities are suitable for their respective uses and are adequate for our present needs.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are currently subject to various legal proceedings, lawsuits, examinations by various tax authorities and claims that have arisen in the ordinary course of our businesses. Although the outcome of these legal proceedings, claims and examinations cannot be predicted with certainty, we do not believe that any of these matters will have a material adverse effect on our financial position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National Market under the symbol “COHU”.</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high and low sales prices as reported on the Nasdaq National Market during the last two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2005</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2004</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color w:val="auto"/>
              </w:rPr>
              <w:t>High</w:t>
            </w:r>
          </w:p>
        </w:tc>
        <w:tc>
          <w:tcPr>
            <w:tcW w:w="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Low</w:t>
            </w:r>
          </w:p>
        </w:tc>
        <w:tc>
          <w:tcPr>
            <w:tcW w:w="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High</w:t>
            </w:r>
          </w:p>
        </w:tc>
        <w:tc>
          <w:tcPr>
            <w:tcW w:w="5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Low</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19.49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15.47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17.11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19.98</w:t>
            </w:r>
          </w:p>
        </w:tc>
        <w:tc>
          <w:tcPr>
            <w:tcW w:w="5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80"/>
              <w:spacing w:after="0"/>
              <w:rPr>
                <w:sz w:val="20"/>
                <w:szCs w:val="20"/>
                <w:color w:val="auto"/>
              </w:rPr>
            </w:pPr>
            <w:r>
              <w:rPr>
                <w:rFonts w:ascii="Arial" w:cs="Arial" w:eastAsia="Arial" w:hAnsi="Arial"/>
                <w:sz w:val="18"/>
                <w:szCs w:val="18"/>
                <w:color w:val="auto"/>
              </w:rPr>
              <w:t>14.81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19.89</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ind w:left="80"/>
              <w:spacing w:after="0"/>
              <w:rPr>
                <w:sz w:val="20"/>
                <w:szCs w:val="20"/>
                <w:color w:val="auto"/>
              </w:rPr>
            </w:pPr>
            <w:r>
              <w:rPr>
                <w:rFonts w:ascii="Arial" w:cs="Arial" w:eastAsia="Arial" w:hAnsi="Arial"/>
                <w:sz w:val="18"/>
                <w:szCs w:val="18"/>
                <w:color w:val="auto"/>
              </w:rPr>
              <w:t>17.10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25.91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19.20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20.60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13.69</w:t>
            </w: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27.39</w:t>
            </w:r>
          </w:p>
        </w:tc>
        <w:tc>
          <w:tcPr>
            <w:tcW w:w="5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ind w:left="80"/>
              <w:spacing w:after="0"/>
              <w:rPr>
                <w:sz w:val="20"/>
                <w:szCs w:val="20"/>
                <w:color w:val="auto"/>
              </w:rPr>
            </w:pPr>
            <w:r>
              <w:rPr>
                <w:rFonts w:ascii="Arial" w:cs="Arial" w:eastAsia="Arial" w:hAnsi="Arial"/>
                <w:sz w:val="18"/>
                <w:szCs w:val="18"/>
                <w:color w:val="auto"/>
              </w:rPr>
              <w:t>20.82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18.98</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ind w:left="80"/>
              <w:spacing w:after="0"/>
              <w:rPr>
                <w:sz w:val="20"/>
                <w:szCs w:val="20"/>
                <w:color w:val="auto"/>
              </w:rPr>
            </w:pPr>
            <w:r>
              <w:rPr>
                <w:rFonts w:ascii="Arial" w:cs="Arial" w:eastAsia="Arial" w:hAnsi="Arial"/>
                <w:sz w:val="18"/>
                <w:szCs w:val="18"/>
                <w:color w:val="auto"/>
              </w:rPr>
              <w:t>14.02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January 27, 2006, Cohu had 844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have paid consecutive quarterly dividends since 1977 and expect to continue doing so. The declaration and payment of future dividends are subject to the discretion of our Board of Directors and availability of cash resources. Cash dividends, per share, declared in fiscal 2004 and 2005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First quarter</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6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Third quarter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6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First quarter</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6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Third quarter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6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0" w:type="dxa"/>
            <w:vAlign w:val="bottom"/>
            <w:tcBorders>
              <w:bottom w:val="single" w:sz="8" w:color="auto"/>
            </w:tcBorders>
          </w:tcPr>
          <w:p>
            <w:pPr>
              <w:spacing w:after="0"/>
              <w:rPr>
                <w:sz w:val="19"/>
                <w:szCs w:val="19"/>
                <w:color w:val="auto"/>
              </w:rPr>
            </w:pP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to the information set forth in Item 12 of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following selected financial data should be read in conjunction with Cohu’s Consolidated Financial Statements and Notes thereto included in Item 8 and with Management’s Discussion and Analysis of Financial Condition and Results of Operations, included in Item 7. Amounts in 2001 have been impacted by the July, 2001 acquisition of Automated Systems.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2005</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2004</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2003</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2002</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2001</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200,774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145,398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111,414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104,262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19,287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16,220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Metal detection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6,324</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5,562</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6,694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5,228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5,370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Net sales for reportable segments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238,902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176,237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138,566</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134,720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Profit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34,982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19,676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(4,806)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(19,914)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Metal detection</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(2,679)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00"/>
              <w:spacing w:after="0"/>
              <w:rPr>
                <w:sz w:val="20"/>
                <w:szCs w:val="20"/>
                <w:color w:val="auto"/>
              </w:rPr>
            </w:pPr>
            <w:r>
              <w:rPr>
                <w:rFonts w:ascii="Arial" w:cs="Arial" w:eastAsia="Arial" w:hAnsi="Arial"/>
                <w:sz w:val="18"/>
                <w:szCs w:val="18"/>
                <w:color w:val="auto"/>
              </w:rPr>
              <w:t>Profit (loss) for reportable segments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33,635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16,909</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unallocated amounts: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Gain on sale of real property</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Investment impairment writedown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(2,869)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3,247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 amortization/writedown (1)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34,374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15,903</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33,974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Cash dividends per share, paid quarterly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0.22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consolidated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306,977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250,768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224,906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221,803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206,295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174,493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148,897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140,539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141,429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250,125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208,112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192,230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190,094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190,531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4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other intangible asset amortization or writedowns totaling $892, $550, $550 and $873 in 2005, 2004, 2003 and 2002, respectively, that is included in profit (loss) for reportable segments.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8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ind w:right="80"/>
        <w:spacing w:after="0" w:line="272" w:lineRule="auto"/>
        <w:rPr>
          <w:sz w:val="20"/>
          <w:szCs w:val="20"/>
          <w:color w:val="auto"/>
        </w:rPr>
      </w:pPr>
      <w:r>
        <w:rPr>
          <w:rFonts w:ascii="Arial" w:cs="Arial" w:eastAsia="Arial" w:hAnsi="Arial"/>
          <w:sz w:val="17"/>
          <w:szCs w:val="17"/>
          <w:color w:val="auto"/>
        </w:rPr>
        <w:t>Our primary business activity involves the development, manufacture, marketing, sale and servicing of test handling equipment for the global semiconductor industry. The sales of our products and services are dependent, to a large degree, on customers whose industries are subject to cyclical trends in the demand for their products. Shifts in the semiconductor, electronics, computer and telecommunications industries, as well as rapidly shifting global economic conditions, have had and will have significant impacts on our businesses. During the three-year period ended December 31, 2003, the semiconductor equipment industry experienced a severe business downturn. Our net sales during this period declined more than 50% from our record year in 2000. This decrease in revenue was generally comparable to most other companies in the semiconductor equipment industry, particularly the “back-end” semiconductor equipment companies that would be considered the closest to Cohu in terms of business cycles.</w:t>
      </w:r>
    </w:p>
    <w:p>
      <w:pPr>
        <w:spacing w:after="0" w:line="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the first six months of 2004, our semiconductor equipment business, as well as the semiconductor equipment industry generally, saw significantly improved order bookings and backlog, an indication that the severe three-year industry downturn had possibly ended. Additionally, our operating results improved during the period in part due to improved sales product mix resulting in a higher gross margin. However, our orders declined in the second half of 2004 and business conditions in the semiconductor equipment industry appeared to have weakened. During the year ended December 31, 2005, our semiconductor equipment business saw a significant increase in order bookings that accounted for our order growth, from $46.1 million in the fourth quarter of 2004 to $71.4 million in the fourth quarter of 2005, and our sales in each of the four quarters of 2005 increased from the fourth quarter of 2004. Our operating results also improved during 2005 in part due to continued favorable product mix with our advanced thermal systems accounting for a significant portion of our semiconductor equipment revenue.</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operating results in the last three years have been impacted by charges to cost of sales related to excess, obsolete and lower of cost or market inventory issues. These charges totaled approximately $16.6 million during the three-year period ended December 31, 2005 (approximately $6.2 million for the year ended December 31, 2005) and were primarily the result of decreases in customer forecasts, competitive conditions in the test handler industry and, to a lesser extent, changes in our sales product mix as a result of new product introductions. Exposures related to inventories are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Both R&amp;D and SG&amp;A expense increased in 2005, due to increased business volume and investment in development programs.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non-semiconductor equipment businesses have comprised approximately 20% of our revenues during the last three years. During 2005 we saw improved results in our metal detection and microwave communications businesses. The results of our television camera business deteriorated, primarily due to a decline in customer demand for our board-level cameras.</w:t>
      </w:r>
    </w:p>
    <w:p>
      <w:pPr>
        <w:spacing w:after="0" w:line="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Our financial condition is strong with significant cash and short-term investments and no long-term debt. During the three-year period ended December 31, 2005 we generated $24.8 million of net cash from operating activities and total cash and investments have increased from $107.2 million at December 31, 2002 to $138.9 million at December 31, 2005.</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management team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 (ii) inventory levels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related excess exposures typically based on the next twelve month’s forecast; (iii) gross margin and other operating expense trends; and (iv) industry data and trends noted in various publicly released sources. Due to the short-term nature of our order backlog that historically has represented about three months of business and the inherent volatility of the semiconductor equipment business, our past performance is frequently not indicative of future operating results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inventories, intangible assets, income taxes, warranty obligations and contingencies and litigation. We base our estimates on historical experience, forecasts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We believe the following critical accounting policies, that are more fully described in our Consolidated Financial Statements included in Item 15 of this Annual Report on Form 10-K, affect the significant judgments and estimates used in the preparation of our consolidated financial statements.</w:t>
      </w:r>
    </w:p>
    <w:p>
      <w:pPr>
        <w:spacing w:after="0" w:line="74"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We record valuation reserves on our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increases to inventory reserves may be required.</w:t>
      </w:r>
    </w:p>
    <w:p>
      <w:pPr>
        <w:spacing w:after="0" w:line="46"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estimate our liability for income taxes based on the various jurisdictions where we conduct business. This requires us to estimate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actual current tax 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reducing or increasing a valuation allowance in an accounting period results in an increase or decrease in tax expense in the statement of operations. We must make significant judgments to determine the provision for income taxes, deferred tax assets and liabilities and 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valuation allowance to be recorded against net deferred tax assets. Our gross deferred tax asset balance as of December 31, 2005 was $24.3 million, with a valuation allowance of $1.8 million. We recorded the valuation allowance in the fourth quarters of 2002 and 2003 as a result of losses and to reflect uncertainties concerning our ability to generate future taxable income and our corresponding ability to utilize our deferred tax assets. The deferred tax assets consist primarily of deductible temporary differences, tax credit and net operating loss carryforwards.</w:t>
      </w:r>
    </w:p>
    <w:p>
      <w:pPr>
        <w:spacing w:after="0" w:line="6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Intangible Assets: </w:t>
      </w:r>
      <w:r>
        <w:rPr>
          <w:rFonts w:ascii="Arial" w:cs="Arial" w:eastAsia="Arial" w:hAnsi="Arial"/>
          <w:sz w:val="17"/>
          <w:szCs w:val="17"/>
          <w:color w:val="auto"/>
        </w:rPr>
        <w:t>At December 31, 2005, intangible assets other than goodwill were evaluated for impairment using undiscounted cash flows expected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result from the use of the assets as required by FASB Statement No. 144, </w:t>
      </w:r>
      <w:r>
        <w:rPr>
          <w:rFonts w:ascii="Arial" w:cs="Arial" w:eastAsia="Arial" w:hAnsi="Arial"/>
          <w:sz w:val="17"/>
          <w:szCs w:val="17"/>
          <w:i w:val="1"/>
          <w:iCs w:val="1"/>
          <w:color w:val="auto"/>
        </w:rPr>
        <w:t>Accounting for the Impairment or Disposal of Long-Lived Assets</w:t>
      </w:r>
      <w:r>
        <w:rPr>
          <w:rFonts w:ascii="Arial" w:cs="Arial" w:eastAsia="Arial" w:hAnsi="Arial"/>
          <w:sz w:val="17"/>
          <w:szCs w:val="17"/>
          <w:color w:val="auto"/>
        </w:rPr>
        <w:t xml:space="preserve">, (“Statement No. 144”), and we concluded there was no impairment loss. We are required to assess goodwill impairment using the methodology prescribed by FASB Statement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(“Statement No. 142”). Statement No. 142 requires that goodwill be tested for impairment on an annual basis and more frequently in certain circumstances. The required annual goodwill impairment test is performed as of October 1</w:t>
      </w:r>
      <w:r>
        <w:rPr>
          <w:rFonts w:ascii="Arial" w:cs="Arial" w:eastAsia="Arial" w:hAnsi="Arial"/>
          <w:sz w:val="14"/>
          <w:szCs w:val="14"/>
          <w:color w:val="auto"/>
        </w:rPr>
        <w:t>st</w:t>
      </w:r>
      <w:r>
        <w:rPr>
          <w:rFonts w:ascii="Arial" w:cs="Arial" w:eastAsia="Arial" w:hAnsi="Arial"/>
          <w:sz w:val="17"/>
          <w:szCs w:val="17"/>
          <w:color w:val="auto"/>
        </w:rPr>
        <w:t xml:space="preserve"> of each year. We did not recognize any goodwill impairment as a result of performing this annual test in 2005.</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(“Statement No. 5”) we assess the likelihood that future events will confirm the existence of a loss or an impairment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If a loss or asset impairment is probable, as defined in Statement No. 5 and the amount of the loss or impairment is reasonably estimable, we accrue a charge to operations in the period such conditions become known.</w:t>
      </w:r>
    </w:p>
    <w:p>
      <w:pPr>
        <w:spacing w:after="0" w:line="7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In November 2005, the FASB issued FSP FAS 115-1,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The Meaning of Other-Than-Temporary Impairment and Its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Application to Certain Investments</w:t>
      </w:r>
      <w:r>
        <w:rPr>
          <w:rFonts w:ascii="Arial" w:cs="Arial" w:eastAsia="Arial" w:hAnsi="Arial"/>
          <w:sz w:val="16"/>
          <w:szCs w:val="16"/>
          <w:color w:val="auto"/>
        </w:rPr>
        <w:t>, (“FSP 115-1”), which provides guidance on determining when investments in certain debt and equity securities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impaired, whether that impairment is other-than-temporary and on measuring such impairment loss. FSP 115-1 also includes accounting considerations subsequent to the recognition of an other-than temporary impairment and requires certain disclosures about unrealized losses that have not been recognized as other-than-temporary impairments. FSP 115-1 is required to be applied to reporting periods beginning after December 15, 2005 and we will adopt FSP 115-1 during the first quarter of fiscal 2006. We are currently evaluating the effect that the adoption of FSP 115-1 will have on our consolidated results of operations and financial condition but we do not expect that it will have a material impact.</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May 2005, the FASB issued Statement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(“Statement No. 154”). This statement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and FASB Statement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and changes the requirements for the accounting for and reporting of a change in accounting principle. Statement No. 154 is effective for accounting changes and corrections of errors made in fiscal years beginning after December 15, 2005.</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December, 2004, the FASB issued Statement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(“Statement No. 123R”). Statement No. 123R addresses all forms of share-based payment awards, including shares issued under employee stock purchase plans, stock options, restricted stock and stock appreciation rights. Statement No. 123R will require that we expense share-based payment awards with compensation cost for share-based payment transactions measured at fair value. Statement No. 123R required certain companies to adopt the new accounting provisions beginning in 2005. However, on April 14, 2005, the Securities and Exchange Commission announced the adoption of a new rule that amends the compliance date of Statement No. 123R until the beginning of the next fiscal year that begins on or after June 15, 2005. As a result of the amendment, we will adopt Statement No. 123R using the modified prospective method on January 1, 2006. We are currently evaluating option valuation methodologies and assumptions in light of Statement No. 123R and the methodologies and assumptions we ultimately use may be different than those currently used. We expect that our adoption of Statement No. 123R will result in an impact to our operating results that is similar to our current pro forma disclosures under Statement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(“Statement No. 123”).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November, 2004, the FASB issued Statement No. 151, </w:t>
      </w:r>
      <w:r>
        <w:rPr>
          <w:rFonts w:ascii="Arial" w:cs="Arial" w:eastAsia="Arial" w:hAnsi="Arial"/>
          <w:sz w:val="16"/>
          <w:szCs w:val="16"/>
          <w:i w:val="1"/>
          <w:iCs w:val="1"/>
          <w:color w:val="auto"/>
        </w:rPr>
        <w:t>Inventory Costs</w:t>
      </w:r>
      <w:r>
        <w:rPr>
          <w:rFonts w:ascii="Arial" w:cs="Arial" w:eastAsia="Arial" w:hAnsi="Arial"/>
          <w:sz w:val="16"/>
          <w:szCs w:val="16"/>
          <w:color w:val="auto"/>
        </w:rPr>
        <w:t>, an amendment of ARB No. 43, (“Statement No. 151”), which is the result of efforts to converge U.S. accounting standards for inventories with International Accounting Standards. Statement No. 151 requires abnormal amounts of idle facility expenses, freight, handling costs, and wasted material (spoilage) costs to be recognized as current-period charges. It also requires that the allocation of fixed production overheads to the costs of conversion be based on the normal capacity of the production facilities. Statement No. 151 will be effective for inventory costs incurred during fiscal years beginning after June 15, 2005. We will adopt Statement No. 151 on January 1, 2006. We are currently evaluating the impact of Statement No. 151; however, we do not believe it will have a material impact on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as a percentage of net sales for the three-year period ended December 31,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2005</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2004</w:t>
            </w: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(60.0)</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(59.7)</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gridSpan w:val="3"/>
          </w:tcPr>
          <w:p>
            <w:pPr>
              <w:jc w:val="right"/>
              <w:ind w:right="780"/>
              <w:spacing w:after="0"/>
              <w:rPr>
                <w:sz w:val="20"/>
                <w:szCs w:val="20"/>
                <w:color w:val="auto"/>
              </w:rPr>
            </w:pPr>
            <w:r>
              <w:rPr>
                <w:rFonts w:ascii="Arial" w:cs="Arial" w:eastAsia="Arial" w:hAnsi="Arial"/>
                <w:sz w:val="18"/>
                <w:szCs w:val="18"/>
                <w:color w:val="auto"/>
              </w:rPr>
              <w:t>(12.5)</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(15.8)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(14.8)</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12.7%</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Compared to 2004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February 1, 2005, our Board of Directors approved a change in our fiscal year from December 31, to a 52-53 week fiscal year ending on the last Saturday of December. Our current fiscal year ended on December 31, 2005 and consisted of 52 weeks. Our fiscal year ended December 31, 2004 also consisted of 52 weeks.</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net sales increased 35.6% to $238.9 million in 2005, compared to net sales of $176.2 million in 2004. Sales of semiconductor test handling equipment in 2005 increased 38.1% from the 2004 period and accounted for 84% of consolidated net sales in 2005 versus 82% in 2004.</w:t>
      </w:r>
    </w:p>
    <w:p>
      <w:pPr>
        <w:spacing w:after="0" w:line="3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Sales of television cameras and other equipment accounted for 8% of net sales in 2005 and decreased 7.8% when compared to 2004, while the combined sales of metal detection and microwave equipment accounted for 8% of net sales in 2005 and increased 76.2% when compared to the comparable period in 2004.</w:t>
      </w:r>
    </w:p>
    <w:p>
      <w:pPr>
        <w:spacing w:after="0" w:line="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primary reason for the increase in sales of our semiconductor equipment business, during 2005, was strong customer demand for our advanced thermal semiconductor test handlers and, to a lesser extent, increased demand for our general purpose test handlers. During 2004 the net sales of our semiconductor equipment business benefited from the elimination of a $1.2 million liability for customer sales credits that expired. There were no sales credits eliminated during 2005.</w:t>
      </w:r>
    </w:p>
    <w:p>
      <w:pPr>
        <w:spacing w:after="0" w:line="79"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The decrease in sales experienced by our television camera business was primarily attributable to a decline in customer demand for our board level cameras partially offset by an increase in demand for our traffic and security cameras. The increase in sales of our metal detection business was primarily attributable to sales of our portable metal detection equipment and increased demand for our industrial metal detection products. During 2005 there was an increase in the sales by our microwave communications business. The increase was primarily attributable to new product offerings, increased demand from law enforcement agencies and the result of the timing of revenue recognition pursuant to accounting rules.</w:t>
      </w:r>
    </w:p>
    <w:p>
      <w:pPr>
        <w:spacing w:after="0" w:line="6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At December 31, 2005, we had deferred revenue totaling approximately $30.7 million and deferred profit of $13.8 million. At December 31, 2004, we had deferred revenue totaling approximately $22.5 million and deferred profit of $9.7 million. The increase in deferred revenue is primarily the result of additional revenue deferrals associated with Delta’s semiconductor equipment.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Gross margin as a percentage of net sales decreased to 40.0% in 2005 from 40.3% in 2004, primarily as a result of lower margins in our semiconductor equipment business. Within the semiconductor equipment segment, margins decreased slightly in 2005, primarily as a result of start-up costs associated with the KryoTech acquisition, selling price reductions on certain equipment, and increased overhead costs. We compute the majority of our excess and obsolete inventory reserve requirements using a one-year inventory usage forecast. During 2005 and 2004, we recorded net charges to cost of sales of approximately $6.2 million and $5.8 million, respectively, for excess and obsolete inventory. While we believe our reserves for excess and obsolete inventory and lower of cost or market concerns are adequate to cover our known exposures at December 31, 2005, reductions in customer forecasts or continued modifications to products, as a result of our failure to meet specifications or other customer requirements, will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74"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In 2003, we recorded a charge to cost of sales of approximately $1.7 million as a result of inventory market valuation writedowns. During 2004, we sold certain of this inventory and our gross margin was favorably impacted by approximately $1.3 million. There were no sales of this inventory during 2005.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R&amp;D expense as a percentage of net sales was 12.5% in 2005, compared to 15.8% in 2004, increasing in absolute dollars from $27.9 million in 2004 to</w:t>
      </w:r>
    </w:p>
    <w:p>
      <w:pPr>
        <w:spacing w:after="0" w:line="46"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$29.8 million in 2005. The increase in R&amp;D was primarily the result of higher R&amp;D labor and material costs for product development in our semiconductor equipment and microwave communication businesses, offset by minor decreases in expenditures in our television camera and metal detection businesses.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SG&amp;A expense as a percentage of net sales decreased to 14.8% in 2005, from 16.5% in 2004, increasing in absolute dollars from $29.1 million in 2004 to $35.3 million in 2005. The increase in SG&amp;A expense was primarily related to increased business volume including increases in headcount, sales commissions, bad debt expense and incentive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income was approximately $3.9 million and $1.9 million in 2005 and 2004, respectively. The increase in interest income resulted from an increase in our average cash and cash equivalents and investment balances and an increase in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provision (benefit) for income taxes expressed as a percentage of pre-tax income was 1.2% in 2005 and (5.0)% in 2004. The provision (benefit) for income taxes in 2005 and 2004, is lower than the U.S. federal statutory rate primarily due to reductions in the deferred tax asset valuation allowance, tax credits, export sales benefits and in 2005 the reversal of approximately $3.1 million in accrued income taxes related to a tax examination completed in March 2005.</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accordance with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(“Statement No. 109”), net deferred tax assets are reduced by a valuation allowance if, based on all the available evidence, it is more likely than not that some or all of the deferred tax assets will not be realized. A valuation allowance of approximately $1.8 million and $6.9 million was provided on deferred tax assets at December 31, 2005 and 2004, respectively. The amount of deferred tax assets considered realizable was determined based on (i) taxable income in prior carry 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Our business improved significantly in the second and third quarters of 2005 with orders increasing from $44.4 million in the first quarter of 2005 to</w:t>
      </w:r>
    </w:p>
    <w:p>
      <w:pPr>
        <w:spacing w:after="0" w:line="35"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$71.0 million and $72.7 million in the second and third quarters, respectively. This unanticipated increase in orders caused us to reassess our forecast of 2005 income that was used in evaluating the valuation allowance required at December 31, 2004. In accordance with Statement No. 109 we reduced the valuation allowance required at June 25, 2005 and September 24, 2005, resulting in a reduction of our effective tax rate in the second and third quarters of 2005.</w:t>
      </w:r>
    </w:p>
    <w:p>
      <w:pPr>
        <w:spacing w:after="0" w:line="2"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Statement No. 109 requires that the effect of this reduction in the valuation allowance be recorded by adjusting the effective tax rate used to estimate the tax provision recorded in subsequent interim periods of 2005. During the second, third, and fourth quarters of 2005 and year ended December 31, 2005, the valuation allowance was reduced by approximately $1.7 million, $1.6 million, $1.8 million and $5.1 million, respectively.</w:t>
      </w:r>
    </w:p>
    <w:p>
      <w:pPr>
        <w:spacing w:after="0" w:line="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remaining valuation allowance of approximately $1.8 million at December 31, 2005 is provided for state tax credit and net operating loss carryforwards that, in the opinion of management, are more likely than not to expire before we can use them.</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derived significant tax benefits from export sales. As a result of the American Jobs Creation Act of 2004, the export sales benefit derived from the Extraterritorial Income Exclusion (“ETI”) was repealed subject to a phase-out that limits the full tax benefit to 80% in 2005 and 60% in 2006. The ETI benefit was replaced with a deduction for domestic manufacturing activities subject to a phase-in beginning in 2005. The future tax benefits we derive from the domestic manufacturing deduction will likely be less than those from ETI.</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April 2003, our Broadcast Microwave Services subsidiary was awarded an $8.5 million contract from the United Arab Emirates (UAE) Armed Services to provide microwave communications equipment for a command center and infrastructure system for border security. The contract, which utilizes our most advanced microwave communications technology that has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we will recognize all revenue and related costs under this contract in the period the system is accepted by the customer. In the fourth quarter of 2005, BMS received notification that the customer had approved an amendment to the original contract increasing the total value of the contract to $8.9 million. Under the terms of the amendment BMS will provide certain additional equipment and services. Through December 31, 2005, we had shipped inventory with a sales value of $8.1 million and deferred costs of approximately $5.9 million resulting in deferred profit of approximately $2.2 million under the contract. In addition, at December 31, 2005 we had billed accounts receivable of approximately $0.1 million and unbilled accounts receivable of approximately $3.2 million. We have also provided the customer with a standby letter of credit totaling approximately $2.6 million at December 31, 2005, that may be drawn upon if BMS does not fulfill the terms of the contract. While customer acceptance and final contract payment has taken longer than anticipated, we believe that such acceptance and payment will be received. However, in the event BMS is unable to obtain customer acceptance of the system, the receivables may need to be written off and the customer might seek a refund of the $4.8 million in payments made under the contract, which could materially impact our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$34.0 million in 2005, compared to net income of $16.7 million in 2004.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Compared to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net sales increased 27% to $176.2 million in 2004, compared to net sales of $138.6 million in 2003. Sales of semiconductor test handling equipment in 2004 increased 31% from the 2003 period and accounted for 82% of consolidated net sales in 2004, versus 80% in 2003. The primary reason for the increase in sales of semiconductor equipment was an increase in customer demand for our products as the semiconductor industry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experienced strong business conditions during the first six months of 2004. Sales of television cameras and other equipment accounted for 11% of net sales in 2004 and increased 19% when compared to 2003, while the combined sales of metal detection and microwave equipment increased 6% from 2003. The increase in demand for our other, non-semiconductor equipment products can be attributed to increased sales of our products to the U.S. Government and greater demand for security related products during 2004.</w:t>
      </w:r>
    </w:p>
    <w:p>
      <w:pPr>
        <w:spacing w:after="0" w:line="7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At December 31, 2004, we had deferred revenue totaling approximately $22.5 million and deferred profit of $9.7 million. At December 31, 2003, we had deferred revenue totaling approximately $9.3 million and deferred profit of $4.1 million. The increase in deferred revenue is primarily the result of additional revenue deferrals associated with BMS’ contract with the United Arab Emirates and Delta’s semiconductor equipment.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Gross margin as a percentage of net sales increased to 40.3% in 2004 from 33.8% in 2003. During 2004 our gross margin was favorably impacted by improved product mix, increased business volume and manufacturing efficiencies. Our gross margin was also favorably impacted by $1.3 million from the sale of inventory which had previously been written down and the elimination of $1.2 million in accrued sales credits.</w:t>
      </w:r>
    </w:p>
    <w:p>
      <w:pPr>
        <w:spacing w:after="0" w:line="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both 2004 and 2003, our gross margin was negatively impacted by charges to cost of sales for excess and obsolete inventory. We compute the majority of our excess and obsolete inventory reserve requirements using a one-year inventory usage forecast. During 2004 and 2003, we recorded charges to cost of sales of approximately $5.8 million and $4.6 million, respectively, primarily as a result of declines in customer forecasts for certain products, lower of cost or market inventory writedowns and other business issues that negatively impacted our forecasted inventory usage.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R&amp;D as a percentage of net sales was 15.8% in 2004, compared to 17.8% in 2003, increasing in absolute dollars from $24.7 million in 2003, to $27.9 million in 2004. The increase in R&amp;D was primarily the result of increased R&amp;D material and labor costs for product development in our semiconductor equipment and television camera businesses.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SG&amp;A as a percentage of net sales decreased to 16.5% in 2004, from 18.2% in 2003, increasing in absolute dollars from $25.2 million in 2003 to</w:t>
      </w:r>
    </w:p>
    <w:p>
      <w:pPr>
        <w:spacing w:after="0" w:line="3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$29.1 million in 2004. The increase in SG&amp;A was due to, among other things, increased business volume, higher incentive compensation expenses and additional compliance costs associated with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was $1.9 million and $2.3 million in 2004 and 2003, respectively. The decrease in interest income was due to lower interest rates in 2004.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provision (benefit) for income taxes expressed as a percentage of pretax income (loss) was (5.0)% in 2004 and 101% in 2003. The provision (benefit) for income taxes differs from the U.S federal statutory rate primarily due to tax credits, export sales benefits, changes in the valuation allowance on deferred tax assets and settlement of prior period tax returns and adjustments to prior year tax accruals.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April 10, 2003, we announced that our Delta Design subsidiary was relocating its Littleton, Massachusetts operation to its facility in Poway, California. We recorded charges to operations in the years ended December 31, 2004 and 2003 totaling approximately $0.2 million and $0.9 million, respectively, for severance and other related exit costs.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December, 2002, we invested $2.5 million in KryoTech, Inc. preferred stock. In June, 2003, we wrote off the investment and recorded a $2.5 million charge as the investment was deemed impaired and such impairment was considered other than temporary, under the guidelines of APB No. 18, </w:t>
      </w:r>
      <w:r>
        <w:rPr>
          <w:rFonts w:ascii="Arial" w:cs="Arial" w:eastAsia="Arial" w:hAnsi="Arial"/>
          <w:sz w:val="18"/>
          <w:szCs w:val="18"/>
          <w:i w:val="1"/>
          <w:iCs w:val="1"/>
          <w:color w:val="auto"/>
        </w:rPr>
        <w:t>The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of Accounting for Investments in Common Stock</w:t>
      </w:r>
      <w:r>
        <w:rPr>
          <w:rFonts w:ascii="Arial" w:cs="Arial" w:eastAsia="Arial" w:hAnsi="Arial"/>
          <w:sz w:val="18"/>
          <w:szCs w:val="18"/>
          <w:color w:val="auto"/>
        </w:rPr>
        <w:t>, (“APB No. 18”).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April, 2003, our Delta Design subsidiary completed the relocation of its Columbus, Ohio operations to its facility in Poway, California. We recorded charges to operations in the year ended December 31, 2003, totaling $0.7 million for severance and one-time termination benefits and other related exit costs. This relocation was completed in 2003 and we did not record any additional charges during 2004.</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April 25, 2003, we sold twelve acres of land in Poway, California held for future development for $8.8 million in net cash proceeds resulting in a pretax gain of approximately $7.9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$16.7 million in 2004 compared to a net loss of $47,000 in 2003.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primary historical source of liquidity and capital resources is cash flow generated by our operations. While we maintain a credit facility, we have not used this as a source of cash. We use cash to fund growth in our operating assets, including accounts receivable and inventory, and to fund new products and product enhancements primarily through research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investments and working capital: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920" w:type="dxa"/>
            <w:vAlign w:val="bottom"/>
          </w:tcPr>
          <w:p>
            <w:pPr>
              <w:jc w:val="right"/>
              <w:ind w:right="199"/>
              <w:spacing w:after="0"/>
              <w:rPr>
                <w:sz w:val="20"/>
                <w:szCs w:val="20"/>
                <w:color w:val="auto"/>
              </w:rPr>
            </w:pPr>
            <w:r>
              <w:rPr>
                <w:rFonts w:ascii="Arial" w:cs="Arial" w:eastAsia="Arial" w:hAnsi="Arial"/>
                <w:sz w:val="14"/>
                <w:szCs w:val="14"/>
                <w:b w:val="1"/>
                <w:bCs w:val="1"/>
                <w:color w:val="auto"/>
              </w:rPr>
              <w:t>December 31,</w:t>
            </w:r>
          </w:p>
        </w:tc>
        <w:tc>
          <w:tcPr>
            <w:tcW w:w="1400" w:type="dxa"/>
            <w:vAlign w:val="bottom"/>
          </w:tcPr>
          <w:p>
            <w:pPr>
              <w:jc w:val="right"/>
              <w:ind w:right="219"/>
              <w:spacing w:after="0"/>
              <w:rPr>
                <w:sz w:val="20"/>
                <w:szCs w:val="20"/>
                <w:color w:val="auto"/>
              </w:rPr>
            </w:pPr>
            <w:r>
              <w:rPr>
                <w:rFonts w:ascii="Arial" w:cs="Arial" w:eastAsia="Arial" w:hAnsi="Arial"/>
                <w:sz w:val="14"/>
                <w:szCs w:val="14"/>
                <w:color w:val="auto"/>
              </w:rPr>
              <w:t>December 31,</w:t>
            </w:r>
          </w:p>
        </w:tc>
        <w:tc>
          <w:tcPr>
            <w:tcW w:w="1340" w:type="dxa"/>
            <w:vAlign w:val="bottom"/>
          </w:tcPr>
          <w:p>
            <w:pPr>
              <w:spacing w:after="0"/>
              <w:rPr>
                <w:sz w:val="14"/>
                <w:szCs w:val="14"/>
                <w:color w:val="auto"/>
              </w:rPr>
            </w:pPr>
          </w:p>
        </w:tc>
        <w:tc>
          <w:tcPr>
            <w:tcW w:w="1120" w:type="dxa"/>
            <w:vAlign w:val="bottom"/>
          </w:tcPr>
          <w:p>
            <w:pPr>
              <w:jc w:val="right"/>
              <w:ind w:right="19"/>
              <w:spacing w:after="0"/>
              <w:rPr>
                <w:sz w:val="20"/>
                <w:szCs w:val="20"/>
                <w:color w:val="auto"/>
              </w:rPr>
            </w:pPr>
            <w:r>
              <w:rPr>
                <w:rFonts w:ascii="Arial" w:cs="Arial" w:eastAsia="Arial" w:hAnsi="Arial"/>
                <w:sz w:val="14"/>
                <w:szCs w:val="14"/>
                <w:color w:val="auto"/>
              </w:rPr>
              <w:t>Percentage</w:t>
            </w:r>
          </w:p>
        </w:tc>
      </w:tr>
      <w:tr>
        <w:trPr>
          <w:trHeight w:val="171"/>
        </w:trPr>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9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2005</w:t>
            </w: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2004</w:t>
            </w:r>
          </w:p>
        </w:tc>
        <w:tc>
          <w:tcPr>
            <w:tcW w:w="13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Increase</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Change</w:t>
            </w:r>
          </w:p>
        </w:tc>
      </w:tr>
      <w:tr>
        <w:trPr>
          <w:trHeight w:val="191"/>
        </w:trPr>
        <w:tc>
          <w:tcPr>
            <w:tcW w:w="4640" w:type="dxa"/>
            <w:vAlign w:val="bottom"/>
          </w:tcPr>
          <w:p>
            <w:pPr>
              <w:spacing w:after="0" w:line="191" w:lineRule="exact"/>
              <w:rPr>
                <w:sz w:val="20"/>
                <w:szCs w:val="20"/>
                <w:color w:val="auto"/>
              </w:rPr>
            </w:pPr>
            <w:r>
              <w:rPr>
                <w:rFonts w:ascii="Arial" w:cs="Arial" w:eastAsia="Arial" w:hAnsi="Arial"/>
                <w:sz w:val="18"/>
                <w:szCs w:val="18"/>
                <w:color w:val="auto"/>
              </w:rPr>
              <w:t>Cash, cash equivalents and investments</w:t>
            </w:r>
          </w:p>
        </w:tc>
        <w:tc>
          <w:tcPr>
            <w:tcW w:w="2920" w:type="dxa"/>
            <w:vAlign w:val="bottom"/>
          </w:tcPr>
          <w:p>
            <w:pPr>
              <w:jc w:val="right"/>
              <w:ind w:right="319"/>
              <w:spacing w:after="0" w:line="191" w:lineRule="exact"/>
              <w:rPr>
                <w:sz w:val="20"/>
                <w:szCs w:val="20"/>
                <w:color w:val="auto"/>
              </w:rPr>
            </w:pPr>
            <w:r>
              <w:rPr>
                <w:rFonts w:ascii="Arial" w:cs="Arial" w:eastAsia="Arial" w:hAnsi="Arial"/>
                <w:sz w:val="18"/>
                <w:szCs w:val="18"/>
                <w:b w:val="1"/>
                <w:bCs w:val="1"/>
                <w:color w:val="auto"/>
              </w:rPr>
              <w:t>$ 138,949</w:t>
            </w:r>
          </w:p>
        </w:tc>
        <w:tc>
          <w:tcPr>
            <w:tcW w:w="1400" w:type="dxa"/>
            <w:vAlign w:val="bottom"/>
          </w:tcPr>
          <w:p>
            <w:pPr>
              <w:jc w:val="right"/>
              <w:ind w:right="319"/>
              <w:spacing w:after="0" w:line="191" w:lineRule="exact"/>
              <w:rPr>
                <w:sz w:val="20"/>
                <w:szCs w:val="20"/>
                <w:color w:val="auto"/>
              </w:rPr>
            </w:pPr>
            <w:r>
              <w:rPr>
                <w:rFonts w:ascii="Arial" w:cs="Arial" w:eastAsia="Arial" w:hAnsi="Arial"/>
                <w:sz w:val="18"/>
                <w:szCs w:val="18"/>
                <w:color w:val="auto"/>
              </w:rPr>
              <w:t>$ 116,511</w:t>
            </w:r>
          </w:p>
        </w:tc>
        <w:tc>
          <w:tcPr>
            <w:tcW w:w="1340" w:type="dxa"/>
            <w:vAlign w:val="bottom"/>
          </w:tcPr>
          <w:p>
            <w:pPr>
              <w:jc w:val="right"/>
              <w:ind w:right="316"/>
              <w:spacing w:after="0" w:line="191" w:lineRule="exact"/>
              <w:rPr>
                <w:sz w:val="20"/>
                <w:szCs w:val="20"/>
                <w:color w:val="auto"/>
              </w:rPr>
            </w:pPr>
            <w:r>
              <w:rPr>
                <w:rFonts w:ascii="Arial" w:cs="Arial" w:eastAsia="Arial" w:hAnsi="Arial"/>
                <w:sz w:val="18"/>
                <w:szCs w:val="18"/>
                <w:color w:val="auto"/>
              </w:rPr>
              <w:t>$ 22,438</w:t>
            </w:r>
          </w:p>
        </w:tc>
        <w:tc>
          <w:tcPr>
            <w:tcW w:w="1120" w:type="dxa"/>
            <w:vAlign w:val="bottom"/>
          </w:tcPr>
          <w:p>
            <w:pPr>
              <w:jc w:val="right"/>
              <w:spacing w:after="0" w:line="191" w:lineRule="exact"/>
              <w:rPr>
                <w:sz w:val="20"/>
                <w:szCs w:val="20"/>
                <w:color w:val="auto"/>
              </w:rPr>
            </w:pPr>
            <w:r>
              <w:rPr>
                <w:rFonts w:ascii="Arial" w:cs="Arial" w:eastAsia="Arial" w:hAnsi="Arial"/>
                <w:sz w:val="18"/>
                <w:szCs w:val="18"/>
                <w:color w:val="auto"/>
              </w:rPr>
              <w:t>19.3%</w:t>
            </w:r>
          </w:p>
        </w:tc>
      </w:tr>
      <w:tr>
        <w:trPr>
          <w:trHeight w:val="234"/>
        </w:trPr>
        <w:tc>
          <w:tcPr>
            <w:tcW w:w="4640" w:type="dxa"/>
            <w:vAlign w:val="bottom"/>
          </w:tcPr>
          <w:p>
            <w:pPr>
              <w:spacing w:after="0"/>
              <w:rPr>
                <w:sz w:val="20"/>
                <w:szCs w:val="20"/>
                <w:color w:val="auto"/>
              </w:rPr>
            </w:pPr>
            <w:r>
              <w:rPr>
                <w:rFonts w:ascii="Arial" w:cs="Arial" w:eastAsia="Arial" w:hAnsi="Arial"/>
                <w:sz w:val="18"/>
                <w:szCs w:val="18"/>
                <w:color w:val="auto"/>
              </w:rPr>
              <w:t>Working capital</w:t>
            </w:r>
          </w:p>
        </w:tc>
        <w:tc>
          <w:tcPr>
            <w:tcW w:w="2920" w:type="dxa"/>
            <w:vAlign w:val="bottom"/>
          </w:tcPr>
          <w:p>
            <w:pPr>
              <w:jc w:val="right"/>
              <w:ind w:right="319"/>
              <w:spacing w:after="0"/>
              <w:rPr>
                <w:sz w:val="20"/>
                <w:szCs w:val="20"/>
                <w:color w:val="auto"/>
              </w:rPr>
            </w:pPr>
            <w:r>
              <w:rPr>
                <w:rFonts w:ascii="Arial" w:cs="Arial" w:eastAsia="Arial" w:hAnsi="Arial"/>
                <w:sz w:val="18"/>
                <w:szCs w:val="18"/>
                <w:b w:val="1"/>
                <w:bCs w:val="1"/>
                <w:color w:val="auto"/>
              </w:rPr>
              <w:t>206,295</w:t>
            </w:r>
          </w:p>
        </w:tc>
        <w:tc>
          <w:tcPr>
            <w:tcW w:w="1400" w:type="dxa"/>
            <w:vAlign w:val="bottom"/>
          </w:tcPr>
          <w:p>
            <w:pPr>
              <w:jc w:val="right"/>
              <w:ind w:right="319"/>
              <w:spacing w:after="0"/>
              <w:rPr>
                <w:sz w:val="20"/>
                <w:szCs w:val="20"/>
                <w:color w:val="auto"/>
              </w:rPr>
            </w:pPr>
            <w:r>
              <w:rPr>
                <w:rFonts w:ascii="Arial" w:cs="Arial" w:eastAsia="Arial" w:hAnsi="Arial"/>
                <w:sz w:val="18"/>
                <w:szCs w:val="18"/>
                <w:color w:val="auto"/>
              </w:rPr>
              <w:t>174,493</w:t>
            </w: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31,802</w:t>
            </w: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Our net cash provided from operating activities in 2005 totaled $28.5 million. The major components of cash flows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activities, net of the effects of the KryoTech acquisition, were net income of $34.0 million and depreciation and amortization of $5.8 million, offset by the net change in current assets and liabilities. The net change in current assets and liabilities included an increase in accounts receivable and inventories of $14.4 million and $4.3 million, respectively. The increase in accounts receivable was primarily attributable to the increased sales during 2005. Day’s sales outstanding at December 31, 2005, calculated based on revenue for the most recent quarter and accounts receivable as of the balance sheet date, was 57 days. Purchases of inventory were primarily made to support increased customer demand for products in our semiconductor equipment and microwave communication businesses.</w:t>
      </w:r>
    </w:p>
    <w:p>
      <w:pPr>
        <w:spacing w:after="0" w:line="81"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Our net cash used for investing activities in 2005 totaled $55.1 million and was primarily the result of $130.1 million cash used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purchases of short-term investments, partially offset by $86.7 million in net proceeds from sales and maturities of short-term investments. Our cash expenditures for capital and intangible assets, in fiscal 2005 were $11.7 million and included the purchase of KryoTech assets for $2.9 million, the acquisition of other intangible assets for $5.0 million and purchases of property, plant and equipment of $3.8 million. The acquisition of KryoTech and other intangible assets were strategic transactions to strengthen the portfolio of intellectual property, patents and know-how within our semiconductor equipment business. The purchases of property, plant and equipment were primarily made to support activities in our semiconductor equipment business and consisted primarily of software and equipment used in engineering, manufacturing and related functions.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Our net cash provided from financing activities in 2005 totaled $5.7 million and included $10.3 million received from the issuance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relating to our employee equity plans, offset by $4.6 million for the payment of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June 2005, we renewed our $5.0 million unsecured bank line of credit bearing interest at the bank’s prime rate. The line of credit will expire in July, 2006, and requires that we maintain specified minimum levels of net worth, limits the amount of our capital expenditures and requires us to meet certain other financial covenants. We are currently in compliance with these covenants. No borrowings were outstanding at December 31, 2005; however, $2.6 million of the credit facility was allocated to standby letters of credit at December 31, 2005, leaving the balance of $2.4 million available for future borrowings.</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t>
      </w:r>
      <w:r>
        <w:rPr>
          <w:rFonts w:ascii="Arial" w:cs="Arial" w:eastAsia="Arial" w:hAnsi="Arial"/>
          <w:sz w:val="18"/>
          <w:szCs w:val="18"/>
          <w:b w:val="1"/>
          <w:bCs w:val="1"/>
          <w:i w:val="1"/>
          <w:iCs w:val="1"/>
          <w:color w:val="auto"/>
        </w:rPr>
        <w:t>ntractual Obligations</w:t>
      </w:r>
    </w:p>
    <w:p>
      <w:pPr>
        <w:spacing w:after="0" w:line="121"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following table summarizes our significant contractual obligations at December 31, 2005, and the effect such obligations are expected to have on our liquidity and cash flows in future periods. This table excludes amounts already recorded on our balance sheet as current liabilities at December 31, 2005.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7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2006</w:t>
            </w: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2007</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2008</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2010</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Total</w:t>
            </w:r>
          </w:p>
        </w:tc>
      </w:tr>
      <w:tr>
        <w:trPr>
          <w:trHeight w:val="128"/>
        </w:trPr>
        <w:tc>
          <w:tcPr>
            <w:tcW w:w="3080" w:type="dxa"/>
            <w:vAlign w:val="bottom"/>
          </w:tcPr>
          <w:p>
            <w:pPr>
              <w:spacing w:after="0" w:line="128" w:lineRule="exact"/>
              <w:rPr>
                <w:sz w:val="20"/>
                <w:szCs w:val="20"/>
                <w:color w:val="auto"/>
              </w:rPr>
            </w:pPr>
            <w:r>
              <w:rPr>
                <w:rFonts w:ascii="Arial" w:cs="Arial" w:eastAsia="Arial" w:hAnsi="Arial"/>
                <w:sz w:val="14"/>
                <w:szCs w:val="14"/>
                <w:i w:val="1"/>
                <w:iCs w:val="1"/>
                <w:color w:val="auto"/>
              </w:rPr>
              <w:t>(in thousands)</w:t>
            </w:r>
          </w:p>
        </w:tc>
        <w:tc>
          <w:tcPr>
            <w:tcW w:w="1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Non-cancelable operating leases</w:t>
            </w:r>
          </w:p>
        </w:tc>
        <w:tc>
          <w:tcPr>
            <w:tcW w:w="1780" w:type="dxa"/>
            <w:vAlign w:val="bottom"/>
          </w:tcPr>
          <w:p>
            <w:pPr>
              <w:jc w:val="right"/>
              <w:ind w:right="279"/>
              <w:spacing w:after="0"/>
              <w:rPr>
                <w:sz w:val="20"/>
                <w:szCs w:val="20"/>
                <w:color w:val="auto"/>
              </w:rPr>
            </w:pPr>
            <w:r>
              <w:rPr>
                <w:rFonts w:ascii="Arial" w:cs="Arial" w:eastAsia="Arial" w:hAnsi="Arial"/>
                <w:sz w:val="18"/>
                <w:szCs w:val="18"/>
                <w:color w:val="auto"/>
              </w:rPr>
              <w:t>$  1,312</w:t>
            </w:r>
          </w:p>
        </w:tc>
        <w:tc>
          <w:tcPr>
            <w:tcW w:w="1380" w:type="dxa"/>
            <w:vAlign w:val="bottom"/>
          </w:tcPr>
          <w:p>
            <w:pPr>
              <w:jc w:val="right"/>
              <w:ind w:right="259"/>
              <w:spacing w:after="0"/>
              <w:rPr>
                <w:sz w:val="20"/>
                <w:szCs w:val="20"/>
                <w:color w:val="auto"/>
              </w:rPr>
            </w:pPr>
            <w:r>
              <w:rPr>
                <w:rFonts w:ascii="Arial" w:cs="Arial" w:eastAsia="Arial" w:hAnsi="Arial"/>
                <w:sz w:val="18"/>
                <w:szCs w:val="18"/>
                <w:color w:val="auto"/>
              </w:rPr>
              <w:t>$  1,159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9"/>
              <w:spacing w:after="0"/>
              <w:rPr>
                <w:sz w:val="20"/>
                <w:szCs w:val="20"/>
                <w:color w:val="auto"/>
              </w:rPr>
            </w:pPr>
            <w:r>
              <w:rPr>
                <w:rFonts w:ascii="Arial" w:cs="Arial" w:eastAsia="Arial" w:hAnsi="Arial"/>
                <w:sz w:val="18"/>
                <w:szCs w:val="18"/>
                <w:color w:val="auto"/>
              </w:rPr>
              <w:t>862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9"/>
              <w:spacing w:after="0"/>
              <w:rPr>
                <w:sz w:val="20"/>
                <w:szCs w:val="20"/>
                <w:color w:val="auto"/>
              </w:rPr>
            </w:pPr>
            <w:r>
              <w:rPr>
                <w:rFonts w:ascii="Arial" w:cs="Arial" w:eastAsia="Arial" w:hAnsi="Arial"/>
                <w:sz w:val="18"/>
                <w:szCs w:val="18"/>
                <w:color w:val="auto"/>
              </w:rPr>
              <w:t>16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9"/>
              <w:spacing w:after="0"/>
              <w:rPr>
                <w:sz w:val="20"/>
                <w:szCs w:val="20"/>
                <w:color w:val="auto"/>
              </w:rPr>
            </w:pPr>
            <w:r>
              <w:rPr>
                <w:rFonts w:ascii="Arial" w:cs="Arial" w:eastAsia="Arial" w:hAnsi="Arial"/>
                <w:sz w:val="18"/>
                <w:szCs w:val="18"/>
                <w:color w:val="auto"/>
              </w:rPr>
              <w:t>17</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  3,366</w:t>
            </w:r>
          </w:p>
        </w:tc>
      </w:tr>
    </w:tbl>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Purchase Commitments: </w:t>
      </w:r>
      <w:r>
        <w:rPr>
          <w:rFonts w:ascii="Arial" w:cs="Arial" w:eastAsia="Arial" w:hAnsi="Arial"/>
          <w:sz w:val="17"/>
          <w:szCs w:val="17"/>
          <w:color w:val="auto"/>
        </w:rPr>
        <w:t>From time to time, we enter into commitments with our vendors to purchase inventory at fixed prices or in guaranteed quantities.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December 31, 2005, the maximum potential amount of future payments that we could be required to make under these standby letters of credit was approximately $2.6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December 31, 2005, our investment portfolio included short-term, fixed-income investment securities with a fair value of approximately $100.2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21" w:lineRule="exact"/>
        <w:rPr>
          <w:sz w:val="20"/>
          <w:szCs w:val="20"/>
          <w:color w:val="auto"/>
        </w:rPr>
      </w:pPr>
    </w:p>
    <w:p>
      <w:pPr>
        <w:ind w:right="394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Conclusion Regarding the Effectiveness of Disclosure Controls and Procedures — </w:t>
      </w:r>
      <w:r>
        <w:rPr>
          <w:rFonts w:ascii="Arial" w:cs="Arial" w:eastAsia="Arial" w:hAnsi="Arial"/>
          <w:sz w:val="18"/>
          <w:szCs w:val="18"/>
          <w:color w:val="auto"/>
        </w:rPr>
        <w:t>Under the supervision and with the participation of our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31, 2005, the end of the period covered by this annual report.</w:t>
      </w:r>
    </w:p>
    <w:p>
      <w:pPr>
        <w:spacing w:after="0" w:line="76"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Management’s Report on Internal Control Over Financial Reporting — </w:t>
      </w:r>
      <w:r>
        <w:rPr>
          <w:rFonts w:ascii="Arial" w:cs="Arial" w:eastAsia="Arial" w:hAnsi="Arial"/>
          <w:sz w:val="17"/>
          <w:szCs w:val="17"/>
          <w:color w:val="auto"/>
        </w:rPr>
        <w:t>Our management is responsible for establishing and maintaining adequate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our management concluded that our internal control over financial reporting was effective as of December 31, 2005.</w:t>
      </w:r>
    </w:p>
    <w:p>
      <w:pPr>
        <w:spacing w:after="0" w:line="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Our management’s assessment of the effectiveness of our internal control over financial reporting as of December 31, 2005 has been audited by Ernst &amp; Young LLP, the independent registered public accounting firm that audited our financial statements included in this annual report, as stated in their report which is included herein.</w:t>
      </w:r>
    </w:p>
    <w:p>
      <w:pPr>
        <w:spacing w:after="0" w:line="69"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Changes in Internal Control Over Financial Reporting — </w:t>
      </w:r>
      <w:r>
        <w:rPr>
          <w:rFonts w:ascii="Arial" w:cs="Arial" w:eastAsia="Arial" w:hAnsi="Arial"/>
          <w:sz w:val="16"/>
          <w:szCs w:val="16"/>
          <w:color w:val="auto"/>
        </w:rPr>
        <w:t>There have been no changes in our internal control over financial reporting that occurred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fourth quarter of fiscal 2005 that have materially affected, or are reasonably likely to materially affect, our internal control over financial reporting.</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 Over Financial Reporting, that Cohu, Inc. maintained effective internal control over financial reporting as of December 31, 2005, based on criteria established in Internal Control-Integrated Framework issued by the Committee of Sponsoring Organizations of the Treadway Commission (the COSO criteria). Cohu,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management’s assessment that Cohu, Inc. maintained effective internal control over financial reporting as of December 31, 2005, is fairly stated, in all material respects, based on the COSO criteria. Also, in our opinion, Cohu, Inc. maintained, in all material respects, effective internal control over financial reporting as of December 31, 2005, based on the COSO criteria.</w:t>
      </w:r>
    </w:p>
    <w:p>
      <w:pPr>
        <w:spacing w:after="0" w:line="7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Cohu, Inc. as of December 31, 2005 and 2004, and the related consolidated statements of operations, stockholders’ equity, and cash flows for each of the three years in the period ended December 31, 2005, and our report dated February 16, 2006 expressed an unqualified opinion thereon.</w:t>
      </w:r>
    </w:p>
    <w:p>
      <w:pPr>
        <w:spacing w:after="0" w:line="3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2006</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Information regarding directors of Cohu is set forth under “Election Of Directors” and “Board Of Directors And Committees” in Cohu’s Proxy Statement for the 2006 Annual Meeting of Stockholders (“the Proxy Statement”), which information is incorporated herein by reference. Information concerning our executive officers is included in Part I of this report. Information in the Proxy Statement under “Code Of Business Conduct And Ethics” and “Section 16(a) Beneficial Ownership Reporting Compliance” is also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Information regarding compensation of our executive officers and directors and certain other information is set forth in the Proxy Statement under “Board Of Directors And Committees”, “Compensation Of Executive Officers And Other Information”, “Compensation Committee Interlocks And Insider Participation”, “Compensation Committee Report” and “Comparative Stock Performance Graph”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Information regarding security ownership of certain beneficial owners and management is set forth in the Proxy Statement under “Security Ownership Of Certain Beneficial Owners And Management” and is incorporated herein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with respect to options under Cohu’s equity compensation plans at December 31,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center"/>
              <w:ind w:left="163"/>
              <w:spacing w:after="0"/>
              <w:rPr>
                <w:sz w:val="20"/>
                <w:szCs w:val="20"/>
                <w:color w:val="auto"/>
              </w:rPr>
            </w:pPr>
            <w:r>
              <w:rPr>
                <w:rFonts w:ascii="Arial" w:cs="Arial" w:eastAsia="Arial" w:hAnsi="Arial"/>
                <w:sz w:val="14"/>
                <w:szCs w:val="14"/>
                <w:color w:val="auto"/>
                <w:w w:val="93"/>
              </w:rPr>
              <w:t>Number of securities</w:t>
            </w:r>
          </w:p>
        </w:tc>
      </w:tr>
      <w:tr>
        <w:trPr>
          <w:trHeight w:val="149"/>
        </w:trPr>
        <w:tc>
          <w:tcPr>
            <w:tcW w:w="5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5"/>
              </w:rPr>
              <w:t>available for future</w:t>
            </w:r>
          </w:p>
        </w:tc>
      </w:tr>
      <w:tr>
        <w:trPr>
          <w:trHeight w:val="149"/>
        </w:trPr>
        <w:tc>
          <w:tcPr>
            <w:tcW w:w="5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jc w:val="center"/>
              <w:ind w:right="185"/>
              <w:spacing w:after="0" w:line="149" w:lineRule="exact"/>
              <w:rPr>
                <w:sz w:val="20"/>
                <w:szCs w:val="20"/>
                <w:color w:val="auto"/>
              </w:rPr>
            </w:pPr>
            <w:r>
              <w:rPr>
                <w:rFonts w:ascii="Arial" w:cs="Arial" w:eastAsia="Arial" w:hAnsi="Arial"/>
                <w:sz w:val="14"/>
                <w:szCs w:val="14"/>
                <w:color w:val="auto"/>
                <w:w w:val="93"/>
              </w:rPr>
              <w:t>Number of securities</w:t>
            </w: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Weighted average</w:t>
            </w:r>
          </w:p>
        </w:tc>
        <w:tc>
          <w:tcPr>
            <w:tcW w:w="152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1"/>
              </w:rPr>
              <w:t>issuance under equity</w:t>
            </w:r>
          </w:p>
        </w:tc>
      </w:tr>
      <w:tr>
        <w:trPr>
          <w:trHeight w:val="149"/>
        </w:trPr>
        <w:tc>
          <w:tcPr>
            <w:tcW w:w="5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jc w:val="center"/>
              <w:ind w:right="185"/>
              <w:spacing w:after="0" w:line="149" w:lineRule="exact"/>
              <w:rPr>
                <w:sz w:val="20"/>
                <w:szCs w:val="20"/>
                <w:color w:val="auto"/>
              </w:rPr>
            </w:pPr>
            <w:r>
              <w:rPr>
                <w:rFonts w:ascii="Arial" w:cs="Arial" w:eastAsia="Arial" w:hAnsi="Arial"/>
                <w:sz w:val="14"/>
                <w:szCs w:val="14"/>
                <w:color w:val="auto"/>
                <w:w w:val="90"/>
              </w:rPr>
              <w:t>to be issued upon</w:t>
            </w: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exercise price of</w:t>
            </w:r>
          </w:p>
        </w:tc>
        <w:tc>
          <w:tcPr>
            <w:tcW w:w="152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1"/>
              </w:rPr>
              <w:t>compensation plans</w:t>
            </w:r>
          </w:p>
        </w:tc>
      </w:tr>
      <w:tr>
        <w:trPr>
          <w:trHeight w:val="149"/>
        </w:trPr>
        <w:tc>
          <w:tcPr>
            <w:tcW w:w="5520" w:type="dxa"/>
            <w:vAlign w:val="bottom"/>
          </w:tcPr>
          <w:p>
            <w:pPr>
              <w:spacing w:after="0"/>
              <w:rPr>
                <w:sz w:val="12"/>
                <w:szCs w:val="12"/>
                <w:color w:val="auto"/>
              </w:rPr>
            </w:pPr>
          </w:p>
        </w:tc>
        <w:tc>
          <w:tcPr>
            <w:tcW w:w="2740" w:type="dxa"/>
            <w:vAlign w:val="bottom"/>
            <w:gridSpan w:val="2"/>
          </w:tcPr>
          <w:p>
            <w:pPr>
              <w:jc w:val="center"/>
              <w:ind w:left="836"/>
              <w:spacing w:after="0" w:line="149" w:lineRule="exact"/>
              <w:rPr>
                <w:sz w:val="20"/>
                <w:szCs w:val="20"/>
                <w:color w:val="auto"/>
              </w:rPr>
            </w:pPr>
            <w:r>
              <w:rPr>
                <w:rFonts w:ascii="Arial" w:cs="Arial" w:eastAsia="Arial" w:hAnsi="Arial"/>
                <w:sz w:val="14"/>
                <w:szCs w:val="14"/>
                <w:color w:val="auto"/>
                <w:w w:val="93"/>
              </w:rPr>
              <w:t>exercise of outstanding</w:t>
            </w:r>
          </w:p>
        </w:tc>
        <w:tc>
          <w:tcPr>
            <w:tcW w:w="1640" w:type="dxa"/>
            <w:vAlign w:val="bottom"/>
            <w:gridSpan w:val="2"/>
          </w:tcPr>
          <w:p>
            <w:pPr>
              <w:jc w:val="right"/>
              <w:ind w:right="154"/>
              <w:spacing w:after="0" w:line="149" w:lineRule="exact"/>
              <w:rPr>
                <w:sz w:val="20"/>
                <w:szCs w:val="20"/>
                <w:color w:val="auto"/>
              </w:rPr>
            </w:pPr>
            <w:r>
              <w:rPr>
                <w:rFonts w:ascii="Arial" w:cs="Arial" w:eastAsia="Arial" w:hAnsi="Arial"/>
                <w:sz w:val="14"/>
                <w:szCs w:val="14"/>
                <w:color w:val="auto"/>
              </w:rPr>
              <w:t>outstanding options,</w:t>
            </w:r>
          </w:p>
        </w:tc>
        <w:tc>
          <w:tcPr>
            <w:tcW w:w="152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4"/>
              </w:rPr>
              <w:t>(excluding securities</w:t>
            </w:r>
          </w:p>
        </w:tc>
      </w:tr>
      <w:tr>
        <w:trPr>
          <w:trHeight w:val="149"/>
        </w:trPr>
        <w:tc>
          <w:tcPr>
            <w:tcW w:w="5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tcPr>
          <w:p>
            <w:pPr>
              <w:jc w:val="center"/>
              <w:ind w:right="185"/>
              <w:spacing w:after="0" w:line="149" w:lineRule="exact"/>
              <w:rPr>
                <w:sz w:val="20"/>
                <w:szCs w:val="20"/>
                <w:color w:val="auto"/>
              </w:rPr>
            </w:pPr>
            <w:r>
              <w:rPr>
                <w:rFonts w:ascii="Arial" w:cs="Arial" w:eastAsia="Arial" w:hAnsi="Arial"/>
                <w:sz w:val="14"/>
                <w:szCs w:val="14"/>
                <w:color w:val="auto"/>
                <w:w w:val="92"/>
              </w:rPr>
              <w:t>options, warrants and</w:t>
            </w: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warrants and rights</w:t>
            </w:r>
          </w:p>
        </w:tc>
        <w:tc>
          <w:tcPr>
            <w:tcW w:w="1520" w:type="dxa"/>
            <w:vAlign w:val="bottom"/>
          </w:tcPr>
          <w:p>
            <w:pPr>
              <w:jc w:val="center"/>
              <w:ind w:left="163"/>
              <w:spacing w:after="0" w:line="149" w:lineRule="exact"/>
              <w:rPr>
                <w:sz w:val="20"/>
                <w:szCs w:val="20"/>
                <w:color w:val="auto"/>
              </w:rPr>
            </w:pPr>
            <w:r>
              <w:rPr>
                <w:rFonts w:ascii="Arial" w:cs="Arial" w:eastAsia="Arial" w:hAnsi="Arial"/>
                <w:sz w:val="14"/>
                <w:szCs w:val="14"/>
                <w:color w:val="auto"/>
                <w:w w:val="95"/>
              </w:rPr>
              <w:t>reflected in column</w:t>
            </w:r>
          </w:p>
        </w:tc>
      </w:tr>
      <w:tr>
        <w:trPr>
          <w:trHeight w:val="167"/>
        </w:trPr>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Plan category</w:t>
            </w:r>
          </w:p>
        </w:tc>
        <w:tc>
          <w:tcPr>
            <w:tcW w:w="1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color w:val="auto"/>
                <w:w w:val="94"/>
              </w:rPr>
              <w:t>rights (1) (a)</w:t>
            </w: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94"/>
              <w:spacing w:after="0"/>
              <w:rPr>
                <w:sz w:val="20"/>
                <w:szCs w:val="20"/>
                <w:color w:val="auto"/>
              </w:rPr>
            </w:pPr>
            <w:r>
              <w:rPr>
                <w:rFonts w:ascii="Arial" w:cs="Arial" w:eastAsia="Arial" w:hAnsi="Arial"/>
                <w:sz w:val="14"/>
                <w:szCs w:val="14"/>
                <w:color w:val="auto"/>
              </w:rPr>
              <w:t>(b)</w:t>
            </w:r>
          </w:p>
        </w:tc>
        <w:tc>
          <w:tcPr>
            <w:tcW w:w="1520" w:type="dxa"/>
            <w:vAlign w:val="bottom"/>
            <w:tcBorders>
              <w:bottom w:val="single" w:sz="8" w:color="auto"/>
            </w:tcBorders>
          </w:tcPr>
          <w:p>
            <w:pPr>
              <w:jc w:val="center"/>
              <w:ind w:left="163"/>
              <w:spacing w:after="0"/>
              <w:rPr>
                <w:sz w:val="20"/>
                <w:szCs w:val="20"/>
                <w:color w:val="auto"/>
              </w:rPr>
            </w:pPr>
            <w:r>
              <w:rPr>
                <w:rFonts w:ascii="Arial" w:cs="Arial" w:eastAsia="Arial" w:hAnsi="Arial"/>
                <w:sz w:val="14"/>
                <w:szCs w:val="14"/>
                <w:color w:val="auto"/>
                <w:w w:val="95"/>
              </w:rPr>
              <w:t>(a)) (c)</w:t>
            </w:r>
          </w:p>
        </w:tc>
      </w:tr>
      <w:tr>
        <w:trPr>
          <w:trHeight w:val="142"/>
        </w:trPr>
        <w:tc>
          <w:tcPr>
            <w:tcW w:w="5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740" w:type="dxa"/>
            <w:vAlign w:val="bottom"/>
            <w:gridSpan w:val="4"/>
          </w:tcPr>
          <w:p>
            <w:pPr>
              <w:jc w:val="center"/>
              <w:spacing w:after="0" w:line="142" w:lineRule="exact"/>
              <w:rPr>
                <w:sz w:val="20"/>
                <w:szCs w:val="20"/>
                <w:color w:val="auto"/>
              </w:rPr>
            </w:pPr>
            <w:r>
              <w:rPr>
                <w:rFonts w:ascii="Arial" w:cs="Arial" w:eastAsia="Arial" w:hAnsi="Arial"/>
                <w:sz w:val="14"/>
                <w:szCs w:val="14"/>
                <w:i w:val="1"/>
                <w:iCs w:val="1"/>
                <w:color w:val="auto"/>
                <w:w w:val="91"/>
              </w:rPr>
              <w:t>(In thousands, except per share amounts)</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7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2,504</w:t>
            </w: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15.66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60" w:type="dxa"/>
            <w:vAlign w:val="bottom"/>
          </w:tcPr>
          <w:p>
            <w:pPr>
              <w:spacing w:after="0"/>
              <w:rPr>
                <w:sz w:val="19"/>
                <w:szCs w:val="19"/>
                <w:color w:val="auto"/>
              </w:rPr>
            </w:pPr>
          </w:p>
        </w:tc>
        <w:tc>
          <w:tcPr>
            <w:tcW w:w="1580" w:type="dxa"/>
            <w:vAlign w:val="bottom"/>
            <w:tcBorders>
              <w:bottom w:val="single" w:sz="8" w:color="auto"/>
            </w:tcBorders>
          </w:tcPr>
          <w:p>
            <w:pPr>
              <w:jc w:val="right"/>
              <w:ind w:right="36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2,504</w:t>
            </w:r>
          </w:p>
        </w:tc>
        <w:tc>
          <w:tcPr>
            <w:tcW w:w="5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15.66</w:t>
            </w:r>
          </w:p>
        </w:tc>
        <w:tc>
          <w:tcPr>
            <w:tcW w:w="1520" w:type="dxa"/>
            <w:vAlign w:val="bottom"/>
            <w:shd w:val="clear" w:color="auto" w:fill="CCEEFF"/>
          </w:tcPr>
          <w:p>
            <w:pPr>
              <w:jc w:val="right"/>
              <w:ind w:right="143"/>
              <w:spacing w:after="0"/>
              <w:rPr>
                <w:sz w:val="20"/>
                <w:szCs w:val="20"/>
                <w:color w:val="auto"/>
              </w:rPr>
            </w:pPr>
            <w:r>
              <w:rPr>
                <w:rFonts w:ascii="Arial" w:cs="Arial" w:eastAsia="Arial" w:hAnsi="Arial"/>
                <w:sz w:val="18"/>
                <w:szCs w:val="18"/>
                <w:color w:val="auto"/>
              </w:rPr>
              <w:t>1,136</w:t>
            </w:r>
          </w:p>
        </w:tc>
      </w:tr>
      <w:tr>
        <w:trPr>
          <w:trHeight w:val="20"/>
        </w:trPr>
        <w:tc>
          <w:tcPr>
            <w:tcW w:w="5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only options outstanding under Cohu’s stock option plans, as no stock warrants or rights were outstanding as of December 31, 2005.</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358 shares of common stock reserved for future issuance under the Cohu 1997 Employee Stock Purchase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Cohu’s equity compensation plans, see Note 11 of Notes to Consolidated Financial Statements included in Part IV.</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appearing in the Proxy Statement under the heading “Certain Relationships and Related Transactions”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regarding the principal accounting fees and services of Cohu is set forth under “Principal Accountant Fees and Services” in the Proxy Statement which information is incorporated herein by reference.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240" w:right="60" w:firstLine="222"/>
        <w:spacing w:after="0" w:line="277"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42"/>
              <w:spacing w:after="0"/>
              <w:rPr>
                <w:sz w:val="20"/>
                <w:szCs w:val="20"/>
                <w:color w:val="auto"/>
              </w:rPr>
            </w:pPr>
            <w:r>
              <w:rPr>
                <w:rFonts w:ascii="Arial" w:cs="Arial" w:eastAsia="Arial" w:hAnsi="Arial"/>
                <w:sz w:val="14"/>
                <w:szCs w:val="14"/>
                <w:color w:val="auto"/>
              </w:rPr>
              <w:t>Form 10-K</w:t>
            </w:r>
          </w:p>
        </w:tc>
      </w:tr>
      <w:tr>
        <w:trPr>
          <w:trHeight w:val="167"/>
        </w:trPr>
        <w:tc>
          <w:tcPr>
            <w:tcW w:w="10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Page Number</w:t>
            </w:r>
          </w:p>
        </w:tc>
      </w:tr>
      <w:tr>
        <w:trPr>
          <w:trHeight w:val="224"/>
        </w:trPr>
        <w:tc>
          <w:tcPr>
            <w:tcW w:w="10120" w:type="dxa"/>
            <w:vAlign w:val="bottom"/>
          </w:tcPr>
          <w:p>
            <w:pPr>
              <w:spacing w:after="0"/>
              <w:rPr>
                <w:sz w:val="20"/>
                <w:szCs w:val="20"/>
                <w:color w:val="auto"/>
              </w:rPr>
            </w:pPr>
            <w:r>
              <w:rPr>
                <w:rFonts w:ascii="Arial" w:cs="Arial" w:eastAsia="Arial" w:hAnsi="Arial"/>
                <w:sz w:val="18"/>
                <w:szCs w:val="18"/>
                <w:color w:val="auto"/>
              </w:rPr>
              <w:t>Consolidated balance sheets at December 31, 2005 and 2004</w:t>
            </w:r>
          </w:p>
        </w:tc>
        <w:tc>
          <w:tcPr>
            <w:tcW w:w="220" w:type="dxa"/>
            <w:vAlign w:val="bottom"/>
          </w:tcPr>
          <w:p>
            <w:pPr>
              <w:spacing w:after="0"/>
              <w:rPr>
                <w:sz w:val="19"/>
                <w:szCs w:val="19"/>
                <w:color w:val="auto"/>
              </w:rPr>
            </w:pPr>
          </w:p>
        </w:tc>
        <w:tc>
          <w:tcPr>
            <w:tcW w:w="1080" w:type="dxa"/>
            <w:vAlign w:val="bottom"/>
          </w:tcPr>
          <w:p>
            <w:pPr>
              <w:jc w:val="right"/>
              <w:ind w:right="322"/>
              <w:spacing w:after="0"/>
              <w:rPr>
                <w:sz w:val="20"/>
                <w:szCs w:val="20"/>
                <w:color w:val="auto"/>
              </w:rPr>
            </w:pPr>
            <w:r>
              <w:rPr>
                <w:rFonts w:ascii="Arial" w:cs="Arial" w:eastAsia="Arial" w:hAnsi="Arial"/>
                <w:sz w:val="18"/>
                <w:szCs w:val="18"/>
                <w:color w:val="auto"/>
              </w:rPr>
              <w:t>31</w:t>
            </w:r>
          </w:p>
        </w:tc>
      </w:tr>
      <w:tr>
        <w:trPr>
          <w:trHeight w:val="418"/>
        </w:trPr>
        <w:tc>
          <w:tcPr>
            <w:tcW w:w="10120" w:type="dxa"/>
            <w:vAlign w:val="bottom"/>
          </w:tcPr>
          <w:p>
            <w:pPr>
              <w:spacing w:after="0"/>
              <w:rPr>
                <w:sz w:val="20"/>
                <w:szCs w:val="20"/>
                <w:color w:val="auto"/>
              </w:rPr>
            </w:pPr>
            <w:r>
              <w:rPr>
                <w:rFonts w:ascii="Arial" w:cs="Arial" w:eastAsia="Arial" w:hAnsi="Arial"/>
                <w:sz w:val="18"/>
                <w:szCs w:val="18"/>
                <w:color w:val="auto"/>
              </w:rPr>
              <w:t>Consolidated statements of operations for each of the three years in the period ended December 31, 2005</w:t>
            </w:r>
          </w:p>
        </w:tc>
        <w:tc>
          <w:tcPr>
            <w:tcW w:w="1300" w:type="dxa"/>
            <w:vAlign w:val="bottom"/>
            <w:gridSpan w:val="2"/>
          </w:tcPr>
          <w:p>
            <w:pPr>
              <w:jc w:val="right"/>
              <w:ind w:right="322"/>
              <w:spacing w:after="0"/>
              <w:rPr>
                <w:sz w:val="20"/>
                <w:szCs w:val="20"/>
                <w:color w:val="auto"/>
              </w:rPr>
            </w:pPr>
            <w:r>
              <w:rPr>
                <w:rFonts w:ascii="Arial" w:cs="Arial" w:eastAsia="Arial" w:hAnsi="Arial"/>
                <w:sz w:val="18"/>
                <w:szCs w:val="18"/>
                <w:color w:val="auto"/>
              </w:rPr>
              <w:t>32</w:t>
            </w:r>
          </w:p>
        </w:tc>
      </w:tr>
      <w:tr>
        <w:trPr>
          <w:trHeight w:val="432"/>
        </w:trPr>
        <w:tc>
          <w:tcPr>
            <w:tcW w:w="10120" w:type="dxa"/>
            <w:vAlign w:val="bottom"/>
          </w:tcPr>
          <w:p>
            <w:pPr>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2005</w:t>
            </w:r>
          </w:p>
        </w:tc>
        <w:tc>
          <w:tcPr>
            <w:tcW w:w="1300" w:type="dxa"/>
            <w:vAlign w:val="bottom"/>
            <w:gridSpan w:val="2"/>
          </w:tcPr>
          <w:p>
            <w:pPr>
              <w:jc w:val="right"/>
              <w:ind w:right="322"/>
              <w:spacing w:after="0"/>
              <w:rPr>
                <w:sz w:val="20"/>
                <w:szCs w:val="20"/>
                <w:color w:val="auto"/>
              </w:rPr>
            </w:pPr>
            <w:r>
              <w:rPr>
                <w:rFonts w:ascii="Arial" w:cs="Arial" w:eastAsia="Arial" w:hAnsi="Arial"/>
                <w:sz w:val="18"/>
                <w:szCs w:val="18"/>
                <w:color w:val="auto"/>
              </w:rPr>
              <w:t>33</w:t>
            </w:r>
          </w:p>
        </w:tc>
      </w:tr>
      <w:tr>
        <w:trPr>
          <w:trHeight w:val="432"/>
        </w:trPr>
        <w:tc>
          <w:tcPr>
            <w:tcW w:w="10120" w:type="dxa"/>
            <w:vAlign w:val="bottom"/>
          </w:tcPr>
          <w:p>
            <w:pPr>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2005</w:t>
            </w:r>
          </w:p>
        </w:tc>
        <w:tc>
          <w:tcPr>
            <w:tcW w:w="1300" w:type="dxa"/>
            <w:vAlign w:val="bottom"/>
            <w:gridSpan w:val="2"/>
          </w:tcPr>
          <w:p>
            <w:pPr>
              <w:jc w:val="right"/>
              <w:ind w:right="322"/>
              <w:spacing w:after="0"/>
              <w:rPr>
                <w:sz w:val="20"/>
                <w:szCs w:val="20"/>
                <w:color w:val="auto"/>
              </w:rPr>
            </w:pPr>
            <w:r>
              <w:rPr>
                <w:rFonts w:ascii="Arial" w:cs="Arial" w:eastAsia="Arial" w:hAnsi="Arial"/>
                <w:sz w:val="18"/>
                <w:szCs w:val="18"/>
                <w:color w:val="auto"/>
              </w:rPr>
              <w:t>34</w:t>
            </w:r>
          </w:p>
        </w:tc>
      </w:tr>
      <w:tr>
        <w:trPr>
          <w:trHeight w:val="432"/>
        </w:trPr>
        <w:tc>
          <w:tcPr>
            <w:tcW w:w="101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300" w:type="dxa"/>
            <w:vAlign w:val="bottom"/>
            <w:gridSpan w:val="2"/>
          </w:tcPr>
          <w:p>
            <w:pPr>
              <w:jc w:val="right"/>
              <w:ind w:right="322"/>
              <w:spacing w:after="0"/>
              <w:rPr>
                <w:sz w:val="20"/>
                <w:szCs w:val="20"/>
                <w:color w:val="auto"/>
              </w:rPr>
            </w:pPr>
            <w:r>
              <w:rPr>
                <w:rFonts w:ascii="Arial" w:cs="Arial" w:eastAsia="Arial" w:hAnsi="Arial"/>
                <w:sz w:val="18"/>
                <w:szCs w:val="18"/>
                <w:color w:val="auto"/>
              </w:rPr>
              <w:t>35-51</w:t>
            </w:r>
          </w:p>
        </w:tc>
      </w:tr>
      <w:tr>
        <w:trPr>
          <w:trHeight w:val="432"/>
        </w:trPr>
        <w:tc>
          <w:tcPr>
            <w:tcW w:w="101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300" w:type="dxa"/>
            <w:vAlign w:val="bottom"/>
            <w:gridSpan w:val="2"/>
          </w:tcPr>
          <w:p>
            <w:pPr>
              <w:jc w:val="right"/>
              <w:ind w:right="322"/>
              <w:spacing w:after="0"/>
              <w:rPr>
                <w:sz w:val="20"/>
                <w:szCs w:val="20"/>
                <w:color w:val="auto"/>
              </w:rPr>
            </w:pPr>
            <w:r>
              <w:rPr>
                <w:rFonts w:ascii="Arial" w:cs="Arial" w:eastAsia="Arial" w:hAnsi="Arial"/>
                <w:sz w:val="18"/>
                <w:szCs w:val="18"/>
                <w:color w:val="auto"/>
              </w:rPr>
              <w:t>52</w:t>
            </w:r>
          </w:p>
        </w:tc>
      </w:tr>
      <w:tr>
        <w:trPr>
          <w:trHeight w:val="324"/>
        </w:trPr>
        <w:tc>
          <w:tcPr>
            <w:tcW w:w="10120" w:type="dxa"/>
            <w:vAlign w:val="bottom"/>
          </w:tcPr>
          <w:p>
            <w:pPr>
              <w:ind w:left="220"/>
              <w:spacing w:after="0"/>
              <w:rPr>
                <w:sz w:val="20"/>
                <w:szCs w:val="20"/>
                <w:color w:val="auto"/>
              </w:rPr>
            </w:pPr>
            <w:r>
              <w:rPr>
                <w:rFonts w:ascii="Arial" w:cs="Arial" w:eastAsia="Arial" w:hAnsi="Arial"/>
                <w:sz w:val="18"/>
                <w:szCs w:val="18"/>
                <w:color w:val="auto"/>
              </w:rPr>
              <w:t>(2) Financial Statement Schedule</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10120" w:type="dxa"/>
            <w:vAlign w:val="bottom"/>
          </w:tcPr>
          <w:p>
            <w:pPr>
              <w:ind w:left="540"/>
              <w:spacing w:after="0"/>
              <w:rPr>
                <w:sz w:val="20"/>
                <w:szCs w:val="20"/>
                <w:color w:val="auto"/>
              </w:rPr>
            </w:pPr>
            <w:r>
              <w:rPr>
                <w:rFonts w:ascii="Arial" w:cs="Arial" w:eastAsia="Arial" w:hAnsi="Arial"/>
                <w:sz w:val="18"/>
                <w:szCs w:val="18"/>
                <w:color w:val="auto"/>
              </w:rPr>
              <w:t>Schedule II – Valuation and Qualifying Accounts</w:t>
            </w:r>
          </w:p>
        </w:tc>
        <w:tc>
          <w:tcPr>
            <w:tcW w:w="1300" w:type="dxa"/>
            <w:vAlign w:val="bottom"/>
            <w:gridSpan w:val="2"/>
          </w:tcPr>
          <w:p>
            <w:pPr>
              <w:jc w:val="right"/>
              <w:ind w:right="262"/>
              <w:spacing w:after="0"/>
              <w:rPr>
                <w:sz w:val="20"/>
                <w:szCs w:val="20"/>
                <w:color w:val="auto"/>
              </w:rPr>
            </w:pPr>
            <w:r>
              <w:rPr>
                <w:rFonts w:ascii="Arial" w:cs="Arial" w:eastAsia="Arial" w:hAnsi="Arial"/>
                <w:sz w:val="18"/>
                <w:szCs w:val="18"/>
                <w:color w:val="auto"/>
              </w:rPr>
              <w:t>56</w:t>
            </w:r>
          </w:p>
        </w:tc>
      </w:tr>
    </w:tbl>
    <w:p>
      <w:pPr>
        <w:spacing w:after="0" w:line="94" w:lineRule="exact"/>
        <w:rPr>
          <w:sz w:val="20"/>
          <w:szCs w:val="20"/>
          <w:color w:val="auto"/>
        </w:rPr>
      </w:pPr>
    </w:p>
    <w:p>
      <w:pPr>
        <w:ind w:left="240" w:right="380" w:firstLine="215"/>
        <w:spacing w:after="0" w:line="34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color w:val="auto"/>
              </w:rPr>
              <w:t>December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38,747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59,591</w:t>
            </w: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100,202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56,920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less allowance for doubtful accounts of $1,317 in 2005 and $936 in 2004</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47,156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32,744</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Raw materials and purchased parts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24,656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23,355</w:t>
            </w:r>
          </w:p>
        </w:tc>
        <w:tc>
          <w:tcPr>
            <w:tcW w:w="0" w:type="dxa"/>
            <w:vAlign w:val="bottom"/>
          </w:tcPr>
          <w:p>
            <w:pPr>
              <w:spacing w:after="0"/>
              <w:rPr>
                <w:sz w:val="1"/>
                <w:szCs w:val="1"/>
                <w:color w:val="auto"/>
              </w:rPr>
            </w:pPr>
          </w:p>
        </w:tc>
      </w:tr>
      <w:tr>
        <w:trPr>
          <w:trHeight w:val="216"/>
        </w:trPr>
        <w:tc>
          <w:tcPr>
            <w:tcW w:w="9240" w:type="dxa"/>
            <w:vAlign w:val="bottom"/>
          </w:tcPr>
          <w:p>
            <w:pPr>
              <w:ind w:left="42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12,276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44,832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19,775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256,617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210,676</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7,978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Buildings and building improvements</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25,925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25,305</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31,289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27,544</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65,192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(33,412)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(29,706)</w:t>
            </w:r>
          </w:p>
        </w:tc>
        <w:tc>
          <w:tcPr>
            <w:tcW w:w="0" w:type="dxa"/>
            <w:vAlign w:val="bottom"/>
          </w:tcPr>
          <w:p>
            <w:pPr>
              <w:spacing w:after="0"/>
              <w:rPr>
                <w:sz w:val="1"/>
                <w:szCs w:val="1"/>
                <w:color w:val="auto"/>
              </w:rPr>
            </w:pPr>
          </w:p>
        </w:tc>
      </w:tr>
      <w:tr>
        <w:trPr>
          <w:trHeight w:val="223"/>
        </w:trPr>
        <w:tc>
          <w:tcPr>
            <w:tcW w:w="9240" w:type="dxa"/>
            <w:vAlign w:val="bottom"/>
          </w:tcPr>
          <w:p>
            <w:pPr>
              <w:ind w:left="420"/>
              <w:spacing w:after="0"/>
              <w:rPr>
                <w:sz w:val="20"/>
                <w:szCs w:val="20"/>
                <w:color w:val="auto"/>
              </w:rPr>
            </w:pPr>
            <w:r>
              <w:rPr>
                <w:rFonts w:ascii="Arial" w:cs="Arial" w:eastAsia="Arial" w:hAnsi="Arial"/>
                <w:sz w:val="18"/>
                <w:szCs w:val="18"/>
                <w:color w:val="auto"/>
              </w:rPr>
              <w:t>Net property, plant and equipment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31,780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2,232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9,597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 of accumulated amortization of $2,084 in 2005 and $1,192 in 2004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306,977</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250,768</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7,726</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13,538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4,633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advances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2,810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Deferred profit</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13,816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9,651</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3,876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50,322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Accrued retiree medical benefits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1,443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5,087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Preferred stock, $1 par value; 1,000 shares authorized, none issued</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2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Common stock, $1 par value; 60,000 shares authorized, 22,380 shares issued and outstanding in 2005 and 21,611</w:t>
            </w:r>
          </w:p>
        </w:tc>
        <w:tc>
          <w:tcPr>
            <w:tcW w:w="100" w:type="dxa"/>
            <w:vAlign w:val="bottom"/>
            <w:shd w:val="clear" w:color="auto" w:fill="CCEEFF"/>
          </w:tcPr>
          <w:p>
            <w:pPr>
              <w:spacing w:after="0"/>
              <w:rPr>
                <w:sz w:val="17"/>
                <w:szCs w:val="17"/>
                <w:color w:val="auto"/>
              </w:rPr>
            </w:pPr>
          </w:p>
        </w:tc>
        <w:tc>
          <w:tcPr>
            <w:tcW w:w="96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22,380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in 2004</w:t>
            </w:r>
          </w:p>
        </w:tc>
        <w:tc>
          <w:tcPr>
            <w:tcW w:w="100" w:type="dxa"/>
            <w:vAlign w:val="bottom"/>
            <w:shd w:val="clear" w:color="auto" w:fill="CCEEFF"/>
          </w:tcPr>
          <w:p>
            <w:pPr>
              <w:spacing w:after="0"/>
              <w:rPr>
                <w:sz w:val="20"/>
                <w:szCs w:val="20"/>
                <w:color w:val="auto"/>
              </w:rPr>
            </w:pPr>
          </w:p>
        </w:tc>
        <w:tc>
          <w:tcPr>
            <w:tcW w:w="960" w:type="dxa"/>
            <w:vAlign w:val="bottom"/>
            <w:gridSpan w:val="3"/>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21,611</w:t>
            </w:r>
          </w:p>
        </w:tc>
        <w:tc>
          <w:tcPr>
            <w:tcW w:w="0" w:type="dxa"/>
            <w:vAlign w:val="bottom"/>
          </w:tcPr>
          <w:p>
            <w:pPr>
              <w:spacing w:after="0"/>
              <w:rPr>
                <w:sz w:val="1"/>
                <w:szCs w:val="1"/>
                <w:color w:val="auto"/>
              </w:rPr>
            </w:pPr>
          </w:p>
        </w:tc>
      </w:tr>
      <w:tr>
        <w:trPr>
          <w:trHeight w:val="216"/>
        </w:trPr>
        <w:tc>
          <w:tcPr>
            <w:tcW w:w="9240" w:type="dxa"/>
            <w:vAlign w:val="bottom"/>
          </w:tcPr>
          <w:p>
            <w:pPr>
              <w:ind w:left="2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37,717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25,572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190,225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161,089</w:t>
            </w:r>
          </w:p>
        </w:tc>
        <w:tc>
          <w:tcPr>
            <w:tcW w:w="0" w:type="dxa"/>
            <w:vAlign w:val="bottom"/>
          </w:tcPr>
          <w:p>
            <w:pPr>
              <w:spacing w:after="0"/>
              <w:rPr>
                <w:sz w:val="1"/>
                <w:szCs w:val="1"/>
                <w:color w:val="auto"/>
              </w:rPr>
            </w:pPr>
          </w:p>
        </w:tc>
      </w:tr>
      <w:tr>
        <w:trPr>
          <w:trHeight w:val="223"/>
        </w:trPr>
        <w:tc>
          <w:tcPr>
            <w:tcW w:w="924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(197)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250,125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306,977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250,768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800" w:type="dxa"/>
            <w:vAlign w:val="bottom"/>
            <w:gridSpan w:val="4"/>
          </w:tcPr>
          <w:p>
            <w:pPr>
              <w:jc w:val="right"/>
              <w:ind w:right="120"/>
              <w:spacing w:after="0"/>
              <w:rPr>
                <w:sz w:val="20"/>
                <w:szCs w:val="20"/>
                <w:color w:val="auto"/>
              </w:rPr>
            </w:pPr>
            <w:r>
              <w:rPr>
                <w:rFonts w:ascii="Arial" w:cs="Arial" w:eastAsia="Arial" w:hAnsi="Arial"/>
                <w:sz w:val="14"/>
                <w:szCs w:val="14"/>
                <w:color w:val="auto"/>
                <w:w w:val="96"/>
              </w:rPr>
              <w:t>Years ended 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2004</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238,902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176,237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 and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143,371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105,178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29,787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27,895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35,285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208,443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162,197</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141,540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30,459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14,040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Gain on sale of land held for future development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Investment impairment writedown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34,374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15,903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33,974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1.55</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0.76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21,902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21,505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22,585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21,986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6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92"/>
              </w:rPr>
              <w:t>Common</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gridSpan w:val="2"/>
          </w:tcPr>
          <w:p>
            <w:pPr>
              <w:ind w:left="34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34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Paid-in</w:t>
            </w:r>
          </w:p>
        </w:tc>
        <w:tc>
          <w:tcPr>
            <w:tcW w:w="13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Retained</w:t>
            </w:r>
          </w:p>
        </w:tc>
        <w:tc>
          <w:tcPr>
            <w:tcW w:w="520" w:type="dxa"/>
            <w:vAlign w:val="bottom"/>
          </w:tcPr>
          <w:p>
            <w:pPr>
              <w:spacing w:after="0"/>
              <w:rPr>
                <w:sz w:val="12"/>
                <w:szCs w:val="12"/>
                <w:color w:val="auto"/>
              </w:rPr>
            </w:pPr>
          </w:p>
        </w:tc>
        <w:tc>
          <w:tcPr>
            <w:tcW w:w="980" w:type="dxa"/>
            <w:vAlign w:val="bottom"/>
          </w:tcPr>
          <w:p>
            <w:pPr>
              <w:jc w:val="right"/>
              <w:ind w:right="491"/>
              <w:spacing w:after="0" w:line="149" w:lineRule="exact"/>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6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7"/>
              </w:rPr>
              <w:t>stock</w:t>
            </w:r>
          </w:p>
        </w:tc>
        <w:tc>
          <w:tcPr>
            <w:tcW w:w="13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00" w:type="dxa"/>
            <w:vAlign w:val="bottom"/>
            <w:gridSpan w:val="2"/>
          </w:tcPr>
          <w:p>
            <w:pPr>
              <w:jc w:val="right"/>
              <w:ind w:right="191"/>
              <w:spacing w:after="0" w:line="149" w:lineRule="exact"/>
              <w:rPr>
                <w:sz w:val="20"/>
                <w:szCs w:val="20"/>
                <w:color w:val="auto"/>
              </w:rPr>
            </w:pPr>
            <w:r>
              <w:rPr>
                <w:rFonts w:ascii="Arial" w:cs="Arial" w:eastAsia="Arial" w:hAnsi="Arial"/>
                <w:sz w:val="14"/>
                <w:szCs w:val="14"/>
                <w:b w:val="1"/>
                <w:bCs w:val="1"/>
                <w:color w:val="auto"/>
              </w:rPr>
              <w:t>comprehensive</w:t>
            </w:r>
          </w:p>
        </w:tc>
        <w:tc>
          <w:tcPr>
            <w:tcW w:w="380" w:type="dxa"/>
            <w:vAlign w:val="bottom"/>
          </w:tcPr>
          <w:p>
            <w:pPr>
              <w:spacing w:after="0"/>
              <w:rPr>
                <w:sz w:val="12"/>
                <w:szCs w:val="12"/>
                <w:color w:val="auto"/>
              </w:rPr>
            </w:pPr>
          </w:p>
        </w:tc>
        <w:tc>
          <w:tcPr>
            <w:tcW w:w="7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3"/>
              </w:rPr>
              <w:t>$1 par value</w:t>
            </w:r>
          </w:p>
        </w:tc>
        <w:tc>
          <w:tcPr>
            <w:tcW w:w="13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capital</w:t>
            </w:r>
          </w:p>
        </w:tc>
        <w:tc>
          <w:tcPr>
            <w:tcW w:w="13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earnings</w:t>
            </w:r>
          </w:p>
        </w:tc>
        <w:tc>
          <w:tcPr>
            <w:tcW w:w="15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income (loss)</w:t>
            </w: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1"/>
              </w:rPr>
              <w:t>$ 20,864</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$ 15,922</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$152,978</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330</w:t>
            </w:r>
          </w:p>
        </w:tc>
        <w:tc>
          <w:tcPr>
            <w:tcW w:w="10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$190,094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loss</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(47)</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ind w:left="400"/>
              <w:spacing w:after="0" w:line="201" w:lineRule="exact"/>
              <w:rPr>
                <w:sz w:val="20"/>
                <w:szCs w:val="20"/>
                <w:color w:val="auto"/>
              </w:rPr>
            </w:pPr>
            <w:r>
              <w:rPr>
                <w:rFonts w:ascii="Arial" w:cs="Arial" w:eastAsia="Arial" w:hAnsi="Arial"/>
                <w:sz w:val="18"/>
                <w:szCs w:val="18"/>
                <w:color w:val="auto"/>
              </w:rPr>
              <w:t>Changes in unrealized gain (loss) on investments, net of</w:t>
            </w: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980" w:type="dxa"/>
            <w:vAlign w:val="bottom"/>
          </w:tcPr>
          <w:p>
            <w:pPr>
              <w:jc w:val="right"/>
              <w:ind w:right="271"/>
              <w:spacing w:after="0"/>
              <w:rPr>
                <w:sz w:val="20"/>
                <w:szCs w:val="20"/>
                <w:color w:val="auto"/>
              </w:rPr>
            </w:pPr>
            <w:r>
              <w:rPr>
                <w:rFonts w:ascii="Arial" w:cs="Arial" w:eastAsia="Arial" w:hAnsi="Arial"/>
                <w:sz w:val="18"/>
                <w:szCs w:val="18"/>
                <w:color w:val="auto"/>
              </w:rPr>
              <w:t>(306)</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loss</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Cash dividends — $0.20 per share</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1"/>
              <w:spacing w:after="0"/>
              <w:rPr>
                <w:sz w:val="20"/>
                <w:szCs w:val="20"/>
                <w:color w:val="auto"/>
              </w:rPr>
            </w:pPr>
            <w:r>
              <w:rPr>
                <w:rFonts w:ascii="Arial" w:cs="Arial" w:eastAsia="Arial" w:hAnsi="Arial"/>
                <w:sz w:val="18"/>
                <w:szCs w:val="18"/>
                <w:color w:val="auto"/>
              </w:rPr>
              <w:t>(4,240)</w:t>
            </w:r>
          </w:p>
        </w:tc>
        <w:tc>
          <w:tcPr>
            <w:tcW w:w="520" w:type="dxa"/>
            <w:vAlign w:val="bottom"/>
          </w:tcPr>
          <w:p>
            <w:pPr>
              <w:spacing w:after="0"/>
              <w:rPr>
                <w:sz w:val="18"/>
                <w:szCs w:val="18"/>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443</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4,542</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68</w:t>
            </w: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929</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from stock options</w:t>
            </w:r>
          </w:p>
        </w:tc>
        <w:tc>
          <w:tcPr>
            <w:tcW w:w="10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747</w:t>
            </w: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Balance at December 31, 2003</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21,375</w:t>
            </w: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22,140</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148,691</w:t>
            </w:r>
          </w:p>
        </w:tc>
        <w:tc>
          <w:tcPr>
            <w:tcW w:w="520" w:type="dxa"/>
            <w:vAlign w:val="bottom"/>
          </w:tcPr>
          <w:p>
            <w:pPr>
              <w:spacing w:after="0"/>
              <w:rPr>
                <w:sz w:val="19"/>
                <w:szCs w:val="19"/>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14"/>
              <w:spacing w:after="0"/>
              <w:rPr>
                <w:sz w:val="20"/>
                <w:szCs w:val="20"/>
                <w:color w:val="auto"/>
              </w:rPr>
            </w:pPr>
            <w:r>
              <w:rPr>
                <w:rFonts w:ascii="Arial" w:cs="Arial" w:eastAsia="Arial" w:hAnsi="Arial"/>
                <w:sz w:val="18"/>
                <w:szCs w:val="18"/>
                <w:color w:val="auto"/>
              </w:rPr>
              <w:t>192,230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1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16,703</w:t>
            </w:r>
          </w:p>
        </w:tc>
        <w:tc>
          <w:tcPr>
            <w:tcW w:w="520" w:type="dxa"/>
            <w:vAlign w:val="bottom"/>
          </w:tcPr>
          <w:p>
            <w:pPr>
              <w:spacing w:after="0"/>
              <w:rPr>
                <w:sz w:val="18"/>
                <w:szCs w:val="18"/>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Changes in unrealized gain (loss) on investments, net of</w:t>
            </w:r>
          </w:p>
        </w:tc>
        <w:tc>
          <w:tcPr>
            <w:tcW w:w="10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 $0.20 per share</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(4,305)</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163</w:t>
            </w:r>
          </w:p>
        </w:tc>
        <w:tc>
          <w:tcPr>
            <w:tcW w:w="1340" w:type="dxa"/>
            <w:vAlign w:val="bottom"/>
          </w:tcPr>
          <w:p>
            <w:pPr>
              <w:jc w:val="right"/>
              <w:ind w:right="291"/>
              <w:spacing w:after="0"/>
              <w:rPr>
                <w:sz w:val="20"/>
                <w:szCs w:val="20"/>
                <w:color w:val="auto"/>
              </w:rPr>
            </w:pPr>
            <w:r>
              <w:rPr>
                <w:rFonts w:ascii="Arial" w:cs="Arial" w:eastAsia="Arial" w:hAnsi="Arial"/>
                <w:sz w:val="18"/>
                <w:szCs w:val="18"/>
                <w:color w:val="auto"/>
              </w:rPr>
              <w:t>1,634</w:t>
            </w:r>
          </w:p>
        </w:tc>
        <w:tc>
          <w:tcPr>
            <w:tcW w:w="13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73</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961</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Tax benefit from stock options</w:t>
            </w: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837</w:t>
            </w: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21,611</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25,572</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161,089</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(160)</w:t>
            </w:r>
          </w:p>
        </w:tc>
        <w:tc>
          <w:tcPr>
            <w:tcW w:w="10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208,112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Components of comprehensive income (loss):</w:t>
            </w: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33,974</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33,974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ind w:left="400"/>
              <w:spacing w:after="0" w:line="201" w:lineRule="exact"/>
              <w:rPr>
                <w:sz w:val="20"/>
                <w:szCs w:val="20"/>
                <w:color w:val="auto"/>
              </w:rPr>
            </w:pPr>
            <w:r>
              <w:rPr>
                <w:rFonts w:ascii="Arial" w:cs="Arial" w:eastAsia="Arial" w:hAnsi="Arial"/>
                <w:sz w:val="18"/>
                <w:szCs w:val="18"/>
                <w:color w:val="auto"/>
              </w:rPr>
              <w:t>Changes in unrealized gain (loss) on investments, net of</w:t>
            </w:r>
          </w:p>
        </w:tc>
        <w:tc>
          <w:tcPr>
            <w:tcW w:w="106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tcPr>
          <w:p>
            <w:pPr>
              <w:jc w:val="right"/>
              <w:ind w:right="291"/>
              <w:spacing w:after="0"/>
              <w:rPr>
                <w:sz w:val="20"/>
                <w:szCs w:val="20"/>
                <w:color w:val="auto"/>
              </w:rPr>
            </w:pPr>
            <w:r>
              <w:rPr>
                <w:rFonts w:ascii="Arial" w:cs="Arial" w:eastAsia="Arial" w:hAnsi="Arial"/>
                <w:sz w:val="18"/>
                <w:szCs w:val="18"/>
                <w:b w:val="1"/>
                <w:bCs w:val="1"/>
                <w:color w:val="auto"/>
              </w:rPr>
              <w:t>—</w:t>
            </w:r>
          </w:p>
        </w:tc>
        <w:tc>
          <w:tcPr>
            <w:tcW w:w="136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7"/>
                <w:szCs w:val="17"/>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rPr>
              <w:t>(37)</w:t>
            </w:r>
          </w:p>
        </w:tc>
        <w:tc>
          <w:tcPr>
            <w:tcW w:w="380" w:type="dxa"/>
            <w:vAlign w:val="bottom"/>
            <w:vMerge w:val="restart"/>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506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106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1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Cash dividends — $0.22 per share</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291"/>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211"/>
              <w:spacing w:after="0"/>
              <w:rPr>
                <w:sz w:val="20"/>
                <w:szCs w:val="20"/>
                <w:color w:val="auto"/>
              </w:rPr>
            </w:pPr>
            <w:r>
              <w:rPr>
                <w:rFonts w:ascii="Arial" w:cs="Arial" w:eastAsia="Arial" w:hAnsi="Arial"/>
                <w:sz w:val="18"/>
                <w:szCs w:val="18"/>
                <w:b w:val="1"/>
                <w:bCs w:val="1"/>
                <w:color w:val="auto"/>
              </w:rPr>
              <w:t>(4,838)</w:t>
            </w:r>
          </w:p>
        </w:tc>
        <w:tc>
          <w:tcPr>
            <w:tcW w:w="520" w:type="dxa"/>
            <w:vAlign w:val="bottom"/>
          </w:tcPr>
          <w:p>
            <w:pPr>
              <w:spacing w:after="0"/>
              <w:rPr>
                <w:sz w:val="18"/>
                <w:szCs w:val="18"/>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and retirement of stock</w:t>
            </w: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(9)</w:t>
            </w:r>
          </w:p>
        </w:tc>
        <w:tc>
          <w:tcPr>
            <w:tcW w:w="134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(160)</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060" w:type="dxa"/>
            <w:vAlign w:val="bottom"/>
          </w:tcPr>
          <w:p>
            <w:pPr>
              <w:jc w:val="right"/>
              <w:ind w:right="312"/>
              <w:spacing w:after="0"/>
              <w:rPr>
                <w:sz w:val="20"/>
                <w:szCs w:val="20"/>
                <w:color w:val="auto"/>
              </w:rPr>
            </w:pPr>
            <w:r>
              <w:rPr>
                <w:rFonts w:ascii="Arial" w:cs="Arial" w:eastAsia="Arial" w:hAnsi="Arial"/>
                <w:sz w:val="18"/>
                <w:szCs w:val="18"/>
                <w:b w:val="1"/>
                <w:bCs w:val="1"/>
                <w:color w:val="auto"/>
              </w:rPr>
              <w:t>700</w:t>
            </w:r>
          </w:p>
        </w:tc>
        <w:tc>
          <w:tcPr>
            <w:tcW w:w="1340" w:type="dxa"/>
            <w:vAlign w:val="bottom"/>
          </w:tcPr>
          <w:p>
            <w:pPr>
              <w:jc w:val="right"/>
              <w:ind w:right="291"/>
              <w:spacing w:after="0"/>
              <w:rPr>
                <w:sz w:val="20"/>
                <w:szCs w:val="20"/>
                <w:color w:val="auto"/>
              </w:rPr>
            </w:pPr>
            <w:r>
              <w:rPr>
                <w:rFonts w:ascii="Arial" w:cs="Arial" w:eastAsia="Arial" w:hAnsi="Arial"/>
                <w:sz w:val="18"/>
                <w:szCs w:val="18"/>
                <w:b w:val="1"/>
                <w:bCs w:val="1"/>
                <w:color w:val="auto"/>
              </w:rPr>
              <w:t>8,632</w:t>
            </w:r>
          </w:p>
        </w:tc>
        <w:tc>
          <w:tcPr>
            <w:tcW w:w="1360" w:type="dxa"/>
            <w:vAlign w:val="bottom"/>
          </w:tcPr>
          <w:p>
            <w:pPr>
              <w:jc w:val="right"/>
              <w:ind w:right="271"/>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980" w:type="dxa"/>
            <w:vAlign w:val="bottom"/>
          </w:tcPr>
          <w:p>
            <w:pPr>
              <w:jc w:val="right"/>
              <w:ind w:right="331"/>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4"/>
              <w:spacing w:after="0"/>
              <w:rPr>
                <w:sz w:val="20"/>
                <w:szCs w:val="20"/>
                <w:color w:val="auto"/>
              </w:rPr>
            </w:pPr>
            <w:r>
              <w:rPr>
                <w:rFonts w:ascii="Arial" w:cs="Arial" w:eastAsia="Arial" w:hAnsi="Arial"/>
                <w:sz w:val="18"/>
                <w:szCs w:val="18"/>
                <w:b w:val="1"/>
                <w:bCs w:val="1"/>
                <w:color w:val="auto"/>
              </w:rPr>
              <w:t>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under employee stock purchase plan</w:t>
            </w:r>
          </w:p>
        </w:tc>
        <w:tc>
          <w:tcPr>
            <w:tcW w:w="106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78</w:t>
            </w:r>
          </w:p>
        </w:tc>
        <w:tc>
          <w:tcPr>
            <w:tcW w:w="1340" w:type="dxa"/>
            <w:vAlign w:val="bottom"/>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1,033</w:t>
            </w:r>
          </w:p>
        </w:tc>
        <w:tc>
          <w:tcPr>
            <w:tcW w:w="136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Tax benefit from stock options</w:t>
            </w: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2,640</w:t>
            </w:r>
          </w:p>
        </w:tc>
        <w:tc>
          <w:tcPr>
            <w:tcW w:w="13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8"/>
                <w:szCs w:val="18"/>
                <w:b w:val="1"/>
                <w:bCs w:val="1"/>
                <w:color w:val="auto"/>
              </w:rPr>
              <w:t>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0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1"/>
              </w:rPr>
              <w:t>$ 22,380</w:t>
            </w:r>
          </w:p>
        </w:tc>
        <w:tc>
          <w:tcPr>
            <w:tcW w:w="134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$ 37,717</w:t>
            </w:r>
          </w:p>
        </w:tc>
        <w:tc>
          <w:tcPr>
            <w:tcW w:w="13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$190,225</w:t>
            </w:r>
          </w:p>
        </w:tc>
        <w:tc>
          <w:tcPr>
            <w:tcW w:w="5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(197)</w:t>
            </w:r>
          </w:p>
        </w:tc>
        <w:tc>
          <w:tcPr>
            <w:tcW w:w="1080" w:type="dxa"/>
            <w:vAlign w:val="bottom"/>
            <w:tcBorders>
              <w:bottom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$250,125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800" w:type="dxa"/>
            <w:vAlign w:val="bottom"/>
            <w:gridSpan w:val="4"/>
          </w:tcPr>
          <w:p>
            <w:pPr>
              <w:jc w:val="right"/>
              <w:ind w:right="140"/>
              <w:spacing w:after="0"/>
              <w:rPr>
                <w:sz w:val="20"/>
                <w:szCs w:val="20"/>
                <w:color w:val="auto"/>
              </w:rPr>
            </w:pPr>
            <w:r>
              <w:rPr>
                <w:rFonts w:ascii="Arial" w:cs="Arial" w:eastAsia="Arial" w:hAnsi="Arial"/>
                <w:sz w:val="14"/>
                <w:szCs w:val="14"/>
                <w:color w:val="auto"/>
                <w:w w:val="95"/>
              </w:rPr>
              <w:t>Years ended 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2004</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33,974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16,703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Adjustments to reconcile net income (loss) to net cash provided from operating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4,349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from sale of land held for future development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Investment impairment writedown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Increase in accrued retiree medical benefits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 from stock options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7280" w:type="dxa"/>
            <w:vAlign w:val="bottom"/>
          </w:tcPr>
          <w:p>
            <w:pPr>
              <w:ind w:left="420"/>
              <w:spacing w:after="0"/>
              <w:rPr>
                <w:sz w:val="20"/>
                <w:szCs w:val="20"/>
                <w:color w:val="auto"/>
              </w:rPr>
            </w:pPr>
            <w:r>
              <w:rPr>
                <w:rFonts w:ascii="Arial" w:cs="Arial" w:eastAsia="Arial" w:hAnsi="Arial"/>
                <w:sz w:val="18"/>
                <w:szCs w:val="18"/>
                <w:color w:val="auto"/>
              </w:rPr>
              <w:t>Elimination of accrued sales credits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Changes in current assets and liabilities, net of effects from purchase of KryoTech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62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(14,412)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(7,166)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7280" w:type="dxa"/>
            <w:vAlign w:val="bottom"/>
          </w:tcPr>
          <w:p>
            <w:pPr>
              <w:ind w:left="62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7280" w:type="dxa"/>
            <w:vAlign w:val="bottom"/>
          </w:tcPr>
          <w:p>
            <w:pPr>
              <w:ind w:left="62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Customer advances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7280" w:type="dxa"/>
            <w:vAlign w:val="bottom"/>
          </w:tcPr>
          <w:p>
            <w:pPr>
              <w:ind w:left="620"/>
              <w:spacing w:after="0"/>
              <w:rPr>
                <w:sz w:val="20"/>
                <w:szCs w:val="20"/>
                <w:color w:val="auto"/>
              </w:rPr>
            </w:pPr>
            <w:r>
              <w:rPr>
                <w:rFonts w:ascii="Arial" w:cs="Arial" w:eastAsia="Arial" w:hAnsi="Arial"/>
                <w:sz w:val="18"/>
                <w:szCs w:val="18"/>
                <w:color w:val="auto"/>
              </w:rPr>
              <w:t>Deferred profit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5,519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Accrued compensation, warranty and other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3"/>
        </w:trPr>
        <w:tc>
          <w:tcPr>
            <w:tcW w:w="7280" w:type="dxa"/>
            <w:vAlign w:val="bottom"/>
          </w:tcPr>
          <w:p>
            <w:pPr>
              <w:ind w:left="620"/>
              <w:spacing w:after="0"/>
              <w:rPr>
                <w:sz w:val="20"/>
                <w:szCs w:val="20"/>
                <w:color w:val="auto"/>
              </w:rPr>
            </w:pPr>
            <w:r>
              <w:rPr>
                <w:rFonts w:ascii="Arial" w:cs="Arial" w:eastAsia="Arial" w:hAnsi="Arial"/>
                <w:sz w:val="18"/>
                <w:szCs w:val="18"/>
                <w:color w:val="auto"/>
              </w:rPr>
              <w:t>Net cash provided from (used for) operating activities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28,510</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 net of effects from purchase of KryoTech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(130,092)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(140,361)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(161,899)</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maturities of short-term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86,654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183,750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135,408</w:t>
            </w: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Net proceeds from sale of land held for future development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8,837</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plant, equipment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Payment for purchase of KryoTech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(2,863)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KryoTech note receivable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Other intangible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note receivable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from (used for) investing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(55,051)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(18,801)</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stock,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10,274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Cash dividends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(4,305)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from (used for) 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(20,844)</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52,464</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59,591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32,696</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38,747</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59,591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Cash paid (received) during the year for: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net of refunds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Inventory capitalized as capital equipment</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1,673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1,536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declared but not yet paid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260" w:right="40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Principles of Consolidation – </w:t>
      </w:r>
      <w:r>
        <w:rPr>
          <w:rFonts w:ascii="Arial" w:cs="Arial" w:eastAsia="Arial" w:hAnsi="Arial"/>
          <w:sz w:val="16"/>
          <w:szCs w:val="16"/>
          <w:color w:val="auto"/>
        </w:rPr>
        <w:t>The consolidated financial statements include the assets, liabilities and operating results of Cohu, Inc. and our wholly-owned subsidiaries (“Cohu”, “we”, “our” and “us”). All significant intercompany balances and transactions have been eliminated in consolidation.</w:t>
      </w:r>
    </w:p>
    <w:p>
      <w:pPr>
        <w:spacing w:after="0" w:line="21" w:lineRule="exact"/>
        <w:rPr>
          <w:rFonts w:ascii="Arial" w:cs="Arial" w:eastAsia="Arial" w:hAnsi="Arial"/>
          <w:sz w:val="18"/>
          <w:szCs w:val="18"/>
          <w:b w:val="1"/>
          <w:bCs w:val="1"/>
          <w:color w:val="auto"/>
        </w:rPr>
      </w:pPr>
    </w:p>
    <w:p>
      <w:pPr>
        <w:ind w:left="260" w:right="12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Financial Statement Preparation </w:t>
      </w:r>
      <w:r>
        <w:rPr>
          <w:rFonts w:ascii="Arial" w:cs="Arial" w:eastAsia="Arial" w:hAnsi="Arial"/>
          <w:sz w:val="16"/>
          <w:szCs w:val="16"/>
          <w:color w:val="auto"/>
        </w:rPr>
        <w:t>– The preparation of financial statements in conformity with accounting principles generally accepted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of America requires management to make estimates and assumptions that affect the reported amounts and the disclosure of contingent amounts in our financial statements and the accompanying notes. These estimates include assessing the collectibility of accounts receivable, usage and recoverability of inventory and long-lived and deferred tax assets and incurrence of warranty costs. Actual results could differ from those estimates. Certain prior year amounts have been reclassified for consistency with the current year presentation. These reclassifications had no effect on reported results of operations.</w:t>
      </w:r>
    </w:p>
    <w:p>
      <w:pPr>
        <w:spacing w:after="0" w:line="59" w:lineRule="exact"/>
        <w:rPr>
          <w:rFonts w:ascii="Arial" w:cs="Arial" w:eastAsia="Arial" w:hAnsi="Arial"/>
          <w:sz w:val="18"/>
          <w:szCs w:val="18"/>
          <w:b w:val="1"/>
          <w:bCs w:val="1"/>
          <w:color w:val="auto"/>
        </w:rPr>
      </w:pPr>
    </w:p>
    <w:p>
      <w:pPr>
        <w:ind w:left="260" w:right="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Fiscal Year </w:t>
      </w:r>
      <w:r>
        <w:rPr>
          <w:rFonts w:ascii="Arial" w:cs="Arial" w:eastAsia="Arial" w:hAnsi="Arial"/>
          <w:sz w:val="18"/>
          <w:szCs w:val="18"/>
          <w:color w:val="auto"/>
        </w:rPr>
        <w:t>– On February 1, 2005 our Board of Directors approved a change in our fiscal year from December 31, to a 52-53 week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ending on the last Saturday of December. As a result of the change, our fiscal year will usually be 52 weeks. On occasion, our fiscal year will consist of 53 weeks. Our current fiscal year ended on December 31, 2005 and consisted of 52 weeks. Our fiscal years ended December 31, 2004 and 2003 also consisted of 52 weeks.</w:t>
      </w:r>
    </w:p>
    <w:p>
      <w:pPr>
        <w:spacing w:after="0" w:line="85" w:lineRule="exact"/>
        <w:rPr>
          <w:rFonts w:ascii="Arial" w:cs="Arial" w:eastAsia="Arial" w:hAnsi="Arial"/>
          <w:sz w:val="18"/>
          <w:szCs w:val="18"/>
          <w:b w:val="1"/>
          <w:bCs w:val="1"/>
          <w:color w:val="auto"/>
        </w:rPr>
      </w:pPr>
    </w:p>
    <w:p>
      <w:pPr>
        <w:ind w:left="260" w:right="6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We have several stock-based compensation plans, which are described more fully in Note 11. We account for those plans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recognition and measurement principles of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and related Interpretations. No stock-based employee compensation cost is reflected in the consolidated statements of operations, as all options granted under those plans had an exercise price equal to the market value of the underlying common stock on the date of grant. The following table illustrates the effect on net income (loss) and per share amounts if we had applied the fair value recognition provisions of FASB Statement No. 123, to stock-based employee compensation. We will be adopting Statement No. 123R on January 1, 2006 which requires us to account for equity under our stock plans as a compensation expense and our net income and net income per share will be significantly reduced. We expect that our adoption of Statement No. 123R will result in an impact to our operating results similar to the pro forma disclosures provided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8"/>
              </w:rPr>
              <w:t>33,974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16,703</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spacing w:after="0" w:line="201" w:lineRule="exact"/>
              <w:rPr>
                <w:sz w:val="20"/>
                <w:szCs w:val="20"/>
                <w:color w:val="auto"/>
              </w:rPr>
            </w:pPr>
            <w:r>
              <w:rPr>
                <w:rFonts w:ascii="Arial" w:cs="Arial" w:eastAsia="Arial" w:hAnsi="Arial"/>
                <w:sz w:val="18"/>
                <w:szCs w:val="18"/>
                <w:color w:val="auto"/>
                <w:w w:val="93"/>
              </w:rPr>
              <w:t>Less: Total stock-based employee compensation expense determined under fair value based method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rPr>
              <w:t>(2,924)</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for all awards, net of related tax effect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(3,929)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8"/>
              </w:rPr>
              <w:t>31,050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12,774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Basic-as reported</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Basic-pro forma</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Diluted-as reported</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Diluted-pro forma</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87"/>
        </w:trPr>
        <w:tc>
          <w:tcPr>
            <w:tcW w:w="7540" w:type="dxa"/>
            <w:vAlign w:val="bottom"/>
            <w:gridSpan w:val="2"/>
          </w:tcPr>
          <w:p>
            <w:pPr>
              <w:jc w:val="right"/>
              <w:ind w:right="165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20" w:right="120"/>
        <w:spacing w:after="0" w:line="291" w:lineRule="auto"/>
        <w:rPr>
          <w:sz w:val="20"/>
          <w:szCs w:val="20"/>
          <w:color w:val="auto"/>
        </w:rPr>
      </w:pPr>
      <w:r>
        <w:rPr>
          <w:rFonts w:ascii="Arial" w:cs="Arial" w:eastAsia="Arial" w:hAnsi="Arial"/>
          <w:sz w:val="16"/>
          <w:szCs w:val="16"/>
          <w:b w:val="1"/>
          <w:bCs w:val="1"/>
          <w:color w:val="auto"/>
        </w:rPr>
        <w:t xml:space="preserve">Income </w:t>
      </w:r>
      <w:r>
        <w:rPr>
          <w:rFonts w:ascii="Arial" w:cs="Arial" w:eastAsia="Arial" w:hAnsi="Arial"/>
          <w:sz w:val="16"/>
          <w:szCs w:val="16"/>
          <w:color w:val="auto"/>
        </w:rPr>
        <w:t>(</w:t>
      </w:r>
      <w:r>
        <w:rPr>
          <w:rFonts w:ascii="Arial" w:cs="Arial" w:eastAsia="Arial" w:hAnsi="Arial"/>
          <w:sz w:val="16"/>
          <w:szCs w:val="16"/>
          <w:b w:val="1"/>
          <w:bCs w:val="1"/>
          <w:color w:val="auto"/>
        </w:rPr>
        <w:t xml:space="preserve">Loss) Per Share </w:t>
      </w:r>
      <w:r>
        <w:rPr>
          <w:rFonts w:ascii="Arial" w:cs="Arial" w:eastAsia="Arial" w:hAnsi="Arial"/>
          <w:sz w:val="16"/>
          <w:szCs w:val="16"/>
          <w:color w:val="auto"/>
        </w:rPr>
        <w:t>– Income (loss) per share is computed in accordance with FASB Statement No. 128,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Earnings Per Share</w:t>
      </w:r>
      <w:r>
        <w:rPr>
          <w:rFonts w:ascii="Arial" w:cs="Arial" w:eastAsia="Arial" w:hAnsi="Arial"/>
          <w:sz w:val="16"/>
          <w:szCs w:val="16"/>
          <w:color w:val="auto"/>
        </w:rPr>
        <w:t>,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No. 128”). Basic income (loss) per share is computed using the weighted average number of common shares outstanding during each period. Diluted income per share includes the dilutive effect of common shares potentially issuable upon the exercise of stock options. For purposes of computing diluted income per share, stock options with exercise prices that exceed the average fair market value of our common stock for the period are excluded. For the year ended December 31, 2005, options to purchase approximately 387,000 shares of common stock were excluded from the computation. For the year ended December 31, 2004, options to purchase approximately 608,000 shares of common stock were excluded from the computation. Had we been profitable in 2003, a total of 566,000 equivalent shares from stock options would have been added to the denominator in the computation of diluted earnings per share. The following table reconciles the denominators used in computing basic and diluted income (loss) per share: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80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2004</w:t>
            </w:r>
          </w:p>
        </w:tc>
        <w:tc>
          <w:tcPr>
            <w:tcW w:w="78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380" w:type="dxa"/>
            <w:vAlign w:val="bottom"/>
            <w:tcBorders>
              <w:top w:val="single" w:sz="8" w:color="auto"/>
            </w:tcBorders>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21,902</w:t>
            </w:r>
          </w:p>
        </w:tc>
        <w:tc>
          <w:tcPr>
            <w:tcW w:w="1340" w:type="dxa"/>
            <w:vAlign w:val="bottom"/>
            <w:tcBorders>
              <w:top w:val="single" w:sz="8" w:color="auto"/>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21,505</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21,151</w:t>
            </w: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683</w:t>
            </w: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481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22,585</w:t>
            </w: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8"/>
              </w:rPr>
              <w:t>21,986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21,151</w:t>
            </w: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right="120"/>
        <w:spacing w:after="0" w:line="272" w:lineRule="auto"/>
        <w:rPr>
          <w:sz w:val="20"/>
          <w:szCs w:val="20"/>
          <w:color w:val="auto"/>
        </w:rPr>
      </w:pPr>
      <w:r>
        <w:rPr>
          <w:rFonts w:ascii="Arial" w:cs="Arial" w:eastAsia="Arial" w:hAnsi="Arial"/>
          <w:sz w:val="17"/>
          <w:szCs w:val="17"/>
          <w:b w:val="1"/>
          <w:bCs w:val="1"/>
          <w:color w:val="auto"/>
        </w:rPr>
        <w:t xml:space="preserve">Investments </w:t>
      </w:r>
      <w:r>
        <w:rPr>
          <w:rFonts w:ascii="Arial" w:cs="Arial" w:eastAsia="Arial" w:hAnsi="Arial"/>
          <w:sz w:val="17"/>
          <w:szCs w:val="17"/>
          <w:color w:val="auto"/>
        </w:rPr>
        <w:t>– Highly liquid investments with insignificant interest rate risk and original maturities of three months or less are classified as cash and cash</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Cash equivalents are comprised of money market funds, corporate and U.S. government debt securities. The carrying amounts approximate fair value due to the short maturities of these instruments. Investments with maturities greater than three months are classified as short-term investments. All of our short-term investments are classified as available-for-sale and are reported at fair value, as determined by quoted market prices, with any unrealized gains and losses, net of tax, recorded as a separate component of accumulated other comprehensive income in stockholders’ equity. Unrealized gains and losses on investments accounted for all of the accumulated other comprehensive income (loss) balance in the Consolidated Statement of Stockholders’ Equity. We manage our cash equivalents and short-term investments as a single portfolio of highly marketable securities, all of which are intended to be available for our current operations.</w:t>
      </w:r>
    </w:p>
    <w:p>
      <w:pPr>
        <w:spacing w:after="0" w:line="78" w:lineRule="exact"/>
        <w:rPr>
          <w:sz w:val="20"/>
          <w:szCs w:val="20"/>
          <w:color w:val="auto"/>
        </w:rPr>
      </w:pPr>
    </w:p>
    <w:p>
      <w:pPr>
        <w:ind w:left="220" w:right="40"/>
        <w:spacing w:after="0" w:line="281" w:lineRule="auto"/>
        <w:rPr>
          <w:sz w:val="20"/>
          <w:szCs w:val="20"/>
          <w:color w:val="auto"/>
        </w:rPr>
      </w:pPr>
      <w:r>
        <w:rPr>
          <w:rFonts w:ascii="Arial" w:cs="Arial" w:eastAsia="Arial" w:hAnsi="Arial"/>
          <w:sz w:val="17"/>
          <w:szCs w:val="17"/>
          <w:b w:val="1"/>
          <w:bCs w:val="1"/>
          <w:color w:val="auto"/>
        </w:rPr>
        <w:t xml:space="preserve">Concentration of Credit Risk – </w:t>
      </w:r>
      <w:r>
        <w:rPr>
          <w:rFonts w:ascii="Arial" w:cs="Arial" w:eastAsia="Arial" w:hAnsi="Arial"/>
          <w:sz w:val="17"/>
          <w:szCs w:val="17"/>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 Our customers include semiconductor manufacturers and semiconductor test subcontractors and other customers located throughout all areas of the world. We perform ongoing credit evaluations of our customers and generally require no collateral.</w:t>
      </w:r>
    </w:p>
    <w:p>
      <w:pPr>
        <w:spacing w:after="0" w:line="70" w:lineRule="exact"/>
        <w:rPr>
          <w:sz w:val="20"/>
          <w:szCs w:val="20"/>
          <w:color w:val="auto"/>
        </w:rPr>
      </w:pPr>
    </w:p>
    <w:p>
      <w:pPr>
        <w:ind w:left="220" w:right="20"/>
        <w:spacing w:after="0" w:line="274" w:lineRule="auto"/>
        <w:rPr>
          <w:sz w:val="20"/>
          <w:szCs w:val="20"/>
          <w:color w:val="auto"/>
        </w:rPr>
      </w:pPr>
      <w:r>
        <w:rPr>
          <w:rFonts w:ascii="Arial" w:cs="Arial" w:eastAsia="Arial" w:hAnsi="Arial"/>
          <w:sz w:val="17"/>
          <w:szCs w:val="17"/>
          <w:b w:val="1"/>
          <w:bCs w:val="1"/>
          <w:color w:val="auto"/>
        </w:rPr>
        <w:t xml:space="preserve">Inventories – </w:t>
      </w:r>
      <w:r>
        <w:rPr>
          <w:rFonts w:ascii="Arial" w:cs="Arial" w:eastAsia="Arial" w:hAnsi="Arial"/>
          <w:sz w:val="17"/>
          <w:szCs w:val="17"/>
          <w:color w:val="auto"/>
        </w:rPr>
        <w:t>Inventories are stated at the lower of cost, determined on a current average or first-in, first-out basis, or market. Cost includes labor,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market values are below our costs. In addition to charges to cost of sales for excess and obsolete inventories that aggregated $6.2 million, $5.8 million, and $2.9 million in the years ended December 31, 2005, 2004, and 2003, respectively, we recorded a charge to cost of sales of $1.7 million in 2003 as a result of market valuation writedowns.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20" w:right="40"/>
        <w:spacing w:after="0" w:line="261"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estimated useful lives of thirty to forty years for buildings, five to fifteen years for building improvements and three to ten years for machinery, equipment and software. We have manufacturing facilities in California and Massachusetts that are not fully utilized. We are fully depreciating all assets at these facilities and we anticipate selling the Massachusetts facility in 2006.</w:t>
      </w:r>
    </w:p>
    <w:p>
      <w:pPr>
        <w:spacing w:after="0" w:line="86" w:lineRule="exact"/>
        <w:rPr>
          <w:sz w:val="20"/>
          <w:szCs w:val="20"/>
          <w:color w:val="auto"/>
        </w:rPr>
      </w:pPr>
    </w:p>
    <w:p>
      <w:pPr>
        <w:ind w:left="220"/>
        <w:spacing w:after="0" w:line="261"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Under Statement No. 142, goodwill and other intangible assets with indefinite useful lives are not amortized, but</w:t>
      </w:r>
      <w:r>
        <w:rPr>
          <w:rFonts w:ascii="Arial" w:cs="Arial" w:eastAsia="Arial" w:hAnsi="Arial"/>
          <w:sz w:val="18"/>
          <w:szCs w:val="18"/>
          <w:b w:val="1"/>
          <w:bCs w:val="1"/>
          <w:color w:val="auto"/>
        </w:rPr>
        <w:t xml:space="preserve"> </w:t>
      </w:r>
      <w:r>
        <w:rPr>
          <w:rFonts w:ascii="Arial" w:cs="Arial" w:eastAsia="Arial" w:hAnsi="Arial"/>
          <w:sz w:val="18"/>
          <w:szCs w:val="18"/>
          <w:color w:val="auto"/>
        </w:rPr>
        <w:t>are reviewed annually for impairment or more frequently if impairment indicators arise. We perform the required annual goodwill impairment test as of October 1 of each year. Separable intangible assets that have finite lives are amortized over their useful lives. Under Statement No. 142, goodwill and other intangible assets with indefinite useful lives resulting from acquisitions are not amortized.</w:t>
      </w:r>
    </w:p>
    <w:p>
      <w:pPr>
        <w:spacing w:after="0" w:line="90" w:lineRule="exact"/>
        <w:rPr>
          <w:sz w:val="20"/>
          <w:szCs w:val="20"/>
          <w:color w:val="auto"/>
        </w:rPr>
      </w:pPr>
    </w:p>
    <w:p>
      <w:pPr>
        <w:ind w:left="220" w:right="200"/>
        <w:spacing w:after="0" w:line="312" w:lineRule="auto"/>
        <w:rPr>
          <w:sz w:val="20"/>
          <w:szCs w:val="20"/>
          <w:color w:val="auto"/>
        </w:rPr>
      </w:pPr>
      <w:r>
        <w:rPr>
          <w:rFonts w:ascii="Arial" w:cs="Arial" w:eastAsia="Arial" w:hAnsi="Arial"/>
          <w:sz w:val="16"/>
          <w:szCs w:val="16"/>
          <w:color w:val="auto"/>
        </w:rPr>
        <w:t xml:space="preserve">Statement No. 144 addresses financial accounting and reporting for the impairment of long-lived assets (excluding goodwill) and for long-lived assets to be disposed of. However, Statement No. 144 retains the fundamental provisions of Statement No. 121, </w:t>
      </w:r>
      <w:r>
        <w:rPr>
          <w:rFonts w:ascii="Arial" w:cs="Arial" w:eastAsia="Arial" w:hAnsi="Arial"/>
          <w:sz w:val="16"/>
          <w:szCs w:val="16"/>
          <w:i w:val="1"/>
          <w:iCs w:val="1"/>
          <w:color w:val="auto"/>
        </w:rPr>
        <w:t>Accounting for the Impairment of Long-Lived</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for Long-Lived Assets to Be Disposed Of</w:t>
      </w:r>
      <w:r>
        <w:rPr>
          <w:rFonts w:ascii="Arial" w:cs="Arial" w:eastAsia="Arial" w:hAnsi="Arial"/>
          <w:sz w:val="16"/>
          <w:szCs w:val="16"/>
          <w:color w:val="auto"/>
        </w:rPr>
        <w:t>, for recognition and measurement of the impairment of long-lived assets to be held and used.</w:t>
      </w:r>
    </w:p>
    <w:p>
      <w:pPr>
        <w:spacing w:after="0" w:line="48" w:lineRule="exact"/>
        <w:rPr>
          <w:sz w:val="20"/>
          <w:szCs w:val="20"/>
          <w:color w:val="auto"/>
        </w:rPr>
      </w:pPr>
    </w:p>
    <w:p>
      <w:pPr>
        <w:ind w:left="220" w:right="360"/>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In accordance with the guidance provided by SAB No. 104, we recognize revenue when there is persuasive evidence of an</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61" w:lineRule="exact"/>
        <w:rPr>
          <w:sz w:val="20"/>
          <w:szCs w:val="20"/>
          <w:color w:val="auto"/>
        </w:rPr>
      </w:pPr>
    </w:p>
    <w:p>
      <w:pPr>
        <w:ind w:left="220" w:right="40"/>
        <w:spacing w:after="0" w:line="276" w:lineRule="auto"/>
        <w:rPr>
          <w:sz w:val="20"/>
          <w:szCs w:val="20"/>
          <w:color w:val="auto"/>
        </w:rPr>
      </w:pPr>
      <w:r>
        <w:rPr>
          <w:rFonts w:ascii="Arial" w:cs="Arial" w:eastAsia="Arial" w:hAnsi="Arial"/>
          <w:sz w:val="17"/>
          <w:szCs w:val="17"/>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 acceptance is deferred and recognized upon receipt of customer acceptance.</w:t>
      </w:r>
    </w:p>
    <w:p>
      <w:pPr>
        <w:spacing w:after="0" w:line="78" w:lineRule="exact"/>
        <w:rPr>
          <w:sz w:val="20"/>
          <w:szCs w:val="20"/>
          <w:color w:val="auto"/>
        </w:rPr>
      </w:pPr>
    </w:p>
    <w:p>
      <w:pPr>
        <w:ind w:left="220" w:right="60"/>
        <w:spacing w:after="0" w:line="302" w:lineRule="auto"/>
        <w:rPr>
          <w:sz w:val="20"/>
          <w:szCs w:val="20"/>
          <w:color w:val="auto"/>
        </w:rPr>
      </w:pPr>
      <w:r>
        <w:rPr>
          <w:rFonts w:ascii="Arial" w:cs="Arial" w:eastAsia="Arial" w:hAnsi="Arial"/>
          <w:sz w:val="16"/>
          <w:szCs w:val="16"/>
          <w:color w:val="auto"/>
        </w:rPr>
        <w:t>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training services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60" w:lineRule="exact"/>
        <w:rPr>
          <w:sz w:val="20"/>
          <w:szCs w:val="20"/>
          <w:color w:val="auto"/>
        </w:rPr>
      </w:pPr>
    </w:p>
    <w:p>
      <w:pPr>
        <w:jc w:val="both"/>
        <w:ind w:left="220" w:right="200"/>
        <w:spacing w:after="0" w:line="259" w:lineRule="auto"/>
        <w:rPr>
          <w:sz w:val="20"/>
          <w:szCs w:val="20"/>
          <w:color w:val="auto"/>
        </w:rPr>
      </w:pPr>
      <w:r>
        <w:rPr>
          <w:rFonts w:ascii="Arial" w:cs="Arial" w:eastAsia="Arial" w:hAnsi="Arial"/>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at estimated fair value until delivery of the deferred elements.</w:t>
      </w:r>
    </w:p>
    <w:p>
      <w:pPr>
        <w:spacing w:after="0" w:line="92" w:lineRule="exact"/>
        <w:rPr>
          <w:sz w:val="20"/>
          <w:szCs w:val="20"/>
          <w:color w:val="auto"/>
        </w:rPr>
      </w:pPr>
    </w:p>
    <w:p>
      <w:pPr>
        <w:ind w:left="220" w:right="560"/>
        <w:spacing w:after="0" w:line="312" w:lineRule="auto"/>
        <w:rPr>
          <w:sz w:val="20"/>
          <w:szCs w:val="20"/>
          <w:color w:val="auto"/>
        </w:rPr>
      </w:pPr>
      <w:r>
        <w:rPr>
          <w:rFonts w:ascii="Arial" w:cs="Arial" w:eastAsia="Arial" w:hAnsi="Arial"/>
          <w:sz w:val="16"/>
          <w:szCs w:val="16"/>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in our consolidated balance sheet. At December 31,</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360"/>
        <w:spacing w:after="0" w:line="277" w:lineRule="auto"/>
        <w:rPr>
          <w:sz w:val="20"/>
          <w:szCs w:val="20"/>
          <w:color w:val="auto"/>
        </w:rPr>
      </w:pPr>
      <w:r>
        <w:rPr>
          <w:rFonts w:ascii="Arial" w:cs="Arial" w:eastAsia="Arial" w:hAnsi="Arial"/>
          <w:sz w:val="18"/>
          <w:szCs w:val="18"/>
          <w:color w:val="auto"/>
        </w:rPr>
        <w:t>2005, we had total deferred revenue of approximately $30.7 million and deferred profit of $13.8 million. At December 31, 2004, we had total deferred revenue of approximately $22.5 million and deferred profit of $9.7 million.</w:t>
      </w:r>
    </w:p>
    <w:p>
      <w:pPr>
        <w:spacing w:after="0" w:line="76" w:lineRule="exact"/>
        <w:rPr>
          <w:sz w:val="20"/>
          <w:szCs w:val="20"/>
          <w:color w:val="auto"/>
        </w:rPr>
      </w:pPr>
    </w:p>
    <w:p>
      <w:pPr>
        <w:ind w:left="220" w:right="60"/>
        <w:spacing w:after="0" w:line="268" w:lineRule="auto"/>
        <w:rPr>
          <w:sz w:val="20"/>
          <w:szCs w:val="20"/>
          <w:color w:val="auto"/>
        </w:rPr>
      </w:pPr>
      <w:r>
        <w:rPr>
          <w:rFonts w:ascii="Arial" w:cs="Arial" w:eastAsia="Arial" w:hAnsi="Arial"/>
          <w:sz w:val="17"/>
          <w:szCs w:val="17"/>
          <w:color w:val="auto"/>
        </w:rPr>
        <w:t>In April 2003, our Broadcast Microwave Services subsidiary was awarded an $8.5 million contract from the United Arab Emirates (UAE) Armed Services to provide microwave communications equipment for a command center and infrastructure system for border security. The contract, which utilizes our most advanced microwave communications technology that has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we will recognize all revenue and related costs under this contract in the period the system is accepted by the customer. In the fourth quarter of 2005, BMS received notification that the customer had approved an amendment to the original contract increasing the total value of the contract to $8.9 million. Under the terms of the amendment BMS will provide certain additional equipment and services. Through December 31, 2005, we had shipped inventory with a sales value of $8.1 million and deferred costs of approximately $5.9 million resulting in deferred profit of approximately $2.2 million under the contract. In addition, at December 31, 2005 we had billed accounts receivable of approximately $0.1 million and unbilled accounts receivable of approximately $3.2 million. We have also provided the customer with a standby letter of credit totaling approximately $2.6 million at December 31, 2005, that may be drawn upon if BMS does not fulfill the terms of the contract. While customer acceptance and final contract payment has taken longer than anticipated, we believe that such acceptance and payment will be received. However, in the event BMS is unable to obtain customer acceptance of the system, the receivables may need to be written off and the customer might seek a refund of the $4.8 million in payments made under the contract, which could materially impact our results of operations and financial condition.</w:t>
      </w:r>
    </w:p>
    <w:p>
      <w:pPr>
        <w:spacing w:after="0" w:line="85" w:lineRule="exact"/>
        <w:rPr>
          <w:sz w:val="20"/>
          <w:szCs w:val="20"/>
          <w:color w:val="auto"/>
        </w:rPr>
      </w:pPr>
    </w:p>
    <w:p>
      <w:pPr>
        <w:ind w:left="220" w:right="100"/>
        <w:spacing w:after="0" w:line="266" w:lineRule="auto"/>
        <w:rPr>
          <w:sz w:val="20"/>
          <w:szCs w:val="20"/>
          <w:color w:val="auto"/>
        </w:rPr>
      </w:pPr>
      <w:r>
        <w:rPr>
          <w:rFonts w:ascii="Arial" w:cs="Arial" w:eastAsia="Arial" w:hAnsi="Arial"/>
          <w:sz w:val="18"/>
          <w:szCs w:val="18"/>
          <w:b w:val="1"/>
          <w:bCs w:val="1"/>
          <w:color w:val="auto"/>
        </w:rPr>
        <w:t xml:space="preserve">Product Warranty </w:t>
      </w:r>
      <w:r>
        <w:rPr>
          <w:rFonts w:ascii="Arial" w:cs="Arial" w:eastAsia="Arial" w:hAnsi="Arial"/>
          <w:sz w:val="18"/>
          <w:szCs w:val="18"/>
          <w:color w:val="auto"/>
        </w:rPr>
        <w:t>– Product warranty costs are accrued in the period sales are recognized. Our products are generally sold with a 12-month to 36-month</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period. Parts and labor are typically covered under the terms of the warranty agreement. The warranty expense accruals are based on historical and estimated costs by product and configuration.</w:t>
      </w:r>
    </w:p>
    <w:p>
      <w:pPr>
        <w:spacing w:after="0" w:line="82" w:lineRule="exact"/>
        <w:rPr>
          <w:sz w:val="20"/>
          <w:szCs w:val="20"/>
          <w:color w:val="auto"/>
        </w:rPr>
      </w:pPr>
    </w:p>
    <w:p>
      <w:pPr>
        <w:ind w:left="220" w:right="60"/>
        <w:spacing w:after="0" w:line="313" w:lineRule="auto"/>
        <w:rPr>
          <w:sz w:val="20"/>
          <w:szCs w:val="20"/>
          <w:color w:val="auto"/>
        </w:rPr>
      </w:pPr>
      <w:r>
        <w:rPr>
          <w:rFonts w:ascii="Arial" w:cs="Arial" w:eastAsia="Arial" w:hAnsi="Arial"/>
          <w:sz w:val="17"/>
          <w:szCs w:val="17"/>
          <w:b w:val="1"/>
          <w:bCs w:val="1"/>
          <w:color w:val="auto"/>
        </w:rPr>
        <w:t xml:space="preserve">Contingencies and Litigation – </w:t>
      </w:r>
      <w:r>
        <w:rPr>
          <w:rFonts w:ascii="Arial" w:cs="Arial" w:eastAsia="Arial" w:hAnsi="Arial"/>
          <w:sz w:val="17"/>
          <w:szCs w:val="17"/>
          <w:color w:val="auto"/>
        </w:rPr>
        <w:t>We assess the probability of adverse judgments in connection with current and threatened litigation. We would accrue the</w:t>
      </w:r>
      <w:r>
        <w:rPr>
          <w:rFonts w:ascii="Arial" w:cs="Arial" w:eastAsia="Arial" w:hAnsi="Arial"/>
          <w:sz w:val="17"/>
          <w:szCs w:val="17"/>
          <w:b w:val="1"/>
          <w:bCs w:val="1"/>
          <w:color w:val="auto"/>
        </w:rPr>
        <w:t xml:space="preserve"> </w:t>
      </w:r>
      <w:r>
        <w:rPr>
          <w:rFonts w:ascii="Arial" w:cs="Arial" w:eastAsia="Arial" w:hAnsi="Arial"/>
          <w:sz w:val="17"/>
          <w:szCs w:val="17"/>
          <w:color w:val="auto"/>
        </w:rPr>
        <w:t>cost of an adverse judgment if, in our estimation, the adverse outcome is probable and we can reasonably estimate the ultimate cost.</w:t>
      </w:r>
    </w:p>
    <w:p>
      <w:pPr>
        <w:spacing w:after="0" w:line="44" w:lineRule="exact"/>
        <w:rPr>
          <w:sz w:val="20"/>
          <w:szCs w:val="20"/>
          <w:color w:val="auto"/>
        </w:rPr>
      </w:pPr>
    </w:p>
    <w:p>
      <w:pPr>
        <w:ind w:left="220"/>
        <w:spacing w:after="0" w:line="277" w:lineRule="auto"/>
        <w:rPr>
          <w:sz w:val="20"/>
          <w:szCs w:val="20"/>
          <w:color w:val="auto"/>
        </w:rPr>
      </w:pPr>
      <w:r>
        <w:rPr>
          <w:rFonts w:ascii="Arial" w:cs="Arial" w:eastAsia="Arial" w:hAnsi="Arial"/>
          <w:sz w:val="17"/>
          <w:szCs w:val="17"/>
          <w:b w:val="1"/>
          <w:bCs w:val="1"/>
          <w:color w:val="auto"/>
        </w:rPr>
        <w:t xml:space="preserve">Foreign Currency Translation – </w:t>
      </w:r>
      <w:r>
        <w:rPr>
          <w:rFonts w:ascii="Arial" w:cs="Arial" w:eastAsia="Arial" w:hAnsi="Arial"/>
          <w:sz w:val="17"/>
          <w:szCs w:val="17"/>
          <w:color w:val="auto"/>
        </w:rPr>
        <w:t>Our foreign subsidiaries use the U.S. dollar as their functional currency. Accordingly, assets and liabilities of these</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are translated using exchange rates in effect at the end of the period, except for nonmonetary assets, such as inventories and property, plant and equipment, which are translated using historical exchange rates. Revenues and costs are translated using average exchange rates for the period, except for costs related to those balance sheet items that are translated using historical exchange rates. Foreign currency gains and losses were not significant in any period and are included in the Consolidated Statements of Operations.</w:t>
      </w:r>
    </w:p>
    <w:p>
      <w:pPr>
        <w:spacing w:after="0" w:line="74" w:lineRule="exact"/>
        <w:rPr>
          <w:sz w:val="20"/>
          <w:szCs w:val="20"/>
          <w:color w:val="auto"/>
        </w:rPr>
      </w:pPr>
    </w:p>
    <w:p>
      <w:pPr>
        <w:ind w:left="220" w:right="340"/>
        <w:spacing w:after="0" w:line="266" w:lineRule="auto"/>
        <w:rPr>
          <w:sz w:val="20"/>
          <w:szCs w:val="20"/>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color w:val="auto"/>
        </w:rPr>
        <w:t>– FASB Statement No. 133,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that all derivatives be recognized in the balance sheet at fair value and special accounting for hedging activities that meet certain criteria. We generally do not hold derivative instruments or engage in hedging activities.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20" w:right="14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 </w:t>
      </w:r>
      <w:r>
        <w:rPr>
          <w:rFonts w:ascii="Arial" w:cs="Arial" w:eastAsia="Arial" w:hAnsi="Arial"/>
          <w:sz w:val="16"/>
          <w:szCs w:val="16"/>
          <w:color w:val="auto"/>
        </w:rPr>
        <w:t>The carrying amounts of our financial instruments, including cash and cash equivalents, short-term investments,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receivable, accounts payable and accrued expenses, approximate fair value due to the short maturities of these financial instruments.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Advertising Costs – </w:t>
      </w:r>
      <w:r>
        <w:rPr>
          <w:rFonts w:ascii="Arial" w:cs="Arial" w:eastAsia="Arial" w:hAnsi="Arial"/>
          <w:sz w:val="18"/>
          <w:szCs w:val="18"/>
          <w:color w:val="auto"/>
        </w:rPr>
        <w:t>Advertising costs are expensed as incurred. Advertising costs were not material for all periods presented.</w:t>
      </w:r>
    </w:p>
    <w:p>
      <w:pPr>
        <w:spacing w:after="0" w:line="131" w:lineRule="exact"/>
        <w:rPr>
          <w:sz w:val="20"/>
          <w:szCs w:val="20"/>
          <w:color w:val="auto"/>
        </w:rPr>
      </w:pPr>
    </w:p>
    <w:p>
      <w:pPr>
        <w:ind w:left="220" w:right="80"/>
        <w:spacing w:after="0" w:line="295" w:lineRule="auto"/>
        <w:rPr>
          <w:sz w:val="20"/>
          <w:szCs w:val="20"/>
          <w:color w:val="auto"/>
        </w:rPr>
      </w:pPr>
      <w:r>
        <w:rPr>
          <w:rFonts w:ascii="Arial" w:cs="Arial" w:eastAsia="Arial" w:hAnsi="Arial"/>
          <w:sz w:val="16"/>
          <w:szCs w:val="16"/>
          <w:b w:val="1"/>
          <w:bCs w:val="1"/>
          <w:color w:val="auto"/>
        </w:rPr>
        <w:t xml:space="preserve">Recent Accounting Pronouncements – </w:t>
      </w:r>
      <w:r>
        <w:rPr>
          <w:rFonts w:ascii="Arial" w:cs="Arial" w:eastAsia="Arial" w:hAnsi="Arial"/>
          <w:sz w:val="16"/>
          <w:szCs w:val="16"/>
          <w:color w:val="auto"/>
        </w:rPr>
        <w:t>In November 2005, the FASB issued FSP 115-1, which provides guidance on determining when investments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debt and equity securities are considered impaired, whether that impairment is other-than-temporary and on measuring such impairment loss. FSP 115-1 also includes accounting considerations subsequent to the recognition of an other-than temporary impairment and requires certain disclosures about unrealized losses that have not been recognized as other-than-temporary impairments. FSP 115-1 is required to be applied to reporting periods beginning after December 15, 2005 and we will adopt FSP 115-1 during the first quarter of fiscal 2006. We are currently evaluating the effect that the adoption of FSP 115-1 will have on our consolidated results of operations and financial condition but we do not expect that it will have a material impact.</w:t>
      </w:r>
    </w:p>
    <w:p>
      <w:pPr>
        <w:spacing w:after="0" w:line="65" w:lineRule="exact"/>
        <w:rPr>
          <w:sz w:val="20"/>
          <w:szCs w:val="20"/>
          <w:color w:val="auto"/>
        </w:rPr>
      </w:pPr>
    </w:p>
    <w:p>
      <w:pPr>
        <w:ind w:left="220" w:right="220"/>
        <w:spacing w:after="0" w:line="259" w:lineRule="auto"/>
        <w:rPr>
          <w:sz w:val="20"/>
          <w:szCs w:val="20"/>
          <w:color w:val="auto"/>
        </w:rPr>
      </w:pPr>
      <w:r>
        <w:rPr>
          <w:rFonts w:ascii="Arial" w:cs="Arial" w:eastAsia="Arial" w:hAnsi="Arial"/>
          <w:sz w:val="18"/>
          <w:szCs w:val="18"/>
          <w:color w:val="auto"/>
        </w:rPr>
        <w:t xml:space="preserve">In May 2005, the FASB issued Statement No. 154. This statement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and FASB Statement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and changes the requirements for the accounting for and reporting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principle. Statement No. 154 is effective for accounting changes and corrections of errors made in fiscal years beginning after December 15, 2005.</w:t>
      </w:r>
    </w:p>
    <w:p>
      <w:pPr>
        <w:spacing w:after="0" w:line="92" w:lineRule="exact"/>
        <w:rPr>
          <w:sz w:val="20"/>
          <w:szCs w:val="20"/>
          <w:color w:val="auto"/>
        </w:rPr>
      </w:pPr>
    </w:p>
    <w:p>
      <w:pPr>
        <w:ind w:left="220"/>
        <w:spacing w:after="0" w:line="285" w:lineRule="auto"/>
        <w:rPr>
          <w:sz w:val="20"/>
          <w:szCs w:val="20"/>
          <w:color w:val="auto"/>
        </w:rPr>
      </w:pPr>
      <w:r>
        <w:rPr>
          <w:rFonts w:ascii="Arial" w:cs="Arial" w:eastAsia="Arial" w:hAnsi="Arial"/>
          <w:sz w:val="16"/>
          <w:szCs w:val="16"/>
          <w:color w:val="auto"/>
        </w:rPr>
        <w:t>In December, 2004, the FASB issued Statement No. 123R. Statement No. 123R addresses all forms of share-based payment awards, including shares issued under employee stock purchase plans, stock options, restricted stock and stock appreciation rights. Statement No. 123R will require that we expense share-based payment awards with compensation cost for share-based payment transactions measured at fair value. Statement No. 123R required certain companies to adopt the new accounting provisions beginning in 2005. However, on April 14, 2005, the Securities and Exchange Commission announced the adoption of a new rule that amends the compliance date of Statement No. 123R until the beginning of the next fiscal year that begins on or after</w:t>
      </w:r>
    </w:p>
    <w:p>
      <w:pPr>
        <w:spacing w:after="0" w:line="2" w:lineRule="exact"/>
        <w:rPr>
          <w:sz w:val="20"/>
          <w:szCs w:val="20"/>
          <w:color w:val="auto"/>
        </w:rPr>
      </w:pPr>
    </w:p>
    <w:p>
      <w:pPr>
        <w:ind w:left="220" w:right="340"/>
        <w:spacing w:after="0" w:line="273" w:lineRule="auto"/>
        <w:rPr>
          <w:sz w:val="20"/>
          <w:szCs w:val="20"/>
          <w:color w:val="auto"/>
        </w:rPr>
      </w:pPr>
      <w:r>
        <w:rPr>
          <w:rFonts w:ascii="Arial" w:cs="Arial" w:eastAsia="Arial" w:hAnsi="Arial"/>
          <w:sz w:val="17"/>
          <w:szCs w:val="17"/>
          <w:color w:val="auto"/>
        </w:rPr>
        <w:t>June 15, 2005. As a result of the amendment, we will adopt Statement No. 123R using the modified prospective method on January 1, 2006. We are currently evaluating option valuation methodologies and assumptions in light of Statement No. 123R and the methodologies and assumptions we ultimately use may be different than those currently used. We expect that our adoption of Statement No. 123R will result in an impact to our operating results that is similar to our current pro forma disclosures under Statement No. 123.</w:t>
      </w:r>
    </w:p>
    <w:p>
      <w:pPr>
        <w:spacing w:after="0" w:line="82" w:lineRule="exact"/>
        <w:rPr>
          <w:sz w:val="20"/>
          <w:szCs w:val="20"/>
          <w:color w:val="auto"/>
        </w:rPr>
      </w:pPr>
    </w:p>
    <w:p>
      <w:pPr>
        <w:ind w:left="220" w:right="140"/>
        <w:spacing w:after="0" w:line="273" w:lineRule="auto"/>
        <w:rPr>
          <w:sz w:val="20"/>
          <w:szCs w:val="20"/>
          <w:color w:val="auto"/>
        </w:rPr>
      </w:pPr>
      <w:r>
        <w:rPr>
          <w:rFonts w:ascii="Arial" w:cs="Arial" w:eastAsia="Arial" w:hAnsi="Arial"/>
          <w:sz w:val="17"/>
          <w:szCs w:val="17"/>
          <w:color w:val="auto"/>
        </w:rPr>
        <w:t>In November, 2004, the FASB issued Statement No. 151, which is the result of efforts to converge U.S. accounting standards for inventories with International Accounting Standards. Statement No. 151 requires abnormal amounts of idle facility expenses, freight, handling costs, and wasted material (spoilage) costs to be recognized as current-period charges. It also requires that the allocation of fixed production overheads to the costs of conversion be based on the normal capacity of the production facilities. Statement No. 151 will be effective for inventory costs incurred during fiscal years beginning after June 15, 2005. We will adopt Statement No. 151 on January 1, 2006. We are currently evaluating the impact of Statement No. 151; however, we do not believe it will have a material impact on our consolidated financial statements.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2004 Results of Operations</w:t>
      </w:r>
    </w:p>
    <w:p>
      <w:pPr>
        <w:spacing w:after="0" w:line="134" w:lineRule="exact"/>
        <w:rPr>
          <w:rFonts w:ascii="Arial" w:cs="Arial" w:eastAsia="Arial" w:hAnsi="Arial"/>
          <w:sz w:val="18"/>
          <w:szCs w:val="18"/>
          <w:b w:val="1"/>
          <w:bCs w:val="1"/>
          <w:color w:val="auto"/>
        </w:rPr>
      </w:pPr>
    </w:p>
    <w:p>
      <w:pPr>
        <w:jc w:val="both"/>
        <w:ind w:left="2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2003, we recorded a charge to cost of sales of approximately $1.7 million as a result of inventory market valuation writedowns. During 2004, we sold certain of the written down inventory and as a result our cost of sales and the related gross profit was favorably impacted by approximately $1.3 million. There were no sales of this inventory during 2005.</w:t>
      </w:r>
    </w:p>
    <w:p>
      <w:pPr>
        <w:spacing w:after="0" w:line="86" w:lineRule="exact"/>
        <w:rPr>
          <w:rFonts w:ascii="Arial" w:cs="Arial" w:eastAsia="Arial" w:hAnsi="Arial"/>
          <w:sz w:val="18"/>
          <w:szCs w:val="18"/>
          <w:b w:val="1"/>
          <w:bCs w:val="1"/>
          <w:color w:val="auto"/>
        </w:rPr>
      </w:pPr>
    </w:p>
    <w:p>
      <w:pPr>
        <w:ind w:left="260"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In 2001 and 2002, we accrued approximately $1.2 million for potential customer sales credits. We accounted for these sales credits in accordance with Emerging Issues Task Force (“EITF”) Issue 01-9, </w:t>
      </w:r>
      <w:r>
        <w:rPr>
          <w:rFonts w:ascii="Arial" w:cs="Arial" w:eastAsia="Arial" w:hAnsi="Arial"/>
          <w:sz w:val="17"/>
          <w:szCs w:val="17"/>
          <w:i w:val="1"/>
          <w:iCs w:val="1"/>
          <w:color w:val="auto"/>
        </w:rPr>
        <w:t>Accounting for Consideration Given by a Vendor to a Customer (Including a Reseller of the Vendor’s</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w:t>
      </w:r>
      <w:r>
        <w:rPr>
          <w:rFonts w:ascii="Arial" w:cs="Arial" w:eastAsia="Arial" w:hAnsi="Arial"/>
          <w:sz w:val="17"/>
          <w:szCs w:val="17"/>
          <w:color w:val="auto"/>
        </w:rPr>
        <w:t>, by recording reductions to revenue equal to the maximum amount of the potential sales credits. During the quarter ended September 30, 2004,</w:t>
      </w:r>
      <w:r>
        <w:rPr>
          <w:rFonts w:ascii="Arial" w:cs="Arial" w:eastAsia="Arial" w:hAnsi="Arial"/>
          <w:sz w:val="17"/>
          <w:szCs w:val="17"/>
          <w:i w:val="1"/>
          <w:iCs w:val="1"/>
          <w:color w:val="auto"/>
        </w:rPr>
        <w:t xml:space="preserve"> </w:t>
      </w:r>
      <w:r>
        <w:rPr>
          <w:rFonts w:ascii="Arial" w:cs="Arial" w:eastAsia="Arial" w:hAnsi="Arial"/>
          <w:sz w:val="17"/>
          <w:szCs w:val="17"/>
          <w:color w:val="auto"/>
        </w:rPr>
        <w:t>these sales credits expired and, as a result, the $1.2 million liability was eliminated with a corresponding credit to net sales.</w:t>
      </w:r>
    </w:p>
    <w:p>
      <w:pPr>
        <w:spacing w:after="0" w:line="72" w:lineRule="exact"/>
        <w:rPr>
          <w:rFonts w:ascii="Arial" w:cs="Arial" w:eastAsia="Arial" w:hAnsi="Arial"/>
          <w:sz w:val="18"/>
          <w:szCs w:val="18"/>
          <w:b w:val="1"/>
          <w:bCs w:val="1"/>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134" w:lineRule="exact"/>
        <w:rPr>
          <w:rFonts w:ascii="Arial" w:cs="Arial" w:eastAsia="Arial" w:hAnsi="Arial"/>
          <w:sz w:val="18"/>
          <w:szCs w:val="18"/>
          <w:b w:val="1"/>
          <w:bCs w:val="1"/>
          <w:color w:val="auto"/>
        </w:rPr>
      </w:pPr>
    </w:p>
    <w:p>
      <w:pPr>
        <w:ind w:left="2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April 10, 2003, we announced that Delta was relocating its Littleton, Massachusetts operation to its facility in Poway, California. The consolidation was substantially completed in March, 2004. During 2005, we recorded charges to operations totaling $13,000 for severance and one-time termination benefits. These charges are included in cost of sales ($6,000), research and development ($3,000) and selling, general and administrative expense ($4,000). During 2004, we recorded charges to operations totaling $194,000 for severance and one-time termination benefits and other exit costs. These charges are included in cost of sales ($59,000), research and development ($61,000) and selling, general and administrative expense ($74,000). During 2003, we recorded charges to operations totaling $868,000 for severance and one-time termination benefits and other exit costs. These charges are included in cost of sales ($337,000), research and development ($341,000) and selling, general and administrative expense ($190,000). Cumulative charges to operations for severance and other exit costs for the period April 10, 2003 to December 31, 2005, were $1,075,000.</w:t>
      </w:r>
    </w:p>
    <w:p>
      <w:pPr>
        <w:spacing w:after="0" w:line="71" w:lineRule="exact"/>
        <w:rPr>
          <w:rFonts w:ascii="Arial" w:cs="Arial" w:eastAsia="Arial" w:hAnsi="Arial"/>
          <w:sz w:val="18"/>
          <w:szCs w:val="18"/>
          <w:b w:val="1"/>
          <w:bCs w:val="1"/>
          <w:color w:val="auto"/>
        </w:rPr>
      </w:pPr>
    </w:p>
    <w:p>
      <w:pPr>
        <w:ind w:left="2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currently attempting to sell our Littleton manufacturing facility. We believe that the current fair value of the Littleton property is in excess of its $3.2 million carrying value at December 31, 2005.</w:t>
      </w:r>
    </w:p>
    <w:p>
      <w:pPr>
        <w:spacing w:after="0" w:line="75" w:lineRule="exact"/>
        <w:rPr>
          <w:rFonts w:ascii="Arial" w:cs="Arial" w:eastAsia="Arial" w:hAnsi="Arial"/>
          <w:sz w:val="18"/>
          <w:szCs w:val="18"/>
          <w:b w:val="1"/>
          <w:bCs w:val="1"/>
          <w:color w:val="auto"/>
        </w:rPr>
      </w:pPr>
    </w:p>
    <w:p>
      <w:pPr>
        <w:ind w:left="2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reconciles amounts accrued and paid under the Littleton consolidation plan. The liability at December 31, 2005 and 2004, is included in accrued compensation and benefits in the consolidated balance sheet.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Severance and</w:t>
            </w:r>
          </w:p>
        </w:tc>
        <w:tc>
          <w:tcPr>
            <w:tcW w:w="12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7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gridSpan w:val="4"/>
          </w:tcPr>
          <w:p>
            <w:pPr>
              <w:ind w:left="40"/>
              <w:spacing w:after="0"/>
              <w:rPr>
                <w:sz w:val="20"/>
                <w:szCs w:val="20"/>
                <w:color w:val="auto"/>
              </w:rPr>
            </w:pPr>
            <w:r>
              <w:rPr>
                <w:rFonts w:ascii="Arial" w:cs="Arial" w:eastAsia="Arial" w:hAnsi="Arial"/>
                <w:sz w:val="14"/>
                <w:szCs w:val="14"/>
                <w:b w:val="1"/>
                <w:bCs w:val="1"/>
                <w:color w:val="auto"/>
              </w:rPr>
              <w:t>other payroll</w:t>
            </w: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2"/>
              </w:rPr>
              <w:t>exit costs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December 31, 2002</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Costs accrued</w:t>
            </w:r>
          </w:p>
        </w:tc>
        <w:tc>
          <w:tcPr>
            <w:tcW w:w="3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Liability at December 31, 2003</w:t>
            </w: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Costs accrued</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Amounts paid or charged</w:t>
            </w:r>
          </w:p>
        </w:tc>
        <w:tc>
          <w:tcPr>
            <w:tcW w:w="32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Liability at December 31, 2004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Costs accrued</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Liability at December 31, 2005</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120"/>
        <w:spacing w:after="0" w:line="259" w:lineRule="auto"/>
        <w:rPr>
          <w:sz w:val="20"/>
          <w:szCs w:val="20"/>
          <w:color w:val="auto"/>
        </w:rPr>
      </w:pPr>
      <w:r>
        <w:rPr>
          <w:rFonts w:ascii="Arial" w:cs="Arial" w:eastAsia="Arial" w:hAnsi="Arial"/>
          <w:sz w:val="18"/>
          <w:szCs w:val="18"/>
          <w:color w:val="auto"/>
        </w:rPr>
        <w:t>In April, 2003, Delta completed the relocation of its Columbus, Ohio operations to its facility in Poway, California. We recorded charges to operations for the Columbus consolidation in the year ended December 31, 2003, totaling $630,000 for severance and one-time termination benefits and $117,000 for contract termination costs primarily related to the leased facility. These charges are included in cost of sales ($47,000), research and development ($570,000) and selling, general and administrative expense ($130,000).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This relocation was completed in 2003 and we did not record any additional charges during 2004 or 2005.</w:t>
      </w:r>
    </w:p>
    <w:p>
      <w:pPr>
        <w:spacing w:after="0" w:line="12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Short-term investments by security type at December 31,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169"/>
              <w:spacing w:after="0"/>
              <w:rPr>
                <w:sz w:val="20"/>
                <w:szCs w:val="20"/>
                <w:color w:val="auto"/>
              </w:rPr>
            </w:pPr>
            <w:r>
              <w:rPr>
                <w:rFonts w:ascii="Arial" w:cs="Arial" w:eastAsia="Arial" w:hAnsi="Arial"/>
                <w:sz w:val="14"/>
                <w:szCs w:val="14"/>
                <w:b w:val="1"/>
                <w:bCs w:val="1"/>
                <w:color w:val="auto"/>
              </w:rPr>
              <w:t>2005</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102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tcPr>
          <w:p>
            <w:pPr>
              <w:jc w:val="center"/>
              <w:ind w:left="170"/>
              <w:spacing w:after="0" w:line="119" w:lineRule="exact"/>
              <w:rPr>
                <w:sz w:val="20"/>
                <w:szCs w:val="20"/>
                <w:color w:val="auto"/>
              </w:rPr>
            </w:pPr>
            <w:r>
              <w:rPr>
                <w:rFonts w:ascii="Arial" w:cs="Arial" w:eastAsia="Arial" w:hAnsi="Arial"/>
                <w:sz w:val="13"/>
                <w:szCs w:val="13"/>
                <w:b w:val="1"/>
                <w:bCs w:val="1"/>
                <w:color w:val="auto"/>
                <w:w w:val="95"/>
              </w:rPr>
              <w:t>Gross</w:t>
            </w:r>
          </w:p>
        </w:tc>
        <w:tc>
          <w:tcPr>
            <w:tcW w:w="1620" w:type="dxa"/>
            <w:vAlign w:val="bottom"/>
          </w:tcPr>
          <w:p>
            <w:pPr>
              <w:jc w:val="center"/>
              <w:ind w:left="149"/>
              <w:spacing w:after="0" w:line="119" w:lineRule="exact"/>
              <w:rPr>
                <w:sz w:val="20"/>
                <w:szCs w:val="20"/>
                <w:color w:val="auto"/>
              </w:rPr>
            </w:pPr>
            <w:r>
              <w:rPr>
                <w:rFonts w:ascii="Arial" w:cs="Arial" w:eastAsia="Arial" w:hAnsi="Arial"/>
                <w:sz w:val="13"/>
                <w:szCs w:val="13"/>
                <w:b w:val="1"/>
                <w:bCs w:val="1"/>
                <w:color w:val="auto"/>
                <w:w w:val="95"/>
              </w:rPr>
              <w:t>Gross</w:t>
            </w:r>
          </w:p>
        </w:tc>
        <w:tc>
          <w:tcPr>
            <w:tcW w:w="1020" w:type="dxa"/>
            <w:vAlign w:val="bottom"/>
          </w:tcPr>
          <w:p>
            <w:pPr>
              <w:jc w:val="center"/>
              <w:ind w:left="230"/>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tcPr>
          <w:p>
            <w:pPr>
              <w:jc w:val="center"/>
              <w:ind w:left="19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20" w:type="dxa"/>
            <w:vAlign w:val="bottom"/>
          </w:tcPr>
          <w:p>
            <w:pPr>
              <w:jc w:val="center"/>
              <w:ind w:left="14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20" w:type="dxa"/>
            <w:vAlign w:val="bottom"/>
          </w:tcPr>
          <w:p>
            <w:pPr>
              <w:jc w:val="center"/>
              <w:ind w:left="23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tcBorders>
              <w:bottom w:val="single" w:sz="8" w:color="auto"/>
            </w:tcBorders>
          </w:tcPr>
          <w:p>
            <w:pPr>
              <w:jc w:val="center"/>
              <w:ind w:left="170"/>
              <w:spacing w:after="0"/>
              <w:rPr>
                <w:sz w:val="20"/>
                <w:szCs w:val="20"/>
                <w:color w:val="auto"/>
              </w:rPr>
            </w:pPr>
            <w:r>
              <w:rPr>
                <w:rFonts w:ascii="Arial" w:cs="Arial" w:eastAsia="Arial" w:hAnsi="Arial"/>
                <w:sz w:val="14"/>
                <w:szCs w:val="14"/>
                <w:b w:val="1"/>
                <w:bCs w:val="1"/>
                <w:color w:val="auto"/>
                <w:w w:val="92"/>
              </w:rPr>
              <w:t>Gains</w:t>
            </w:r>
          </w:p>
        </w:tc>
        <w:tc>
          <w:tcPr>
            <w:tcW w:w="162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82"/>
              </w:rPr>
              <w:t>Losses</w:t>
            </w:r>
          </w:p>
        </w:tc>
        <w:tc>
          <w:tcPr>
            <w:tcW w:w="1020" w:type="dxa"/>
            <w:vAlign w:val="bottom"/>
            <w:tcBorders>
              <w:bottom w:val="single" w:sz="8" w:color="auto"/>
            </w:tcBorders>
          </w:tcPr>
          <w:p>
            <w:pPr>
              <w:jc w:val="center"/>
              <w:ind w:left="23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Corporate equity securities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8"/>
              </w:rPr>
              <w:t>97,568</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97,227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2,950</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2"/>
              </w:rPr>
              <w:t>$ 100,518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$ 100,202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color w:val="auto"/>
              </w:rPr>
              <w:t>2004</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80"/>
              <w:spacing w:after="0" w:line="123" w:lineRule="exact"/>
              <w:rPr>
                <w:sz w:val="20"/>
                <w:szCs w:val="20"/>
                <w:color w:val="auto"/>
              </w:rPr>
            </w:pPr>
            <w:r>
              <w:rPr>
                <w:rFonts w:ascii="Arial" w:cs="Arial" w:eastAsia="Arial" w:hAnsi="Arial"/>
                <w:sz w:val="14"/>
                <w:szCs w:val="14"/>
                <w:color w:val="auto"/>
                <w:w w:val="96"/>
              </w:rPr>
              <w:t>Gross</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right"/>
              <w:ind w:right="480"/>
              <w:spacing w:after="0" w:line="123" w:lineRule="exact"/>
              <w:rPr>
                <w:sz w:val="20"/>
                <w:szCs w:val="20"/>
                <w:color w:val="auto"/>
              </w:rPr>
            </w:pPr>
            <w:r>
              <w:rPr>
                <w:rFonts w:ascii="Arial" w:cs="Arial" w:eastAsia="Arial" w:hAnsi="Arial"/>
                <w:sz w:val="14"/>
                <w:szCs w:val="14"/>
                <w:color w:val="auto"/>
              </w:rPr>
              <w:t>Gross</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center"/>
              <w:ind w:right="680"/>
              <w:spacing w:after="0" w:line="149" w:lineRule="exact"/>
              <w:rPr>
                <w:sz w:val="20"/>
                <w:szCs w:val="20"/>
                <w:color w:val="auto"/>
              </w:rPr>
            </w:pPr>
            <w:r>
              <w:rPr>
                <w:rFonts w:ascii="Arial" w:cs="Arial" w:eastAsia="Arial" w:hAnsi="Arial"/>
                <w:sz w:val="14"/>
                <w:szCs w:val="14"/>
                <w:color w:val="auto"/>
                <w:w w:val="98"/>
              </w:rPr>
              <w:t>Amortized</w:t>
            </w:r>
          </w:p>
        </w:tc>
        <w:tc>
          <w:tcPr>
            <w:tcW w:w="4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Unrealized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Unrealized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800"/>
              <w:spacing w:after="0"/>
              <w:rPr>
                <w:sz w:val="20"/>
                <w:szCs w:val="20"/>
                <w:color w:val="auto"/>
              </w:rPr>
            </w:pPr>
            <w:r>
              <w:rPr>
                <w:rFonts w:ascii="Arial" w:cs="Arial" w:eastAsia="Arial" w:hAnsi="Arial"/>
                <w:sz w:val="14"/>
                <w:szCs w:val="14"/>
                <w:color w:val="auto"/>
                <w:w w:val="90"/>
              </w:rPr>
              <w:t>Cost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w w:val="98"/>
              </w:rPr>
              <w:t>Gains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4"/>
                <w:szCs w:val="14"/>
                <w:color w:val="auto"/>
                <w:w w:val="90"/>
              </w:rPr>
              <w:t>Losses</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equity securities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tcBorders>
              <w:top w:val="single" w:sz="8" w:color="auto"/>
            </w:tcBorders>
            <w:gridSpan w:val="4"/>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39,517</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17,563</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57,080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$ 56,920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00" w:type="dxa"/>
            <w:vAlign w:val="bottom"/>
            <w:gridSpan w:val="7"/>
          </w:tcPr>
          <w:p>
            <w:pPr>
              <w:spacing w:after="0"/>
              <w:rPr>
                <w:sz w:val="20"/>
                <w:szCs w:val="20"/>
                <w:color w:val="auto"/>
              </w:rPr>
            </w:pPr>
            <w:r>
              <w:rPr>
                <w:rFonts w:ascii="Arial" w:cs="Arial" w:eastAsia="Arial" w:hAnsi="Arial"/>
                <w:sz w:val="18"/>
                <w:szCs w:val="18"/>
                <w:color w:val="auto"/>
                <w:w w:val="93"/>
              </w:rPr>
              <w:t>Contractual maturities of short-term investments in debt securities at December 31, 2005, were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6"/>
          </w:tcPr>
          <w:p>
            <w:pPr>
              <w:ind w:left="20"/>
              <w:spacing w:after="0"/>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78"/>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Cost</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4"/>
              </w:rPr>
              <w:t>70,000</w:t>
            </w: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69,799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30,518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30,376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$ 100,518</w:t>
            </w:r>
          </w:p>
        </w:tc>
        <w:tc>
          <w:tcPr>
            <w:tcW w:w="3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$ 100,175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right="440"/>
        <w:spacing w:after="0" w:line="277" w:lineRule="auto"/>
        <w:rPr>
          <w:sz w:val="20"/>
          <w:szCs w:val="20"/>
          <w:color w:val="auto"/>
        </w:rPr>
      </w:pPr>
      <w:r>
        <w:rPr>
          <w:rFonts w:ascii="Arial" w:cs="Arial" w:eastAsia="Arial" w:hAnsi="Arial"/>
          <w:sz w:val="18"/>
          <w:szCs w:val="18"/>
          <w:color w:val="auto"/>
        </w:rPr>
        <w:t>Gross realized gains on sales of short-term investments are included in interest income and were approximately $1,000 in 2005, $21,000 in 2004 and $350,000 in 2003. Gross realized losses were not significant in any period.</w:t>
      </w:r>
    </w:p>
    <w:p>
      <w:pPr>
        <w:spacing w:after="0" w:line="7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Asset Acquisition and Strategic Technology Transactions</w:t>
      </w:r>
    </w:p>
    <w:p>
      <w:pPr>
        <w:spacing w:after="0" w:line="134" w:lineRule="exact"/>
        <w:rPr>
          <w:rFonts w:ascii="Arial" w:cs="Arial" w:eastAsia="Arial" w:hAnsi="Arial"/>
          <w:sz w:val="18"/>
          <w:szCs w:val="18"/>
          <w:b w:val="1"/>
          <w:bCs w:val="1"/>
          <w:color w:val="auto"/>
        </w:rPr>
      </w:pPr>
    </w:p>
    <w:p>
      <w:pPr>
        <w:ind w:left="2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December 6, 2002, Delta entered into certain agreements with KryoTech, Inc. (“KryoTech”). KryoTech, based in West Columbia, South Carolina, designed, developed, manufactured and marketed advanced thermal solutions for electronic systems and products, including semiconductor equipment. The agreements provided for, among other things, a cash investment of up to $5 million in KryoTech Series D Preferred Stock, representing approximately 15% of KryoTech’s fully diluted shares outstanding, to be funded in two, $2.5 million tranches, warrants to purchase up to 500,000 shares of KryoTech Preferred Stock at $3.00 per share and an exclusive joint development and distribution agreement to jointly develop and sell certain KryoTech products. The first and only $2.5 million investment was funded from Cohu’s cash reserves in December, 2002. We used the cost method to account for our less than 10% ownership interest in KryoTech. In 2003, we wrote off the investment and recorded a $2.5 million charge as the investment was deemed impaired and such impairment was considered other than temporary, pursuant to APB No. 18.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180"/>
        <w:spacing w:after="0" w:line="308" w:lineRule="auto"/>
        <w:rPr>
          <w:sz w:val="20"/>
          <w:szCs w:val="20"/>
          <w:color w:val="auto"/>
        </w:rPr>
      </w:pPr>
      <w:r>
        <w:rPr>
          <w:rFonts w:ascii="Arial" w:cs="Arial" w:eastAsia="Arial" w:hAnsi="Arial"/>
          <w:sz w:val="17"/>
          <w:szCs w:val="17"/>
          <w:color w:val="auto"/>
        </w:rPr>
        <w:t>In August 2004, we provided a 180-day working capital loan to KryoTech in the amount of $500,000. The loan accrued interest at 5.0% and was secured by certain assets of KyroTech. The principal of $500,000 and accrued interest was outstanding as of December 31, 2004.</w:t>
      </w:r>
    </w:p>
    <w:p>
      <w:pPr>
        <w:spacing w:after="0" w:line="52" w:lineRule="exact"/>
        <w:rPr>
          <w:sz w:val="20"/>
          <w:szCs w:val="20"/>
          <w:color w:val="auto"/>
        </w:rPr>
      </w:pPr>
    </w:p>
    <w:p>
      <w:pPr>
        <w:ind w:left="220" w:right="20"/>
        <w:spacing w:after="0" w:line="264" w:lineRule="auto"/>
        <w:rPr>
          <w:sz w:val="20"/>
          <w:szCs w:val="20"/>
          <w:color w:val="auto"/>
        </w:rPr>
      </w:pPr>
      <w:r>
        <w:rPr>
          <w:rFonts w:ascii="Arial" w:cs="Arial" w:eastAsia="Arial" w:hAnsi="Arial"/>
          <w:sz w:val="18"/>
          <w:szCs w:val="18"/>
          <w:color w:val="auto"/>
        </w:rPr>
        <w:t>On May 6, 2005, we purchased substantially all the assets and operations of the KryoTech business. The results of KryoTech’s operations have been included in the consolidated financial statements since that date. Consummation of the acquisition terminated our joint development project with KryoTech and eliminated all minimum purchase obligations.</w:t>
      </w:r>
    </w:p>
    <w:p>
      <w:pPr>
        <w:spacing w:after="0" w:line="87" w:lineRule="exact"/>
        <w:rPr>
          <w:sz w:val="20"/>
          <w:szCs w:val="20"/>
          <w:color w:val="auto"/>
        </w:rPr>
      </w:pPr>
    </w:p>
    <w:p>
      <w:pPr>
        <w:ind w:left="220"/>
        <w:spacing w:after="0" w:line="273" w:lineRule="auto"/>
        <w:rPr>
          <w:sz w:val="20"/>
          <w:szCs w:val="20"/>
          <w:color w:val="auto"/>
        </w:rPr>
      </w:pPr>
      <w:r>
        <w:rPr>
          <w:rFonts w:ascii="Arial" w:cs="Arial" w:eastAsia="Arial" w:hAnsi="Arial"/>
          <w:sz w:val="17"/>
          <w:szCs w:val="17"/>
          <w:color w:val="auto"/>
        </w:rPr>
        <w:t xml:space="preserve">The purchase price of this acquisition was approximately $3.6 million, and was funded primarily by our cash reserves ($2.9 million). The purchase price also included the payment of the outstanding principal balance and accrued interest on the promissory note with KryoTech ($0.5 million), other acquisition costs ($0.2 million) and certain KryoTech liabilities assumed ($0.5 million). The acquisition was considered a business in accordance with EITF 98-3, </w:t>
      </w:r>
      <w:r>
        <w:rPr>
          <w:rFonts w:ascii="Arial" w:cs="Arial" w:eastAsia="Arial" w:hAnsi="Arial"/>
          <w:sz w:val="17"/>
          <w:szCs w:val="17"/>
          <w:i w:val="1"/>
          <w:iCs w:val="1"/>
          <w:color w:val="auto"/>
        </w:rPr>
        <w:t>Determining Whether a Nonmonetary Transaction Involves Receipt of Productive Assets or of a Business</w:t>
      </w:r>
      <w:r>
        <w:rPr>
          <w:rFonts w:ascii="Arial" w:cs="Arial" w:eastAsia="Arial" w:hAnsi="Arial"/>
          <w:sz w:val="17"/>
          <w:szCs w:val="17"/>
          <w:color w:val="auto"/>
        </w:rPr>
        <w:t>, and the total cost of the acquisition was allocated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assets acquired and liabilities assumed based on their respective fair values in accordance with Statement No. 141. All assets are expected to be fully deductible for tax purposes. The goodwill was assigned to our semiconductor equipment segment.</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allocation of the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Backlog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assumed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60"/>
        <w:spacing w:after="0" w:line="264" w:lineRule="auto"/>
        <w:rPr>
          <w:sz w:val="20"/>
          <w:szCs w:val="20"/>
          <w:color w:val="auto"/>
        </w:rPr>
      </w:pPr>
      <w:r>
        <w:rPr>
          <w:rFonts w:ascii="Arial" w:cs="Arial" w:eastAsia="Arial" w:hAnsi="Arial"/>
          <w:sz w:val="18"/>
          <w:szCs w:val="18"/>
          <w:color w:val="auto"/>
        </w:rPr>
        <w:t>Amounts allocated to other intangible assets are being amortized on a straight-line basis over their estimated useful lives of three years. Amortization expense for the year ended December 31, 2005 was approximately $434,000. Pro forma results of operations have not been presented because the effect of the acquisition was not material.</w:t>
      </w:r>
    </w:p>
    <w:p>
      <w:pPr>
        <w:spacing w:after="0" w:line="87" w:lineRule="exact"/>
        <w:rPr>
          <w:sz w:val="20"/>
          <w:szCs w:val="20"/>
          <w:color w:val="auto"/>
        </w:rPr>
      </w:pPr>
    </w:p>
    <w:p>
      <w:pPr>
        <w:ind w:left="220" w:right="40"/>
        <w:spacing w:after="0" w:line="259" w:lineRule="auto"/>
        <w:rPr>
          <w:sz w:val="20"/>
          <w:szCs w:val="20"/>
          <w:color w:val="auto"/>
        </w:rPr>
      </w:pPr>
      <w:r>
        <w:rPr>
          <w:rFonts w:ascii="Arial" w:cs="Arial" w:eastAsia="Arial" w:hAnsi="Arial"/>
          <w:sz w:val="18"/>
          <w:szCs w:val="18"/>
          <w:color w:val="auto"/>
        </w:rPr>
        <w:t>On December 29, 2005, we entered in to an exclusive, perpetual, irrevocable, world-wide, royalty-free license for certain patents with Unisys Corporation for a one-time cash payment of $5.0 million. The total capitalized cost of the license includes the value of the cash consideration and other costs associated with the acquisition. The intangible asset was assigned to our semiconductor equipment segment and is being amortized on a straight-line basis over five years.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Acquired, amortizable intangible assets at December 31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color w:val="auto"/>
              </w:rPr>
              <w:t>2004</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2020" w:type="dxa"/>
            <w:vAlign w:val="bottom"/>
            <w:gridSpan w:val="4"/>
          </w:tcPr>
          <w:p>
            <w:pPr>
              <w:ind w:left="580"/>
              <w:spacing w:after="0" w:line="119" w:lineRule="exact"/>
              <w:rPr>
                <w:sz w:val="20"/>
                <w:szCs w:val="20"/>
                <w:color w:val="auto"/>
              </w:rPr>
            </w:pPr>
            <w:r>
              <w:rPr>
                <w:rFonts w:ascii="Arial" w:cs="Arial" w:eastAsia="Arial" w:hAnsi="Arial"/>
                <w:sz w:val="13"/>
                <w:szCs w:val="13"/>
                <w:b w:val="1"/>
                <w:bCs w:val="1"/>
                <w:color w:val="auto"/>
              </w:rPr>
              <w:t>Accumulated</w:t>
            </w:r>
          </w:p>
        </w:tc>
        <w:tc>
          <w:tcPr>
            <w:tcW w:w="960" w:type="dxa"/>
            <w:vAlign w:val="bottom"/>
            <w:gridSpan w:val="3"/>
          </w:tcPr>
          <w:p>
            <w:pPr>
              <w:ind w:left="20"/>
              <w:spacing w:after="0" w:line="119" w:lineRule="exact"/>
              <w:rPr>
                <w:sz w:val="20"/>
                <w:szCs w:val="20"/>
                <w:color w:val="auto"/>
              </w:rPr>
            </w:pPr>
            <w:r>
              <w:rPr>
                <w:rFonts w:ascii="Arial" w:cs="Arial" w:eastAsia="Arial" w:hAnsi="Arial"/>
                <w:sz w:val="13"/>
                <w:szCs w:val="13"/>
                <w:color w:val="auto"/>
              </w:rPr>
              <w:t>Gross Carrying</w:t>
            </w:r>
          </w:p>
        </w:tc>
        <w:tc>
          <w:tcPr>
            <w:tcW w:w="1440" w:type="dxa"/>
            <w:vAlign w:val="bottom"/>
            <w:gridSpan w:val="4"/>
          </w:tcPr>
          <w:p>
            <w:pPr>
              <w:ind w:left="580"/>
              <w:spacing w:after="0" w:line="119" w:lineRule="exact"/>
              <w:rPr>
                <w:sz w:val="20"/>
                <w:szCs w:val="20"/>
                <w:color w:val="auto"/>
              </w:rPr>
            </w:pPr>
            <w:r>
              <w:rPr>
                <w:rFonts w:ascii="Arial" w:cs="Arial" w:eastAsia="Arial" w:hAnsi="Arial"/>
                <w:sz w:val="13"/>
                <w:szCs w:val="13"/>
                <w:color w:val="auto"/>
              </w:rPr>
              <w:t>Accumulated</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0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Amount</w:t>
            </w:r>
          </w:p>
        </w:tc>
        <w:tc>
          <w:tcPr>
            <w:tcW w:w="14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Patent license</w:t>
            </w:r>
          </w:p>
        </w:tc>
        <w:tc>
          <w:tcPr>
            <w:tcW w:w="2540" w:type="dxa"/>
            <w:vAlign w:val="bottom"/>
            <w:gridSpan w:val="2"/>
            <w:shd w:val="clear" w:color="auto" w:fill="CCEEFF"/>
          </w:tcPr>
          <w:p>
            <w:pPr>
              <w:ind w:left="23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7"/>
              </w:rPr>
              <w:t>5,037</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KryoTech technology</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b w:val="1"/>
                <w:bCs w:val="1"/>
                <w:color w:val="auto"/>
                <w:w w:val="97"/>
              </w:rPr>
              <w:t>1,950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434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BMS technology</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7"/>
              </w:rPr>
              <w:t>1,650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1,650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84"/>
              </w:rPr>
              <w:t>8,637</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380" w:type="dxa"/>
            <w:vAlign w:val="bottom"/>
            <w:vMerge w:val="restart"/>
          </w:tcPr>
          <w:p>
            <w:pPr>
              <w:jc w:val="right"/>
              <w:ind w:right="90"/>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Amortization expense in 2005, 2004 and 2003 was $892,000, $550,000, and $550,000, respectively.</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estimated amortization expense in future years is: 2006 – $1,658,000; 2007 – $1,658,000; 2008 – $1,223,000; 2009 – $1,007,000; 2010 – $1,007,000.</w:t>
      </w:r>
    </w:p>
    <w:p>
      <w:pPr>
        <w:spacing w:after="0" w:line="150"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134" w:lineRule="exact"/>
        <w:rPr>
          <w:rFonts w:ascii="Arial" w:cs="Arial" w:eastAsia="Arial" w:hAnsi="Arial"/>
          <w:sz w:val="18"/>
          <w:szCs w:val="18"/>
          <w:b w:val="1"/>
          <w:bCs w:val="1"/>
          <w:color w:val="auto"/>
        </w:rPr>
      </w:pPr>
    </w:p>
    <w:p>
      <w:pPr>
        <w:jc w:val="both"/>
        <w:ind w:left="2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April 16, 2001, we sold land and buildings in San Diego, California to TC Kearny Villa, L.P. (“TC”), an unrelated party, for $12.5 million, excluding commissions and other related expenses. The $12.5 million purchase price included a cash payment of $3.1 million and a $9.4 million, 8% non-recourse note, secured by a first deed of trust on the property. We subsequently extended the term of the promissory note with TC to March 31, 2004. In February, 2004, we entered into an agreement with TC whereby we released our beneficial interest in the property securing the note receivable in exchange for full payment of the note and $272,000 of accrued interest. We received net cash proceeds from TC totaling approximately $9.3 million on February 19, 2004. The interest received was recorded as income in 2004.</w:t>
      </w:r>
    </w:p>
    <w:p>
      <w:pPr>
        <w:spacing w:after="0" w:line="98" w:lineRule="exact"/>
        <w:rPr>
          <w:rFonts w:ascii="Arial" w:cs="Arial" w:eastAsia="Arial" w:hAnsi="Arial"/>
          <w:sz w:val="18"/>
          <w:szCs w:val="18"/>
          <w:b w:val="1"/>
          <w:bCs w:val="1"/>
          <w:color w:val="auto"/>
        </w:rPr>
      </w:pPr>
    </w:p>
    <w:p>
      <w:pPr>
        <w:ind w:left="26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April 25, 2003, we sold twelve acres of land in Poway, California held for future development for $8.8 million in net cash proceeds resulting in a pretax gain of approximately $7.9 million.</w:t>
      </w:r>
    </w:p>
    <w:p>
      <w:pPr>
        <w:spacing w:after="0" w:line="71" w:lineRule="exact"/>
        <w:rPr>
          <w:rFonts w:ascii="Arial" w:cs="Arial" w:eastAsia="Arial" w:hAnsi="Arial"/>
          <w:sz w:val="18"/>
          <w:szCs w:val="18"/>
          <w:b w:val="1"/>
          <w:bCs w:val="1"/>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34" w:lineRule="exact"/>
        <w:rPr>
          <w:rFonts w:ascii="Arial" w:cs="Arial" w:eastAsia="Arial" w:hAnsi="Arial"/>
          <w:sz w:val="18"/>
          <w:szCs w:val="18"/>
          <w:b w:val="1"/>
          <w:bCs w:val="1"/>
          <w:color w:val="auto"/>
        </w:rPr>
      </w:pPr>
    </w:p>
    <w:p>
      <w:pPr>
        <w:ind w:left="260"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2005, we renewed our $5.0 million unsecured bank line of credit bearing interest at the bank’s prime rate. The line of credit will expire in July, 2006, and requires that we maintain specified minimum levels of net worth, limits the amount of our capital expenditures and requires us to meet certain other financial covenants. We are currently in compliance with these covenants. No borrowings were outstanding as of December 31, 2005 or 2004. At December 31, 2005, $2.6 million of the credit facility was allocated to standby letters of credit, leaving the balance of $2.4 million available for future borrowings.</w:t>
      </w:r>
    </w:p>
    <w:p>
      <w:pPr>
        <w:spacing w:after="0" w:line="89" w:lineRule="exact"/>
        <w:rPr>
          <w:rFonts w:ascii="Arial" w:cs="Arial" w:eastAsia="Arial" w:hAnsi="Arial"/>
          <w:sz w:val="18"/>
          <w:szCs w:val="18"/>
          <w:b w:val="1"/>
          <w:bCs w:val="1"/>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4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Federal</w:t>
            </w:r>
          </w:p>
        </w:tc>
        <w:tc>
          <w:tcPr>
            <w:tcW w:w="4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7,104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5,300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258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4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7,362</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Federal</w:t>
            </w: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(2,398)</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(6,096)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(4,564)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45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(6,962)</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(6,362)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580" w:type="dxa"/>
            <w:vAlign w:val="bottom"/>
            <w:vMerge w:val="restart"/>
          </w:tcPr>
          <w:p>
            <w:pPr>
              <w:jc w:val="right"/>
              <w:ind w:right="2010"/>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10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at December 31,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Inventory, receivable and warranty reserves</w:t>
            </w:r>
          </w:p>
        </w:tc>
        <w:tc>
          <w:tcPr>
            <w:tcW w:w="2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12,383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12,970</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carryforwards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2,376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2,346</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loss carryforwards and unrealized losses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Accrued employee benefits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profit under SAB 104</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5,319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impairment writedown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Capitalized research expenses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Book over tax depreciation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2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24,274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22,442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valuation allowance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(6,873)</w:t>
            </w:r>
          </w:p>
        </w:tc>
      </w:tr>
      <w:tr>
        <w:trPr>
          <w:trHeight w:val="223"/>
        </w:trPr>
        <w:tc>
          <w:tcPr>
            <w:tcW w:w="20" w:type="dxa"/>
            <w:vAlign w:val="bottom"/>
          </w:tcPr>
          <w:p>
            <w:pPr>
              <w:spacing w:after="0"/>
              <w:rPr>
                <w:sz w:val="19"/>
                <w:szCs w:val="19"/>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Total deferred tax assets</w:t>
            </w:r>
          </w:p>
        </w:tc>
        <w:tc>
          <w:tcPr>
            <w:tcW w:w="2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22,490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15,569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Tax over book depreciation</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facilities sale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Acquisition basis differences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2,154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2,044</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460" w:type="dxa"/>
            <w:vAlign w:val="bottom"/>
          </w:tcPr>
          <w:p>
            <w:pPr>
              <w:ind w:left="400"/>
              <w:spacing w:after="0"/>
              <w:rPr>
                <w:sz w:val="20"/>
                <w:szCs w:val="20"/>
                <w:color w:val="auto"/>
              </w:rPr>
            </w:pPr>
            <w:r>
              <w:rPr>
                <w:rFonts w:ascii="Arial" w:cs="Arial" w:eastAsia="Arial" w:hAnsi="Arial"/>
                <w:sz w:val="18"/>
                <w:szCs w:val="18"/>
                <w:color w:val="auto"/>
              </w:rPr>
              <w:t>Total deferred tax liabilities</w:t>
            </w:r>
          </w:p>
        </w:tc>
        <w:tc>
          <w:tcPr>
            <w:tcW w:w="2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deferred tax assets</w:t>
            </w:r>
          </w:p>
        </w:tc>
        <w:tc>
          <w:tcPr>
            <w:tcW w:w="2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4"/>
              </w:rPr>
              <w:t>16,920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9,958</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20" w:right="40"/>
        <w:spacing w:after="0" w:line="288" w:lineRule="auto"/>
        <w:rPr>
          <w:sz w:val="20"/>
          <w:szCs w:val="20"/>
          <w:color w:val="auto"/>
        </w:rPr>
      </w:pPr>
      <w:r>
        <w:rPr>
          <w:rFonts w:ascii="Arial" w:cs="Arial" w:eastAsia="Arial" w:hAnsi="Arial"/>
          <w:sz w:val="16"/>
          <w:szCs w:val="16"/>
          <w:color w:val="auto"/>
        </w:rPr>
        <w:t>In accordance with Statement No. 109, net deferred tax assets are reduced by a valuation allowance if, based on all the available evidence, it is more likely than not that some or all of the deferred tax assets will not be realized. A valuation allowance of approximately $1.8 million and $6.9 million was provided on deferred tax assets at December 31, 2005 and 2004, respectively. The amount of deferred tax assets considered realizable was determined based on</w:t>
      </w:r>
    </w:p>
    <w:p>
      <w:pPr>
        <w:ind w:left="220" w:right="60" w:firstLine="4"/>
        <w:spacing w:after="0" w:line="323" w:lineRule="auto"/>
        <w:tabs>
          <w:tab w:leader="none" w:pos="4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taxable income in prior carry 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Our business improved significantly in the second and third quarters of 2005 with orders increasing from $44.4 million in the first quarter of 2005 to</w:t>
      </w:r>
    </w:p>
    <w:p>
      <w:pPr>
        <w:spacing w:after="0" w:line="35" w:lineRule="exact"/>
        <w:rPr>
          <w:sz w:val="20"/>
          <w:szCs w:val="20"/>
          <w:color w:val="auto"/>
        </w:rPr>
      </w:pPr>
    </w:p>
    <w:p>
      <w:pPr>
        <w:ind w:left="220"/>
        <w:spacing w:after="0" w:line="290" w:lineRule="auto"/>
        <w:rPr>
          <w:sz w:val="20"/>
          <w:szCs w:val="20"/>
          <w:color w:val="auto"/>
        </w:rPr>
      </w:pPr>
      <w:r>
        <w:rPr>
          <w:rFonts w:ascii="Arial" w:cs="Arial" w:eastAsia="Arial" w:hAnsi="Arial"/>
          <w:sz w:val="16"/>
          <w:szCs w:val="16"/>
          <w:color w:val="auto"/>
        </w:rPr>
        <w:t>$71.0 million and $72.7 million in the second and third quarters, respectively. This unanticipated increase in orders caused us to reassess our forecast of 2005 income that was used in evaluating the valuation allowance required at December 31, 2004. In accordance with Statement No. 109 we reduced the valuation allowance required at June 25, 2005 and September 24, 2005 resulting in a reduction of our effective tax rate in the second and third quarters of 2005. Statement No. 109 requires that the effect of this reduction in the valuation allowance be recorded by adjusting the effective tax rate used to estimate the tax provision recorded in subsequent interim periods of 2005. During the second, third, and fourth quarters of 2005 and year ended December 31, 2005, the valuation allowance was reduced by approximately $1.7 million, $1.6 million, $1.8 million and $5.1 million, respectively.</w:t>
      </w:r>
    </w:p>
    <w:p>
      <w:pPr>
        <w:spacing w:after="0" w:line="70" w:lineRule="exact"/>
        <w:rPr>
          <w:sz w:val="20"/>
          <w:szCs w:val="20"/>
          <w:color w:val="auto"/>
        </w:rPr>
      </w:pPr>
    </w:p>
    <w:p>
      <w:pPr>
        <w:ind w:left="220" w:right="1000"/>
        <w:spacing w:after="0" w:line="277" w:lineRule="auto"/>
        <w:rPr>
          <w:sz w:val="20"/>
          <w:szCs w:val="20"/>
          <w:color w:val="auto"/>
        </w:rPr>
      </w:pPr>
      <w:r>
        <w:rPr>
          <w:rFonts w:ascii="Arial" w:cs="Arial" w:eastAsia="Arial" w:hAnsi="Arial"/>
          <w:sz w:val="18"/>
          <w:szCs w:val="18"/>
          <w:color w:val="auto"/>
        </w:rPr>
        <w:t>The remaining valuation allowance of approximately $1.8 million at December 31, 2005 is provided for state tax credit and net operating loss carryforwards that, in the opinion of management, are more likely than not to expire before we can use them.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color w:val="auto"/>
        </w:rPr>
        <w:t>The valuation allowance at December 31, 2003 included approximately $459,000 for the tax deductions related to stock option exercises that were realized in 2004 and as a result this amount has been credited to paid in capital in addition to the 2004 benefit of $378,000.</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at U.S. statutory rate</w:t>
            </w:r>
          </w:p>
        </w:tc>
        <w:tc>
          <w:tcPr>
            <w:tcW w:w="1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w w:val="98"/>
              </w:rPr>
              <w:t>12,031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5,566</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97</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(885)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Export sales and manufacturing activities tax benefits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(1,678)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(1,384)</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Settlement of prior year tax returns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(3,159)</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(530)</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prior year tax accruals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(616)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Federal tax credits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(871)</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 net of $459 credited to paid in capital in 2004</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(5,089)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6,977</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 net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(315)</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w:t>
            </w: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State income taxes have been reduced by tax credits totaling approximately $663,000, $564,000 and $885,000 in 2005, 2004 and 2003, respectively.</w:t>
      </w:r>
    </w:p>
    <w:p>
      <w:pPr>
        <w:spacing w:after="0" w:line="154" w:lineRule="exact"/>
        <w:rPr>
          <w:sz w:val="20"/>
          <w:szCs w:val="20"/>
          <w:color w:val="auto"/>
        </w:rPr>
      </w:pPr>
    </w:p>
    <w:p>
      <w:pPr>
        <w:ind w:left="260" w:right="460"/>
        <w:spacing w:after="0" w:line="286" w:lineRule="auto"/>
        <w:rPr>
          <w:sz w:val="20"/>
          <w:szCs w:val="20"/>
          <w:color w:val="auto"/>
        </w:rPr>
      </w:pPr>
      <w:r>
        <w:rPr>
          <w:rFonts w:ascii="Arial" w:cs="Arial" w:eastAsia="Arial" w:hAnsi="Arial"/>
          <w:sz w:val="17"/>
          <w:szCs w:val="17"/>
          <w:color w:val="auto"/>
        </w:rPr>
        <w:t>In March, 2005 the Internal Revenue Service completed a routine examination of our consolidated tax returns for the period 2000 through 2002. The examination resulted in no assessment related to our tax returns as filed. Consequently, approximately $3.1 million of accrued taxes related to the examined years were reversed with a corresponding credit to income tax expense in the quarter ended March 26, 2005.</w:t>
      </w:r>
    </w:p>
    <w:p>
      <w:pPr>
        <w:spacing w:after="0" w:line="71" w:lineRule="exact"/>
        <w:rPr>
          <w:sz w:val="20"/>
          <w:szCs w:val="20"/>
          <w:color w:val="auto"/>
        </w:rPr>
      </w:pPr>
    </w:p>
    <w:p>
      <w:pPr>
        <w:ind w:left="260" w:right="200"/>
        <w:spacing w:after="0" w:line="342" w:lineRule="auto"/>
        <w:rPr>
          <w:sz w:val="20"/>
          <w:szCs w:val="20"/>
          <w:color w:val="auto"/>
        </w:rPr>
      </w:pPr>
      <w:r>
        <w:rPr>
          <w:rFonts w:ascii="Arial" w:cs="Arial" w:eastAsia="Arial" w:hAnsi="Arial"/>
          <w:sz w:val="16"/>
          <w:szCs w:val="16"/>
          <w:color w:val="auto"/>
        </w:rPr>
        <w:t>At December 31, 2005, we had state net operating loss carryforwards of approximately $6.2 million, that expire in various tax years beginning in 2006 through 2025. We also have state tax credit carryforwards of approximately $4.6 million, certain of which expire in various tax years beginning in 2014.</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Foreign income (loss) before income taxes and foreign taxes were not significant. U.S. income taxes have not been provided on approximately</w:t>
      </w:r>
    </w:p>
    <w:p>
      <w:pPr>
        <w:spacing w:after="0" w:line="35" w:lineRule="exact"/>
        <w:rPr>
          <w:sz w:val="20"/>
          <w:szCs w:val="20"/>
          <w:color w:val="auto"/>
        </w:rPr>
      </w:pPr>
    </w:p>
    <w:p>
      <w:pPr>
        <w:ind w:left="260" w:right="200"/>
        <w:spacing w:after="0" w:line="261" w:lineRule="auto"/>
        <w:rPr>
          <w:sz w:val="20"/>
          <w:szCs w:val="20"/>
          <w:color w:val="auto"/>
        </w:rPr>
      </w:pPr>
      <w:r>
        <w:rPr>
          <w:rFonts w:ascii="Arial" w:cs="Arial" w:eastAsia="Arial" w:hAnsi="Arial"/>
          <w:sz w:val="18"/>
          <w:szCs w:val="18"/>
          <w:color w:val="auto"/>
        </w:rPr>
        <w:t>$1.3 million of accumulated undistributed earnings of certain foreign subsidiaries, as we currently intend to reinvest these earnings in operations outside the U.S.</w:t>
      </w:r>
    </w:p>
    <w:p>
      <w:pPr>
        <w:spacing w:after="0" w:line="89" w:lineRule="exact"/>
        <w:rPr>
          <w:sz w:val="20"/>
          <w:szCs w:val="20"/>
          <w:color w:val="auto"/>
        </w:rPr>
      </w:pPr>
    </w:p>
    <w:p>
      <w:pPr>
        <w:ind w:left="260" w:right="40"/>
        <w:spacing w:after="0" w:line="259" w:lineRule="auto"/>
        <w:rPr>
          <w:sz w:val="20"/>
          <w:szCs w:val="20"/>
          <w:color w:val="auto"/>
        </w:rPr>
      </w:pPr>
      <w:r>
        <w:rPr>
          <w:rFonts w:ascii="Arial" w:cs="Arial" w:eastAsia="Arial" w:hAnsi="Arial"/>
          <w:sz w:val="18"/>
          <w:szCs w:val="18"/>
          <w:color w:val="auto"/>
        </w:rPr>
        <w:t>We have derived significant tax benefits from export sales. As a result of the American Jobs Creation Act of 2004, the export sales benefit derived from the Extraterritorial Income Exclusion (“ETI”) was repealed subject to a phase-out that limits the full tax benefit to 80% in 2005 and 60% in 2006. The ETI benefit was replaced with a deduction for domestic manufacturing activities subject to a phase-in beginning in 2005. The future tax benefits we derive from the domestic manufacturing deduction will likely be less than those from ETI.</w:t>
      </w:r>
    </w:p>
    <w:p>
      <w:pPr>
        <w:spacing w:after="0" w:line="88"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134" w:lineRule="exact"/>
        <w:rPr>
          <w:rFonts w:ascii="Arial" w:cs="Arial" w:eastAsia="Arial" w:hAnsi="Arial"/>
          <w:sz w:val="18"/>
          <w:szCs w:val="18"/>
          <w:b w:val="1"/>
          <w:bCs w:val="1"/>
          <w:color w:val="auto"/>
        </w:rPr>
      </w:pPr>
    </w:p>
    <w:p>
      <w:pPr>
        <w:ind w:left="26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1996, we adopted a Stockholder Rights Plan and declared a dividend distribution of one-half Right (“Right”) for each share of Common Stock, payable to holders of record on December 3, 1996. Under certain conditions, each Right may be exercised to purchase 1/200 of a share of Series A Preferred Stock at a purchase price of $45, subject to adjustment.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340" w:right="560"/>
        <w:spacing w:after="0" w:line="277" w:lineRule="auto"/>
        <w:rPr>
          <w:sz w:val="20"/>
          <w:szCs w:val="20"/>
          <w:color w:val="auto"/>
        </w:rPr>
      </w:pPr>
      <w:r>
        <w:rPr>
          <w:rFonts w:ascii="Arial" w:cs="Arial" w:eastAsia="Arial" w:hAnsi="Arial"/>
          <w:sz w:val="18"/>
          <w:szCs w:val="18"/>
          <w:color w:val="auto"/>
        </w:rPr>
        <w:t>on the circumstances. The Rights expire on November 14, 2006, and we may redeem them for $0.001 per Right. The Rights do not have voting or dividend rights and, until they become exercisable, have no dilutive effect on our earnings per share.</w:t>
      </w:r>
    </w:p>
    <w:p>
      <w:pPr>
        <w:spacing w:after="0" w:line="7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134" w:lineRule="exact"/>
        <w:rPr>
          <w:rFonts w:ascii="Arial" w:cs="Arial" w:eastAsia="Arial" w:hAnsi="Arial"/>
          <w:sz w:val="18"/>
          <w:szCs w:val="18"/>
          <w:b w:val="1"/>
          <w:bCs w:val="1"/>
          <w:color w:val="auto"/>
        </w:rPr>
      </w:pPr>
    </w:p>
    <w:p>
      <w:pPr>
        <w:ind w:left="34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We have four reportable segments as defined by Statement No. 131. Our reportable segments are business units that offer different products and are managed separately because each business requires different technology and marketing strategies. Our semiconductor equipment segment, Delta Design, designs, manufactures and sells semiconductor test handling equipment to semiconductor manufacturers and test subcontractors throughout the world and accounted for 84% of net sales in 2005. Our television camera segment, Cohu Electronics, designs, manufactures and sells closed circuit television cameras and systems to original equipment manufacturers, contractors and government agencies and accounted for 8% of net sales in 2005. Our other reportable segments include a metal detection business, Fisher Research Laboratory, and a microwave communications equipment company, Broadcast Microwave Services, which accounted for 3% and 5%, respectively, of net sales in 2005.</w:t>
      </w:r>
    </w:p>
    <w:p>
      <w:pPr>
        <w:spacing w:after="0" w:line="83" w:lineRule="exact"/>
        <w:rPr>
          <w:rFonts w:ascii="Arial" w:cs="Arial" w:eastAsia="Arial" w:hAnsi="Arial"/>
          <w:sz w:val="18"/>
          <w:szCs w:val="18"/>
          <w:b w:val="1"/>
          <w:bCs w:val="1"/>
          <w:color w:val="auto"/>
        </w:rPr>
      </w:pPr>
    </w:p>
    <w:p>
      <w:pPr>
        <w:ind w:left="34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We allocate resources and evaluate the performance of segments based on profit or loss from operations, excluding interest, corporate expenses and unusual gains or losses. Intersegment sales were not significant for any period.</w:t>
      </w:r>
    </w:p>
    <w:p>
      <w:pPr>
        <w:spacing w:after="0" w:line="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Financial information by industry segment is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2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2004</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2003</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w w:val="89"/>
              </w:rPr>
              <w:t>200,774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145,398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17,778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Metal detection</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7,520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6,324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12,830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w w:val="92"/>
              </w:rPr>
              <w:t>Total consolidated net sales and net sales for reportable segments</w:t>
            </w:r>
          </w:p>
        </w:tc>
        <w:tc>
          <w:tcPr>
            <w:tcW w:w="2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238,902</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176,237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profit (loss):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34,982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19,676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(825)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Metal detection</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(381)</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Profit (loss) for reportable segments</w:t>
            </w:r>
          </w:p>
        </w:tc>
        <w:tc>
          <w:tcPr>
            <w:tcW w:w="2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33,635</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Corporate expenses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(3,176)</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(2,869)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3,915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Gain from sale of land held for future development</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impairment writedown</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Consolidated income before income taxes</w:t>
            </w:r>
          </w:p>
        </w:tc>
        <w:tc>
          <w:tcPr>
            <w:tcW w:w="2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34,374</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(benefit) for income taxes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Consolidated net income (loss)</w:t>
            </w:r>
          </w:p>
        </w:tc>
        <w:tc>
          <w:tcPr>
            <w:tcW w:w="2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33,974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500" w:type="dxa"/>
            <w:vAlign w:val="bottom"/>
            <w:vMerge w:val="restart"/>
          </w:tcPr>
          <w:p>
            <w:pPr>
              <w:jc w:val="right"/>
              <w:ind w:right="197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2004</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2003</w:t>
            </w:r>
          </w:p>
        </w:tc>
        <w:tc>
          <w:tcPr>
            <w:tcW w:w="100" w:type="dxa"/>
            <w:vAlign w:val="bottom"/>
            <w:tcBorders>
              <w:bottom w:val="single" w:sz="8" w:color="auto"/>
            </w:tcBorders>
          </w:tcPr>
          <w:p>
            <w:pPr>
              <w:spacing w:after="0"/>
              <w:rPr>
                <w:sz w:val="14"/>
                <w:szCs w:val="14"/>
                <w:color w:val="auto"/>
              </w:rPr>
            </w:pPr>
          </w:p>
        </w:tc>
      </w:tr>
      <w:tr>
        <w:trPr>
          <w:trHeight w:val="142"/>
        </w:trPr>
        <w:tc>
          <w:tcPr>
            <w:tcW w:w="7860" w:type="dxa"/>
            <w:vAlign w:val="bottom"/>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Depreciation and amortization by segment deducted in arriving at profit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4,255</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3,292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2,966</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23"/>
        </w:trPr>
        <w:tc>
          <w:tcPr>
            <w:tcW w:w="7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4,883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 and other intangible amortization/writedown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23"/>
        </w:trPr>
        <w:tc>
          <w:tcPr>
            <w:tcW w:w="7860" w:type="dxa"/>
            <w:vAlign w:val="bottom"/>
          </w:tcPr>
          <w:p>
            <w:pPr>
              <w:ind w:left="420"/>
              <w:spacing w:after="0"/>
              <w:rPr>
                <w:sz w:val="20"/>
                <w:szCs w:val="20"/>
                <w:color w:val="auto"/>
              </w:rPr>
            </w:pPr>
            <w:r>
              <w:rPr>
                <w:rFonts w:ascii="Arial" w:cs="Arial" w:eastAsia="Arial" w:hAnsi="Arial"/>
                <w:sz w:val="18"/>
                <w:szCs w:val="18"/>
                <w:color w:val="auto"/>
              </w:rPr>
              <w:t>Consolidated depreciation and amortization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Capital expenditures by segment: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4,412</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3,421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23"/>
        </w:trPr>
        <w:tc>
          <w:tcPr>
            <w:tcW w:w="7860" w:type="dxa"/>
            <w:vAlign w:val="bottom"/>
          </w:tcPr>
          <w:p>
            <w:pPr>
              <w:ind w:left="620"/>
              <w:spacing w:after="0"/>
              <w:rPr>
                <w:sz w:val="20"/>
                <w:szCs w:val="20"/>
                <w:color w:val="auto"/>
              </w:rPr>
            </w:pPr>
            <w:r>
              <w:rPr>
                <w:rFonts w:ascii="Arial" w:cs="Arial" w:eastAsia="Arial" w:hAnsi="Arial"/>
                <w:sz w:val="18"/>
                <w:szCs w:val="18"/>
                <w:color w:val="auto"/>
              </w:rPr>
              <w:t>Total consolidated capital expenditures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115,689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93,489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89,926</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9,883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8,266</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4,397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4,447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13,919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7,681</w:t>
            </w:r>
          </w:p>
        </w:tc>
      </w:tr>
      <w:tr>
        <w:trPr>
          <w:trHeight w:val="223"/>
        </w:trPr>
        <w:tc>
          <w:tcPr>
            <w:tcW w:w="7860" w:type="dxa"/>
            <w:vAlign w:val="bottom"/>
          </w:tcPr>
          <w:p>
            <w:pPr>
              <w:ind w:left="620"/>
              <w:spacing w:after="0"/>
              <w:rPr>
                <w:sz w:val="20"/>
                <w:szCs w:val="20"/>
                <w:color w:val="auto"/>
              </w:rPr>
            </w:pPr>
            <w:r>
              <w:rPr>
                <w:rFonts w:ascii="Arial" w:cs="Arial" w:eastAsia="Arial" w:hAnsi="Arial"/>
                <w:sz w:val="18"/>
                <w:szCs w:val="18"/>
                <w:color w:val="auto"/>
              </w:rPr>
              <w:t>Total assets for reportable segments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143,888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118,392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109,440</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principally cash and investments and deferred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163,089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132,376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115,466</w:t>
            </w:r>
          </w:p>
        </w:tc>
      </w:tr>
      <w:tr>
        <w:trPr>
          <w:trHeight w:val="223"/>
        </w:trPr>
        <w:tc>
          <w:tcPr>
            <w:tcW w:w="7860" w:type="dxa"/>
            <w:vAlign w:val="bottom"/>
          </w:tcPr>
          <w:p>
            <w:pPr>
              <w:ind w:left="620"/>
              <w:spacing w:after="0"/>
              <w:rPr>
                <w:sz w:val="20"/>
                <w:szCs w:val="20"/>
                <w:color w:val="auto"/>
              </w:rPr>
            </w:pPr>
            <w:r>
              <w:rPr>
                <w:rFonts w:ascii="Arial" w:cs="Arial" w:eastAsia="Arial" w:hAnsi="Arial"/>
                <w:sz w:val="18"/>
                <w:szCs w:val="18"/>
                <w:color w:val="auto"/>
              </w:rPr>
              <w:t>Total consolidated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306,977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250,768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224,906</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Customers from the semiconductor equipment segment comprising 10% or greater of our consolidated net sales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2005</w:t>
            </w:r>
          </w:p>
        </w:tc>
        <w:tc>
          <w:tcPr>
            <w:tcW w:w="14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2004</w:t>
            </w: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2003</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Intel</w:t>
            </w:r>
          </w:p>
        </w:tc>
        <w:tc>
          <w:tcPr>
            <w:tcW w:w="1280" w:type="dxa"/>
            <w:vAlign w:val="bottom"/>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43%</w:t>
            </w:r>
          </w:p>
        </w:tc>
        <w:tc>
          <w:tcPr>
            <w:tcW w:w="1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44%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Advanced Micro Devices</w:t>
            </w:r>
          </w:p>
        </w:tc>
        <w:tc>
          <w:tcPr>
            <w:tcW w:w="1280" w:type="dxa"/>
            <w:vAlign w:val="bottom"/>
          </w:tcPr>
          <w:p>
            <w:pPr>
              <w:jc w:val="right"/>
              <w:ind w:right="334"/>
              <w:spacing w:after="0"/>
              <w:rPr>
                <w:sz w:val="20"/>
                <w:szCs w:val="20"/>
                <w:color w:val="auto"/>
              </w:rPr>
            </w:pPr>
            <w:r>
              <w:rPr>
                <w:rFonts w:ascii="Arial" w:cs="Arial" w:eastAsia="Arial" w:hAnsi="Arial"/>
                <w:sz w:val="18"/>
                <w:szCs w:val="18"/>
                <w:b w:val="1"/>
                <w:bCs w:val="1"/>
                <w:color w:val="auto"/>
              </w:rPr>
              <w:t>12%</w:t>
            </w:r>
          </w:p>
        </w:tc>
        <w:tc>
          <w:tcPr>
            <w:tcW w:w="1420" w:type="dxa"/>
            <w:vAlign w:val="bottom"/>
          </w:tcPr>
          <w:p>
            <w:pPr>
              <w:jc w:val="right"/>
              <w:ind w:right="354"/>
              <w:spacing w:after="0"/>
              <w:rPr>
                <w:sz w:val="20"/>
                <w:szCs w:val="20"/>
                <w:color w:val="auto"/>
              </w:rPr>
            </w:pPr>
            <w:r>
              <w:rPr>
                <w:rFonts w:ascii="Arial" w:cs="Arial" w:eastAsia="Arial" w:hAnsi="Arial"/>
                <w:sz w:val="18"/>
                <w:szCs w:val="18"/>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w:t>
            </w:r>
          </w:p>
        </w:tc>
        <w:tc>
          <w:tcPr>
            <w:tcW w:w="1280" w:type="dxa"/>
            <w:vAlign w:val="bottom"/>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8%</w:t>
            </w:r>
          </w:p>
        </w:tc>
        <w:tc>
          <w:tcPr>
            <w:tcW w:w="1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bl>
    <w:p>
      <w:pPr>
        <w:spacing w:after="0" w:line="94"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color w:val="auto"/>
        </w:rPr>
        <w:t>Assets located in foreign countries were not significant. Net sales to customers, attributed to countries based on product shipment destination,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2004</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58,805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50,092</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Malaysia</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40,517</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27,965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26,871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25,986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Singapore</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42,690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16,659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Costa Rica</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21,719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15,674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China</w:t>
            </w: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15,369</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16,904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foreign countries</w:t>
            </w: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32,931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22,957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0"/>
              <w:spacing w:after="0"/>
              <w:rPr>
                <w:sz w:val="20"/>
                <w:szCs w:val="20"/>
                <w:color w:val="auto"/>
              </w:rPr>
            </w:pPr>
            <w:r>
              <w:rPr>
                <w:rFonts w:ascii="Arial" w:cs="Arial" w:eastAsia="Arial" w:hAnsi="Arial"/>
                <w:sz w:val="18"/>
                <w:szCs w:val="18"/>
                <w:color w:val="auto"/>
              </w:rPr>
              <w:t>Total</w:t>
            </w:r>
          </w:p>
        </w:tc>
        <w:tc>
          <w:tcPr>
            <w:tcW w:w="4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238,902</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176,237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200" w:type="dxa"/>
            <w:vAlign w:val="bottom"/>
            <w:vMerge w:val="restart"/>
          </w:tcPr>
          <w:p>
            <w:pPr>
              <w:jc w:val="right"/>
              <w:ind w:right="197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30" w:lineRule="exact"/>
        <w:rPr>
          <w:rFonts w:ascii="Arial" w:cs="Arial" w:eastAsia="Arial" w:hAnsi="Arial"/>
          <w:sz w:val="18"/>
          <w:szCs w:val="18"/>
          <w:b w:val="1"/>
          <w:bCs w:val="1"/>
          <w:color w:val="auto"/>
        </w:rPr>
      </w:pPr>
    </w:p>
    <w:p>
      <w:pPr>
        <w:ind w:left="340" w:right="1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w:t>
      </w:r>
      <w:r>
        <w:rPr>
          <w:rFonts w:ascii="Arial" w:cs="Arial" w:eastAsia="Arial" w:hAnsi="Arial"/>
          <w:sz w:val="18"/>
          <w:szCs w:val="18"/>
          <w:color w:val="auto"/>
        </w:rPr>
        <w:t>– We have a voluntary defined contribution retirement 401(k) plan whereby we will match contributions up to 4%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During 2005 our contributions to the plan were approximately $1.3 million. In both 2004 and 2003 our contributions to the plan were approximately $1.2 million. Certain of our foreign employees participate in defined benefit pension plans. The related expense and benefit obligation of these plans were not significant for any period presented.</w:t>
      </w:r>
    </w:p>
    <w:p>
      <w:pPr>
        <w:spacing w:after="0" w:line="85" w:lineRule="exact"/>
        <w:rPr>
          <w:rFonts w:ascii="Arial" w:cs="Arial" w:eastAsia="Arial" w:hAnsi="Arial"/>
          <w:sz w:val="18"/>
          <w:szCs w:val="18"/>
          <w:b w:val="1"/>
          <w:bCs w:val="1"/>
          <w:color w:val="auto"/>
        </w:rPr>
      </w:pPr>
    </w:p>
    <w:p>
      <w:pPr>
        <w:ind w:left="340" w:right="4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Retiree Medical Benefits </w:t>
      </w:r>
      <w:r>
        <w:rPr>
          <w:rFonts w:ascii="Arial" w:cs="Arial" w:eastAsia="Arial" w:hAnsi="Arial"/>
          <w:sz w:val="17"/>
          <w:szCs w:val="17"/>
          <w:color w:val="auto"/>
        </w:rPr>
        <w:t>– We provide post-retirement health benefits to certain executives and directors under a noncontributory plan. The net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cost was $130,000, $181,000, and $192,000 in 2005, 2004, and 2003, respectively. We fund benefits as costs are incurred and as a result there are no plan assets. The weighted average discount rate used in determining the accumulated post-retirement benefit obligation was 5.5% in 2005, 6.0% in 2004, and 6.25% in 2003. The weighted average discount rate used in determining periodic benefit cost was 6.0% in 2005, 6.25% in 2004 and 6.50% in 2003. Annual rates of increase of the cost of health benefits were assumed to be 9.50% for 2006. These rates were then assumed to decrease 0.50% per year to 5.0% in 2015 and remain level thereafter. A 1% increase (decrease) in health care cost trend rates would increase (decrease) the 2005 net periodic benefit cost by approximately $18,000 ($17,000) and the accumulated post-retirement benefit obligation as of December 31, 2005, by approximately $297,000 ($245,000).</w:t>
      </w:r>
    </w:p>
    <w:p>
      <w:pPr>
        <w:spacing w:after="0" w:line="81" w:lineRule="exact"/>
        <w:rPr>
          <w:rFonts w:ascii="Arial" w:cs="Arial" w:eastAsia="Arial" w:hAnsi="Arial"/>
          <w:sz w:val="18"/>
          <w:szCs w:val="18"/>
          <w:b w:val="1"/>
          <w:bCs w:val="1"/>
          <w:color w:val="auto"/>
        </w:rPr>
      </w:pPr>
    </w:p>
    <w:p>
      <w:pPr>
        <w:ind w:left="3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post-retirement benefit obligation, funded status and the accrued liability recognized in the consolidated balance sheet at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beginning of year</w:t>
            </w:r>
          </w:p>
        </w:tc>
        <w:tc>
          <w:tcPr>
            <w:tcW w:w="23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1,999</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Actuarial gain</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7100" w:type="dxa"/>
            <w:vAlign w:val="bottom"/>
            <w:gridSpan w:val="2"/>
          </w:tcPr>
          <w:p>
            <w:pPr>
              <w:spacing w:after="0"/>
              <w:rPr>
                <w:sz w:val="20"/>
                <w:szCs w:val="20"/>
                <w:color w:val="auto"/>
              </w:rPr>
            </w:pPr>
            <w:r>
              <w:rPr>
                <w:rFonts w:ascii="Arial" w:cs="Arial" w:eastAsia="Arial" w:hAnsi="Arial"/>
                <w:sz w:val="18"/>
                <w:szCs w:val="18"/>
                <w:color w:val="auto"/>
              </w:rPr>
              <w:t>Accumulated post-retirement benefit obligation at end of year</w:t>
            </w:r>
          </w:p>
        </w:tc>
        <w:tc>
          <w:tcPr>
            <w:tcW w:w="2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Plan assets at end of year</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Unrecognized net actuarial loss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 recognized in the consolidated balance sheet</w:t>
            </w:r>
          </w:p>
        </w:tc>
        <w:tc>
          <w:tcPr>
            <w:tcW w:w="2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(1,443)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20" w:right="100"/>
        <w:spacing w:after="0" w:line="298" w:lineRule="auto"/>
        <w:rPr>
          <w:sz w:val="20"/>
          <w:szCs w:val="20"/>
          <w:color w:val="auto"/>
        </w:rPr>
      </w:pPr>
      <w:r>
        <w:rPr>
          <w:rFonts w:ascii="Arial" w:cs="Arial" w:eastAsia="Arial" w:hAnsi="Arial"/>
          <w:sz w:val="16"/>
          <w:szCs w:val="16"/>
          <w:b w:val="1"/>
          <w:bCs w:val="1"/>
          <w:color w:val="auto"/>
        </w:rPr>
        <w:t xml:space="preserve">Deferred Compensation </w:t>
      </w:r>
      <w:r>
        <w:rPr>
          <w:rFonts w:ascii="Arial" w:cs="Arial" w:eastAsia="Arial" w:hAnsi="Arial"/>
          <w:sz w:val="16"/>
          <w:szCs w:val="16"/>
          <w:color w:val="auto"/>
        </w:rPr>
        <w:t>–The Cohu, Inc. Deferred Compensation Plan allows certain of our officers to defer a portion of their current compensation.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purchased life insurance policies on the participants with Cohu as the named beneficiary. Participant contributions, distributions and investment earnings and losses are accumulated in a separate account for each participant. At December 31, 2005 and 2004, the payroll liability to participants, included in accrued compensation and benefits in the consolidated balance sheet, was approximately $2.0 million, and the cash surrender value of the related life insurance policies included in other current assets was approximately $1.9 million and $1.8 million, respectively.</w:t>
      </w:r>
    </w:p>
    <w:p>
      <w:pPr>
        <w:spacing w:after="0" w:line="60" w:lineRule="exact"/>
        <w:rPr>
          <w:sz w:val="20"/>
          <w:szCs w:val="20"/>
          <w:color w:val="auto"/>
        </w:rPr>
      </w:pPr>
    </w:p>
    <w:p>
      <w:pPr>
        <w:ind w:left="220" w:right="20"/>
        <w:spacing w:after="0" w:line="303"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(“the Plan”) provides for the issuance of a maximum of 1,000,000</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our Common Stock. Under the Plan, eligible employees may purchase shares of common stock through payroll deductions. The price paid for the common stock is equal to 85% of the fair market value of our Common Stock on specified dates. In 2005, 2004 and 2003, 77,611, 73,676 and 67,187 shares, respectively, were issued under the Plan. At December 31, 2005, there were 358,465 shares reserved for issuance under the Plan.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right="60"/>
        <w:spacing w:after="0" w:line="264" w:lineRule="auto"/>
        <w:rPr>
          <w:sz w:val="20"/>
          <w:szCs w:val="20"/>
          <w:color w:val="auto"/>
        </w:rPr>
      </w:pPr>
      <w:r>
        <w:rPr>
          <w:rFonts w:ascii="Arial" w:cs="Arial" w:eastAsia="Arial" w:hAnsi="Arial"/>
          <w:sz w:val="18"/>
          <w:szCs w:val="18"/>
          <w:color w:val="auto"/>
        </w:rPr>
        <w:t>The estimated weighted average fair value of purchase rights granted in 2005, 2004 and 2003 was $4.19, $6.02 and $6.11, respectively. The fair value of the purchase rights were estimated using the Black-Scholes option-pricing model with the following weighted average assumptions during 2005, 2004 and 2003: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2005</w:t>
            </w:r>
          </w:p>
        </w:tc>
        <w:tc>
          <w:tcPr>
            <w:tcW w:w="14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2004</w:t>
            </w: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2003</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3.3%</w:t>
            </w:r>
          </w:p>
        </w:tc>
        <w:tc>
          <w:tcPr>
            <w:tcW w:w="1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Volatility</w:t>
            </w:r>
          </w:p>
        </w:tc>
        <w:tc>
          <w:tcPr>
            <w:tcW w:w="1280" w:type="dxa"/>
            <w:vAlign w:val="bottom"/>
          </w:tcPr>
          <w:p>
            <w:pPr>
              <w:jc w:val="right"/>
              <w:ind w:right="334"/>
              <w:spacing w:after="0"/>
              <w:rPr>
                <w:sz w:val="20"/>
                <w:szCs w:val="20"/>
                <w:color w:val="auto"/>
              </w:rPr>
            </w:pPr>
            <w:r>
              <w:rPr>
                <w:rFonts w:ascii="Arial" w:cs="Arial" w:eastAsia="Arial" w:hAnsi="Arial"/>
                <w:sz w:val="18"/>
                <w:szCs w:val="18"/>
                <w:b w:val="1"/>
                <w:bCs w:val="1"/>
                <w:color w:val="auto"/>
              </w:rPr>
              <w:t>41.0%</w:t>
            </w:r>
          </w:p>
        </w:tc>
        <w:tc>
          <w:tcPr>
            <w:tcW w:w="1420" w:type="dxa"/>
            <w:vAlign w:val="bottom"/>
          </w:tcPr>
          <w:p>
            <w:pPr>
              <w:jc w:val="right"/>
              <w:ind w:right="354"/>
              <w:spacing w:after="0"/>
              <w:rPr>
                <w:sz w:val="20"/>
                <w:szCs w:val="20"/>
                <w:color w:val="auto"/>
              </w:rPr>
            </w:pPr>
            <w:r>
              <w:rPr>
                <w:rFonts w:ascii="Arial" w:cs="Arial" w:eastAsia="Arial" w:hAnsi="Arial"/>
                <w:sz w:val="18"/>
                <w:szCs w:val="18"/>
                <w:color w:val="auto"/>
              </w:rPr>
              <w:t>61.0%</w:t>
            </w: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1.0%</w:t>
            </w:r>
          </w:p>
        </w:tc>
        <w:tc>
          <w:tcPr>
            <w:tcW w:w="1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4"/>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Expected life (years)</w:t>
            </w:r>
          </w:p>
        </w:tc>
        <w:tc>
          <w:tcPr>
            <w:tcW w:w="1280" w:type="dxa"/>
            <w:vAlign w:val="bottom"/>
          </w:tcPr>
          <w:p>
            <w:pPr>
              <w:jc w:val="right"/>
              <w:ind w:right="514"/>
              <w:spacing w:after="0"/>
              <w:rPr>
                <w:sz w:val="20"/>
                <w:szCs w:val="20"/>
                <w:color w:val="auto"/>
              </w:rPr>
            </w:pPr>
            <w:r>
              <w:rPr>
                <w:rFonts w:ascii="Arial" w:cs="Arial" w:eastAsia="Arial" w:hAnsi="Arial"/>
                <w:sz w:val="18"/>
                <w:szCs w:val="18"/>
                <w:b w:val="1"/>
                <w:bCs w:val="1"/>
                <w:color w:val="auto"/>
              </w:rPr>
              <w:t>0.5</w:t>
            </w: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0.5</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0.5</w:t>
            </w:r>
          </w:p>
        </w:tc>
      </w:tr>
    </w:tbl>
    <w:p>
      <w:pPr>
        <w:spacing w:after="0" w:line="71" w:lineRule="exact"/>
        <w:rPr>
          <w:sz w:val="20"/>
          <w:szCs w:val="20"/>
          <w:color w:val="auto"/>
        </w:rPr>
      </w:pPr>
    </w:p>
    <w:p>
      <w:pPr>
        <w:ind w:left="220" w:right="160"/>
        <w:spacing w:after="0" w:line="274"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 Under our stock option plans, options may be granted to employees and outside directors to purchase a fixed number of shares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at prices not less than 100% of the fair market value at the date of grant. Options generally become exercisable one-fourth annually beginning one year after the grant date and expire five to ten years from the grant date. On May 10, 2005, our stockholders approved the Cohu, Inc. 2005 Equity Incentive Plan (the “2005 Equity Plan”). The 2005 Equity Plan replaced the 1998 Stock Option Plan, the 1996 Outside Directors Stock Option Plan, the 1996 Stock Option Plan and the 1994 Stock Option Plan (collectively the “Predecessor Plans”). No further awards will be granted under the Predecessor Plans. At December 31, 2005, 778,020 shares were available for future grants under the 2005 Equity Plan.</w:t>
      </w:r>
    </w:p>
    <w:p>
      <w:pPr>
        <w:spacing w:after="0" w:line="83" w:lineRule="exact"/>
        <w:rPr>
          <w:sz w:val="20"/>
          <w:szCs w:val="20"/>
          <w:color w:val="auto"/>
        </w:rPr>
      </w:pPr>
    </w:p>
    <w:p>
      <w:pPr>
        <w:jc w:val="both"/>
        <w:ind w:left="220" w:right="20"/>
        <w:spacing w:after="0" w:line="264" w:lineRule="auto"/>
        <w:rPr>
          <w:sz w:val="20"/>
          <w:szCs w:val="20"/>
          <w:color w:val="auto"/>
        </w:rPr>
      </w:pPr>
      <w:r>
        <w:rPr>
          <w:rFonts w:ascii="Arial" w:cs="Arial" w:eastAsia="Arial" w:hAnsi="Arial"/>
          <w:sz w:val="18"/>
          <w:szCs w:val="18"/>
          <w:color w:val="auto"/>
        </w:rPr>
        <w:t>The estimated weighted average fair value of options granted during 2005, 2004 and 2003 was $7.83, $7.14, and $7.95, respectively. The fair value of each option grant was estimated on the grant date using the Black-Scholes option-pricing model with the following weighted average assumptions during 2005, 2004 and 2003: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2005</w:t>
            </w:r>
          </w:p>
        </w:tc>
        <w:tc>
          <w:tcPr>
            <w:tcW w:w="14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2004</w:t>
            </w: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2003</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3.8%</w:t>
            </w:r>
          </w:p>
        </w:tc>
        <w:tc>
          <w:tcPr>
            <w:tcW w:w="1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Volatility</w:t>
            </w:r>
          </w:p>
        </w:tc>
        <w:tc>
          <w:tcPr>
            <w:tcW w:w="1280" w:type="dxa"/>
            <w:vAlign w:val="bottom"/>
          </w:tcPr>
          <w:p>
            <w:pPr>
              <w:jc w:val="right"/>
              <w:ind w:right="334"/>
              <w:spacing w:after="0"/>
              <w:rPr>
                <w:sz w:val="20"/>
                <w:szCs w:val="20"/>
                <w:color w:val="auto"/>
              </w:rPr>
            </w:pPr>
            <w:r>
              <w:rPr>
                <w:rFonts w:ascii="Arial" w:cs="Arial" w:eastAsia="Arial" w:hAnsi="Arial"/>
                <w:sz w:val="18"/>
                <w:szCs w:val="18"/>
                <w:b w:val="1"/>
                <w:bCs w:val="1"/>
                <w:color w:val="auto"/>
              </w:rPr>
              <w:t>56.8%</w:t>
            </w:r>
          </w:p>
        </w:tc>
        <w:tc>
          <w:tcPr>
            <w:tcW w:w="1420" w:type="dxa"/>
            <w:vAlign w:val="bottom"/>
          </w:tcPr>
          <w:p>
            <w:pPr>
              <w:jc w:val="right"/>
              <w:ind w:right="354"/>
              <w:spacing w:after="0"/>
              <w:rPr>
                <w:sz w:val="20"/>
                <w:szCs w:val="20"/>
                <w:color w:val="auto"/>
              </w:rPr>
            </w:pPr>
            <w:r>
              <w:rPr>
                <w:rFonts w:ascii="Arial" w:cs="Arial" w:eastAsia="Arial" w:hAnsi="Arial"/>
                <w:sz w:val="18"/>
                <w:szCs w:val="18"/>
                <w:color w:val="auto"/>
              </w:rPr>
              <w:t>60.0%</w:t>
            </w: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1.0%</w:t>
            </w:r>
          </w:p>
        </w:tc>
        <w:tc>
          <w:tcPr>
            <w:tcW w:w="14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4"/>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Expected life (years)</w:t>
            </w:r>
          </w:p>
        </w:tc>
        <w:tc>
          <w:tcPr>
            <w:tcW w:w="1280" w:type="dxa"/>
            <w:vAlign w:val="bottom"/>
          </w:tcPr>
          <w:p>
            <w:pPr>
              <w:jc w:val="right"/>
              <w:ind w:right="514"/>
              <w:spacing w:after="0"/>
              <w:rPr>
                <w:sz w:val="20"/>
                <w:szCs w:val="20"/>
                <w:color w:val="auto"/>
              </w:rPr>
            </w:pPr>
            <w:r>
              <w:rPr>
                <w:rFonts w:ascii="Arial" w:cs="Arial" w:eastAsia="Arial" w:hAnsi="Arial"/>
                <w:sz w:val="18"/>
                <w:szCs w:val="18"/>
                <w:b w:val="1"/>
                <w:bCs w:val="1"/>
                <w:color w:val="auto"/>
              </w:rPr>
              <w:t>4.0</w:t>
            </w:r>
          </w:p>
        </w:tc>
        <w:tc>
          <w:tcPr>
            <w:tcW w:w="1420" w:type="dxa"/>
            <w:vAlign w:val="bottom"/>
          </w:tcPr>
          <w:p>
            <w:pPr>
              <w:jc w:val="right"/>
              <w:ind w:right="494"/>
              <w:spacing w:after="0"/>
              <w:rPr>
                <w:sz w:val="20"/>
                <w:szCs w:val="20"/>
                <w:color w:val="auto"/>
              </w:rPr>
            </w:pPr>
            <w:r>
              <w:rPr>
                <w:rFonts w:ascii="Arial" w:cs="Arial" w:eastAsia="Arial" w:hAnsi="Arial"/>
                <w:sz w:val="18"/>
                <w:szCs w:val="18"/>
                <w:color w:val="auto"/>
              </w:rPr>
              <w:t>4.0</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4.0</w:t>
            </w:r>
          </w:p>
        </w:tc>
      </w:tr>
    </w:tbl>
    <w:p>
      <w:pPr>
        <w:spacing w:after="0" w:line="75" w:lineRule="exact"/>
        <w:rPr>
          <w:sz w:val="20"/>
          <w:szCs w:val="20"/>
          <w:color w:val="auto"/>
        </w:rPr>
      </w:pPr>
    </w:p>
    <w:p>
      <w:pPr>
        <w:ind w:left="220" w:right="160"/>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Because our employee stock option and purchase plans have characteristics significantly different from those of traded options, in management’s opinion, this model does not necessarily provide a reliable single measure of the fair value of our employee stock option and purchase plans.</w:t>
      </w:r>
    </w:p>
    <w:p>
      <w:pPr>
        <w:spacing w:after="0" w:line="9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 option activity under all option plans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7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2004</w:t>
            </w:r>
          </w:p>
        </w:tc>
        <w:tc>
          <w:tcPr>
            <w:tcW w:w="6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2003</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Shares</w:t>
            </w:r>
          </w:p>
        </w:tc>
        <w:tc>
          <w:tcPr>
            <w:tcW w:w="660" w:type="dxa"/>
            <w:vAlign w:val="bottom"/>
          </w:tcPr>
          <w:p>
            <w:pPr>
              <w:spacing w:after="0"/>
              <w:rPr>
                <w:sz w:val="10"/>
                <w:szCs w:val="10"/>
                <w:color w:val="auto"/>
              </w:rPr>
            </w:pPr>
          </w:p>
        </w:tc>
        <w:tc>
          <w:tcPr>
            <w:tcW w:w="70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Wt. Avg.</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color w:val="auto"/>
              </w:rPr>
              <w:t>Wt. Avg.</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jc w:val="right"/>
              <w:ind w:right="55"/>
              <w:spacing w:after="0" w:line="119" w:lineRule="exact"/>
              <w:rPr>
                <w:sz w:val="20"/>
                <w:szCs w:val="20"/>
                <w:color w:val="auto"/>
              </w:rPr>
            </w:pPr>
            <w:r>
              <w:rPr>
                <w:rFonts w:ascii="Arial" w:cs="Arial" w:eastAsia="Arial" w:hAnsi="Arial"/>
                <w:sz w:val="13"/>
                <w:szCs w:val="13"/>
                <w:color w:val="auto"/>
              </w:rPr>
              <w:t>Wt. Avg.</w:t>
            </w:r>
          </w:p>
        </w:tc>
        <w:tc>
          <w:tcPr>
            <w:tcW w:w="0" w:type="dxa"/>
            <w:vAlign w:val="bottom"/>
          </w:tcPr>
          <w:p>
            <w:pPr>
              <w:spacing w:after="0"/>
              <w:rPr>
                <w:sz w:val="1"/>
                <w:szCs w:val="1"/>
                <w:color w:val="auto"/>
              </w:rPr>
            </w:pPr>
          </w:p>
        </w:tc>
      </w:tr>
      <w:tr>
        <w:trPr>
          <w:trHeight w:val="171"/>
        </w:trPr>
        <w:tc>
          <w:tcPr>
            <w:tcW w:w="37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 Price</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99"/>
              </w:rPr>
              <w:t>Shares</w:t>
            </w: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92"/>
              </w:rPr>
              <w:t>Ex. Price</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99"/>
              </w:rPr>
              <w:t>Shares</w:t>
            </w: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92"/>
              </w:rPr>
              <w:t>Ex. Price</w:t>
            </w:r>
          </w:p>
        </w:tc>
        <w:tc>
          <w:tcPr>
            <w:tcW w:w="0" w:type="dxa"/>
            <w:vAlign w:val="bottom"/>
          </w:tcPr>
          <w:p>
            <w:pPr>
              <w:spacing w:after="0"/>
              <w:rPr>
                <w:sz w:val="1"/>
                <w:szCs w:val="1"/>
                <w:color w:val="auto"/>
              </w:rPr>
            </w:pPr>
          </w:p>
        </w:tc>
      </w:tr>
      <w:tr>
        <w:trPr>
          <w:trHeight w:val="142"/>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14.95</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14.57</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261</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17.81</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745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15.53</w:t>
            </w:r>
          </w:p>
        </w:tc>
        <w:tc>
          <w:tcPr>
            <w:tcW w:w="1400" w:type="dxa"/>
            <w:vAlign w:val="bottom"/>
            <w:gridSpan w:val="4"/>
          </w:tcPr>
          <w:p>
            <w:pPr>
              <w:jc w:val="right"/>
              <w:ind w:right="160"/>
              <w:spacing w:after="0"/>
              <w:rPr>
                <w:sz w:val="20"/>
                <w:szCs w:val="20"/>
                <w:color w:val="auto"/>
              </w:rPr>
            </w:pPr>
            <w:r>
              <w:rPr>
                <w:rFonts w:ascii="Arial" w:cs="Arial" w:eastAsia="Arial" w:hAnsi="Arial"/>
                <w:sz w:val="18"/>
                <w:szCs w:val="18"/>
                <w:color w:val="auto"/>
              </w:rPr>
              <w:t>655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13.34</w:t>
            </w: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11.05</w:t>
            </w: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Canceled</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(111)</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8"/>
              </w:rPr>
              <w:t>15.69</w:t>
            </w: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(107)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15.77</w:t>
            </w: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(220)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15.66</w:t>
            </w:r>
          </w:p>
        </w:tc>
        <w:tc>
          <w:tcPr>
            <w:tcW w:w="68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14.95</w:t>
            </w:r>
          </w:p>
        </w:tc>
        <w:tc>
          <w:tcPr>
            <w:tcW w:w="14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year end</w:t>
            </w: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15.12</w:t>
            </w:r>
          </w:p>
        </w:tc>
        <w:tc>
          <w:tcPr>
            <w:tcW w:w="6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15"/>
              <w:spacing w:after="0"/>
              <w:rPr>
                <w:sz w:val="20"/>
                <w:szCs w:val="20"/>
                <w:color w:val="auto"/>
              </w:rPr>
            </w:pPr>
            <w:r>
              <w:rPr>
                <w:rFonts w:ascii="Arial" w:cs="Arial" w:eastAsia="Arial" w:hAnsi="Arial"/>
                <w:sz w:val="18"/>
                <w:szCs w:val="18"/>
                <w:color w:val="auto"/>
              </w:rPr>
              <w:t>14.20</w:t>
            </w:r>
          </w:p>
        </w:tc>
        <w:tc>
          <w:tcPr>
            <w:tcW w:w="68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ind w:right="15"/>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line="20" w:lineRule="exact"/>
              <w:rPr>
                <w:sz w:val="1"/>
                <w:szCs w:val="1"/>
                <w:color w:val="auto"/>
              </w:rPr>
            </w:pPr>
          </w:p>
        </w:tc>
      </w:tr>
      <w:tr>
        <w:trPr>
          <w:trHeight w:val="215"/>
        </w:trPr>
        <w:tc>
          <w:tcPr>
            <w:tcW w:w="3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1,342</w:t>
            </w: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68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68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Information about stock options outstanding at December 31, 2005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Options Outstanding</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color w:val="auto"/>
              </w:rPr>
              <w:t>Options Exercisable</w:t>
            </w: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0" w:type="dxa"/>
            <w:vAlign w:val="bottom"/>
          </w:tcPr>
          <w:p>
            <w:pPr>
              <w:jc w:val="center"/>
              <w:spacing w:after="0" w:line="123" w:lineRule="exact"/>
              <w:rPr>
                <w:sz w:val="20"/>
                <w:szCs w:val="20"/>
                <w:color w:val="auto"/>
              </w:rPr>
            </w:pPr>
            <w:r>
              <w:rPr>
                <w:rFonts w:ascii="Arial" w:cs="Arial" w:eastAsia="Arial" w:hAnsi="Arial"/>
                <w:sz w:val="14"/>
                <w:szCs w:val="14"/>
                <w:color w:val="auto"/>
                <w:w w:val="94"/>
              </w:rPr>
              <w:t>Approximate</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Wt. Avg.</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Range of</w:t>
            </w:r>
          </w:p>
        </w:tc>
        <w:tc>
          <w:tcPr>
            <w:tcW w:w="12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2"/>
              </w:rPr>
              <w:t>Remaining</w:t>
            </w:r>
          </w:p>
        </w:tc>
        <w:tc>
          <w:tcPr>
            <w:tcW w:w="320" w:type="dxa"/>
            <w:vAlign w:val="bottom"/>
          </w:tcPr>
          <w:p>
            <w:pPr>
              <w:spacing w:after="0"/>
              <w:rPr>
                <w:sz w:val="12"/>
                <w:szCs w:val="12"/>
                <w:color w:val="auto"/>
              </w:rPr>
            </w:pPr>
          </w:p>
        </w:tc>
        <w:tc>
          <w:tcPr>
            <w:tcW w:w="660" w:type="dxa"/>
            <w:vAlign w:val="bottom"/>
          </w:tcPr>
          <w:p>
            <w:pPr>
              <w:jc w:val="right"/>
              <w:ind w:right="55"/>
              <w:spacing w:after="0" w:line="149" w:lineRule="exact"/>
              <w:rPr>
                <w:sz w:val="20"/>
                <w:szCs w:val="20"/>
                <w:color w:val="auto"/>
              </w:rPr>
            </w:pPr>
            <w:r>
              <w:rPr>
                <w:rFonts w:ascii="Arial" w:cs="Arial" w:eastAsia="Arial" w:hAnsi="Arial"/>
                <w:sz w:val="14"/>
                <w:szCs w:val="14"/>
                <w:color w:val="auto"/>
                <w:w w:val="94"/>
              </w:rPr>
              <w:t>Wt. Avg.</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Number</w:t>
            </w:r>
          </w:p>
        </w:tc>
        <w:tc>
          <w:tcPr>
            <w:tcW w:w="420" w:type="dxa"/>
            <w:vAlign w:val="bottom"/>
          </w:tcPr>
          <w:p>
            <w:pPr>
              <w:spacing w:after="0"/>
              <w:rPr>
                <w:sz w:val="12"/>
                <w:szCs w:val="12"/>
                <w:color w:val="auto"/>
              </w:rPr>
            </w:pPr>
          </w:p>
        </w:tc>
        <w:tc>
          <w:tcPr>
            <w:tcW w:w="660" w:type="dxa"/>
            <w:vAlign w:val="bottom"/>
          </w:tcPr>
          <w:p>
            <w:pPr>
              <w:jc w:val="right"/>
              <w:ind w:right="55"/>
              <w:spacing w:after="0" w:line="149" w:lineRule="exact"/>
              <w:rPr>
                <w:sz w:val="20"/>
                <w:szCs w:val="20"/>
                <w:color w:val="auto"/>
              </w:rPr>
            </w:pPr>
            <w:r>
              <w:rPr>
                <w:rFonts w:ascii="Arial" w:cs="Arial" w:eastAsia="Arial" w:hAnsi="Arial"/>
                <w:sz w:val="14"/>
                <w:szCs w:val="14"/>
                <w:color w:val="auto"/>
                <w:w w:val="94"/>
              </w:rPr>
              <w:t>Wt. Avg.</w:t>
            </w:r>
          </w:p>
        </w:tc>
      </w:tr>
      <w:tr>
        <w:trPr>
          <w:trHeight w:val="167"/>
        </w:trPr>
        <w:tc>
          <w:tcPr>
            <w:tcW w:w="5160" w:type="dxa"/>
            <w:vAlign w:val="bottom"/>
            <w:gridSpan w:val="2"/>
          </w:tcPr>
          <w:p>
            <w:pPr>
              <w:spacing w:after="0"/>
              <w:rPr>
                <w:sz w:val="20"/>
                <w:szCs w:val="20"/>
                <w:color w:val="auto"/>
              </w:rPr>
            </w:pPr>
            <w:r>
              <w:rPr>
                <w:rFonts w:ascii="Arial" w:cs="Arial" w:eastAsia="Arial" w:hAnsi="Arial"/>
                <w:sz w:val="14"/>
                <w:szCs w:val="14"/>
                <w:color w:val="auto"/>
              </w:rPr>
              <w:t>Exercise Prices</w:t>
            </w:r>
          </w:p>
        </w:tc>
        <w:tc>
          <w:tcPr>
            <w:tcW w:w="980" w:type="dxa"/>
            <w:vAlign w:val="bottom"/>
            <w:gridSpan w:val="3"/>
          </w:tcPr>
          <w:p>
            <w:pPr>
              <w:jc w:val="right"/>
              <w:ind w:right="200"/>
              <w:spacing w:after="0"/>
              <w:rPr>
                <w:sz w:val="20"/>
                <w:szCs w:val="20"/>
                <w:color w:val="auto"/>
              </w:rPr>
            </w:pPr>
            <w:r>
              <w:rPr>
                <w:rFonts w:ascii="Arial" w:cs="Arial" w:eastAsia="Arial" w:hAnsi="Arial"/>
                <w:sz w:val="14"/>
                <w:szCs w:val="14"/>
                <w:color w:val="auto"/>
              </w:rPr>
              <w:t>Outstanding</w:t>
            </w:r>
          </w:p>
        </w:tc>
        <w:tc>
          <w:tcPr>
            <w:tcW w:w="1600" w:type="dxa"/>
            <w:vAlign w:val="bottom"/>
          </w:tcPr>
          <w:p>
            <w:pPr>
              <w:jc w:val="center"/>
              <w:spacing w:after="0"/>
              <w:rPr>
                <w:sz w:val="20"/>
                <w:szCs w:val="20"/>
                <w:color w:val="auto"/>
              </w:rPr>
            </w:pPr>
            <w:r>
              <w:rPr>
                <w:rFonts w:ascii="Arial" w:cs="Arial" w:eastAsia="Arial" w:hAnsi="Arial"/>
                <w:sz w:val="14"/>
                <w:szCs w:val="14"/>
                <w:color w:val="auto"/>
                <w:w w:val="96"/>
              </w:rPr>
              <w:t>Life (Years)</w:t>
            </w:r>
          </w:p>
        </w:tc>
        <w:tc>
          <w:tcPr>
            <w:tcW w:w="320" w:type="dxa"/>
            <w:vAlign w:val="bottom"/>
          </w:tcPr>
          <w:p>
            <w:pPr>
              <w:spacing w:after="0"/>
              <w:rPr>
                <w:sz w:val="14"/>
                <w:szCs w:val="14"/>
                <w:color w:val="auto"/>
              </w:rPr>
            </w:pPr>
          </w:p>
        </w:tc>
        <w:tc>
          <w:tcPr>
            <w:tcW w:w="660" w:type="dxa"/>
            <w:vAlign w:val="bottom"/>
          </w:tcPr>
          <w:p>
            <w:pPr>
              <w:jc w:val="right"/>
              <w:ind w:right="35"/>
              <w:spacing w:after="0"/>
              <w:rPr>
                <w:sz w:val="20"/>
                <w:szCs w:val="20"/>
                <w:color w:val="auto"/>
              </w:rPr>
            </w:pPr>
            <w:r>
              <w:rPr>
                <w:rFonts w:ascii="Arial" w:cs="Arial" w:eastAsia="Arial" w:hAnsi="Arial"/>
                <w:sz w:val="14"/>
                <w:szCs w:val="14"/>
                <w:color w:val="auto"/>
                <w:w w:val="92"/>
              </w:rPr>
              <w:t>Ex. Price</w:t>
            </w:r>
          </w:p>
        </w:tc>
        <w:tc>
          <w:tcPr>
            <w:tcW w:w="56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color w:val="auto"/>
                <w:w w:val="99"/>
              </w:rPr>
              <w:t>Exercisable</w:t>
            </w:r>
          </w:p>
        </w:tc>
        <w:tc>
          <w:tcPr>
            <w:tcW w:w="420" w:type="dxa"/>
            <w:vAlign w:val="bottom"/>
          </w:tcPr>
          <w:p>
            <w:pPr>
              <w:spacing w:after="0"/>
              <w:rPr>
                <w:sz w:val="14"/>
                <w:szCs w:val="14"/>
                <w:color w:val="auto"/>
              </w:rPr>
            </w:pPr>
          </w:p>
        </w:tc>
        <w:tc>
          <w:tcPr>
            <w:tcW w:w="660" w:type="dxa"/>
            <w:vAlign w:val="bottom"/>
          </w:tcPr>
          <w:p>
            <w:pPr>
              <w:jc w:val="right"/>
              <w:ind w:right="35"/>
              <w:spacing w:after="0"/>
              <w:rPr>
                <w:sz w:val="20"/>
                <w:szCs w:val="20"/>
                <w:color w:val="auto"/>
              </w:rPr>
            </w:pPr>
            <w:r>
              <w:rPr>
                <w:rFonts w:ascii="Arial" w:cs="Arial" w:eastAsia="Arial" w:hAnsi="Arial"/>
                <w:sz w:val="14"/>
                <w:szCs w:val="14"/>
                <w:color w:val="auto"/>
                <w:w w:val="92"/>
              </w:rPr>
              <w:t>Ex. Price</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$7.69 – $8.50</w:t>
            </w:r>
          </w:p>
        </w:tc>
        <w:tc>
          <w:tcPr>
            <w:tcW w:w="980" w:type="dxa"/>
            <w:vAlign w:val="bottom"/>
            <w:tcBorders>
              <w:top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6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8.23</w:t>
            </w:r>
          </w:p>
        </w:tc>
        <w:tc>
          <w:tcPr>
            <w:tcW w:w="560" w:type="dxa"/>
            <w:vAlign w:val="bottom"/>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8.23</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$10.82 – $13.88</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696</w:t>
            </w:r>
          </w:p>
        </w:tc>
        <w:tc>
          <w:tcPr>
            <w:tcW w:w="1600" w:type="dxa"/>
            <w:vAlign w:val="bottom"/>
          </w:tcPr>
          <w:p>
            <w:pPr>
              <w:jc w:val="right"/>
              <w:ind w:right="399"/>
              <w:spacing w:after="0"/>
              <w:rPr>
                <w:sz w:val="20"/>
                <w:szCs w:val="20"/>
                <w:color w:val="auto"/>
              </w:rPr>
            </w:pPr>
            <w:r>
              <w:rPr>
                <w:rFonts w:ascii="Arial" w:cs="Arial" w:eastAsia="Arial" w:hAnsi="Arial"/>
                <w:sz w:val="18"/>
                <w:szCs w:val="18"/>
                <w:color w:val="auto"/>
              </w:rPr>
              <w:t>4.9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12.53</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596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12.63</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$14.00 – $18.90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1,661</w:t>
            </w:r>
          </w:p>
        </w:tc>
        <w:tc>
          <w:tcPr>
            <w:tcW w:w="16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16.43</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656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16.51</w:t>
            </w: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$20.38 – $38.81</w:t>
            </w: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600" w:type="dxa"/>
            <w:vAlign w:val="bottom"/>
          </w:tcPr>
          <w:p>
            <w:pPr>
              <w:jc w:val="right"/>
              <w:ind w:right="399"/>
              <w:spacing w:after="0"/>
              <w:rPr>
                <w:sz w:val="20"/>
                <w:szCs w:val="20"/>
                <w:color w:val="auto"/>
              </w:rPr>
            </w:pPr>
            <w:r>
              <w:rPr>
                <w:rFonts w:ascii="Arial" w:cs="Arial" w:eastAsia="Arial" w:hAnsi="Arial"/>
                <w:sz w:val="18"/>
                <w:szCs w:val="18"/>
                <w:color w:val="auto"/>
              </w:rPr>
              <w:t>4.4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25.29</w:t>
            </w:r>
          </w:p>
        </w:tc>
        <w:tc>
          <w:tcPr>
            <w:tcW w:w="1620" w:type="dxa"/>
            <w:vAlign w:val="bottom"/>
            <w:gridSpan w:val="4"/>
          </w:tcPr>
          <w:p>
            <w:pPr>
              <w:jc w:val="right"/>
              <w:ind w:right="380"/>
              <w:spacing w:after="0"/>
              <w:rPr>
                <w:sz w:val="20"/>
                <w:szCs w:val="20"/>
                <w:color w:val="auto"/>
              </w:rPr>
            </w:pPr>
            <w:r>
              <w:rPr>
                <w:rFonts w:ascii="Arial" w:cs="Arial" w:eastAsia="Arial" w:hAnsi="Arial"/>
                <w:sz w:val="18"/>
                <w:szCs w:val="18"/>
                <w:color w:val="auto"/>
              </w:rPr>
              <w:t>60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28.20</w:t>
            </w: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2,504</w:t>
            </w:r>
          </w:p>
        </w:tc>
        <w:tc>
          <w:tcPr>
            <w:tcW w:w="16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15.66</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1,342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15.12</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4" w:lineRule="exact"/>
        <w:rPr>
          <w:rFonts w:ascii="Arial" w:cs="Arial" w:eastAsia="Arial" w:hAnsi="Arial"/>
          <w:sz w:val="18"/>
          <w:szCs w:val="18"/>
          <w:b w:val="1"/>
          <w:bCs w:val="1"/>
          <w:color w:val="auto"/>
        </w:rPr>
      </w:pPr>
    </w:p>
    <w:p>
      <w:pPr>
        <w:ind w:left="3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lease certain of our facilities and equipment under non-cancelable operating leases. Rental expense for the years ended December 31, 2005, 2004 and 2003 was $1,250,000, $1,060,000 and $1,156,000 respectively. Future minimum lease payments at December 31, 2005 are: 2006 - $1,312,000; 2007 — $1,159,000; 2008 — $862,000; 2009 — $16,000; 2010 — $17,000; totaling $3,366,000.</w:t>
      </w:r>
    </w:p>
    <w:p>
      <w:pPr>
        <w:spacing w:after="0" w:line="86" w:lineRule="exact"/>
        <w:rPr>
          <w:rFonts w:ascii="Arial" w:cs="Arial" w:eastAsia="Arial" w:hAnsi="Arial"/>
          <w:sz w:val="18"/>
          <w:szCs w:val="18"/>
          <w:b w:val="1"/>
          <w:bCs w:val="1"/>
          <w:color w:val="auto"/>
        </w:rPr>
      </w:pPr>
    </w:p>
    <w:p>
      <w:pPr>
        <w:ind w:left="34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are currently subject to various legal proceedings, lawsuits, examinations by various tax authorities and claims that have arisen in the ordinary course of our businesses. Although the outcome of these legal proceedings, claims and examinations cannot be predicted with certainty, we do not believe that any of these matters will have a material adverse effect on our financial position or results of operations.</w:t>
      </w:r>
    </w:p>
    <w:p>
      <w:pPr>
        <w:spacing w:after="0" w:line="82" w:lineRule="exact"/>
        <w:rPr>
          <w:rFonts w:ascii="Arial" w:cs="Arial" w:eastAsia="Arial" w:hAnsi="Arial"/>
          <w:sz w:val="18"/>
          <w:szCs w:val="18"/>
          <w:b w:val="1"/>
          <w:bCs w:val="1"/>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three-year period ended December 31, 2005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2004</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1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4,209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3,479</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7,377</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5,808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2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(7,414)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461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4,633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40" w:right="200"/>
        <w:spacing w:after="0" w:line="257" w:lineRule="auto"/>
        <w:rPr>
          <w:sz w:val="20"/>
          <w:szCs w:val="20"/>
          <w:color w:val="auto"/>
        </w:rPr>
      </w:pPr>
      <w:r>
        <w:rPr>
          <w:rFonts w:ascii="Arial" w:cs="Arial" w:eastAsia="Arial" w:hAnsi="Arial"/>
          <w:sz w:val="18"/>
          <w:szCs w:val="18"/>
          <w:color w:val="auto"/>
        </w:rPr>
        <w:t>During the ordinary course of business, we provide standby letters of credit instruments to certain parties as required. At December 31, 2005, the maximum potential amount of future payments that we could be required to make under these standby letters of credit was approximately $2.6 million.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9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4" w:lineRule="exact"/>
        <w:rPr>
          <w:rFonts w:ascii="Arial" w:cs="Arial" w:eastAsia="Arial" w:hAnsi="Arial"/>
          <w:sz w:val="18"/>
          <w:szCs w:val="18"/>
          <w:b w:val="1"/>
          <w:bCs w:val="1"/>
          <w:color w:val="auto"/>
        </w:rPr>
      </w:pPr>
    </w:p>
    <w:p>
      <w:pPr>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James A. Donahue, President and CEO of Cohu, is a member of the Board of Directors of Standard Microsystems Corporation (“SMSC”), a customer of Delta Design. During the years ended December 31, 2005, 2004 and 2003, total sales to SMSC were approximately $0.7 million, $1.2 million and $1.0 million,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Data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Quarter</w:t>
            </w:r>
          </w:p>
        </w:tc>
        <w:tc>
          <w:tcPr>
            <w:tcW w:w="1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w w:val="95"/>
              </w:rPr>
              <w:t>First (a)</w:t>
            </w:r>
          </w:p>
        </w:tc>
        <w:tc>
          <w:tcPr>
            <w:tcW w:w="13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Second (a)</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w w:val="98"/>
              </w:rPr>
              <w:t>Third (a)</w:t>
            </w:r>
          </w:p>
        </w:tc>
        <w:tc>
          <w:tcPr>
            <w:tcW w:w="13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color w:val="auto"/>
              </w:rPr>
              <w:t>Fourth (a)</w:t>
            </w: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142"/>
        </w:trPr>
        <w:tc>
          <w:tcPr>
            <w:tcW w:w="314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data)</w:t>
            </w:r>
          </w:p>
        </w:tc>
        <w:tc>
          <w:tcPr>
            <w:tcW w:w="1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4"/>
              </w:rPr>
              <w:t>44,396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4"/>
              </w:rPr>
              <w:t>51,765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8"/>
              </w:rPr>
              <w:t>68,610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4"/>
              </w:rPr>
              <w:t>74,131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9"/>
              </w:rPr>
              <w:t>238,902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2004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2"/>
              <w:spacing w:after="0"/>
              <w:rPr>
                <w:sz w:val="20"/>
                <w:szCs w:val="20"/>
                <w:color w:val="auto"/>
              </w:rPr>
            </w:pPr>
            <w:r>
              <w:rPr>
                <w:rFonts w:ascii="Arial" w:cs="Arial" w:eastAsia="Arial" w:hAnsi="Arial"/>
                <w:sz w:val="18"/>
                <w:szCs w:val="18"/>
                <w:color w:val="auto"/>
                <w:w w:val="94"/>
              </w:rPr>
              <w:t>35,939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w w:val="94"/>
              </w:rPr>
              <w:t>47,337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w w:val="98"/>
              </w:rPr>
              <w:t>54,869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4"/>
              </w:rPr>
              <w:t>38,092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w w:val="89"/>
              </w:rPr>
              <w:t>176,237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4"/>
              </w:rPr>
              <w:t>17,928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4"/>
              </w:rPr>
              <w:t>20,228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98"/>
              </w:rPr>
              <w:t>27,180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4"/>
              </w:rPr>
              <w:t>30,195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2004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2"/>
              <w:spacing w:after="0"/>
              <w:rPr>
                <w:sz w:val="20"/>
                <w:szCs w:val="20"/>
                <w:color w:val="auto"/>
              </w:rPr>
            </w:pPr>
            <w:r>
              <w:rPr>
                <w:rFonts w:ascii="Arial" w:cs="Arial" w:eastAsia="Arial" w:hAnsi="Arial"/>
                <w:sz w:val="18"/>
                <w:szCs w:val="18"/>
                <w:color w:val="auto"/>
                <w:w w:val="94"/>
              </w:rPr>
              <w:t>14,922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w w:val="94"/>
              </w:rPr>
              <w:t>20,912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w w:val="98"/>
              </w:rPr>
              <w:t>20,366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w w:val="94"/>
              </w:rPr>
              <w:t>14,859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 (b):</w:t>
            </w: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6,531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5,591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9,562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4"/>
              </w:rPr>
              <w:t>12,290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2004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2"/>
              <w:spacing w:after="0"/>
              <w:rPr>
                <w:sz w:val="20"/>
                <w:szCs w:val="20"/>
                <w:color w:val="auto"/>
              </w:rPr>
            </w:pPr>
            <w:r>
              <w:rPr>
                <w:rFonts w:ascii="Arial" w:cs="Arial" w:eastAsia="Arial" w:hAnsi="Arial"/>
                <w:sz w:val="18"/>
                <w:szCs w:val="18"/>
                <w:color w:val="auto"/>
              </w:rPr>
              <w:t>2,098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6,942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2"/>
              <w:spacing w:after="0"/>
              <w:rPr>
                <w:sz w:val="20"/>
                <w:szCs w:val="20"/>
                <w:color w:val="auto"/>
              </w:rPr>
            </w:pPr>
            <w:r>
              <w:rPr>
                <w:rFonts w:ascii="Arial" w:cs="Arial" w:eastAsia="Arial" w:hAnsi="Arial"/>
                <w:sz w:val="18"/>
                <w:szCs w:val="18"/>
                <w:color w:val="auto"/>
              </w:rPr>
              <w:t>5,202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2,461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(c):</w:t>
            </w:r>
          </w:p>
        </w:tc>
        <w:tc>
          <w:tcPr>
            <w:tcW w:w="1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Basic</w:t>
            </w:r>
          </w:p>
        </w:tc>
        <w:tc>
          <w:tcPr>
            <w:tcW w:w="1720" w:type="dxa"/>
            <w:vAlign w:val="bottom"/>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0.30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0.26</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0.43</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0.55</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2004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0.32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720" w:type="dxa"/>
            <w:vAlign w:val="bottom"/>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52"/>
              <w:spacing w:after="0"/>
              <w:rPr>
                <w:sz w:val="20"/>
                <w:szCs w:val="20"/>
                <w:color w:val="auto"/>
              </w:rPr>
            </w:pPr>
            <w:r>
              <w:rPr>
                <w:rFonts w:ascii="Arial" w:cs="Arial" w:eastAsia="Arial" w:hAnsi="Arial"/>
                <w:sz w:val="18"/>
                <w:szCs w:val="18"/>
                <w:b w:val="1"/>
                <w:bCs w:val="1"/>
                <w:color w:val="auto"/>
              </w:rPr>
              <w:t>0.30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0.25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0.42</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0.53</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2004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0.10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0.32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31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February 1, 2005, our Board of Directors approved a change in our fiscal year from December 31, to a 52-53 week fiscal year ending on the last Saturday of December. This change is effective for our 2005 fiscal year. As a result of the change the first quarter of 2005 contained 12 weeks, the second and third quarter of 2005 both contained 13 weeks and the fourth quarter of 2005 contained 14 weeks. All quarters in 2004 contained 13 weeks.</w:t>
      </w:r>
    </w:p>
    <w:p>
      <w:pPr>
        <w:ind w:left="460" w:right="20" w:hanging="452"/>
        <w:spacing w:after="0" w:line="27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recorded a credit to the income tax provision of $4.4 million in the fourth quarter of 2004 as a result of a reduction in a deferred tax asset valuation allowance established in prior periods. During the third quarter of 2004 a $1.2 million liability for sales credits was eliminated with a credit to net sales. In the first quarter of 2005, we recorded a credit to the income tax provision of $3.1 million from the reversal of accrued taxes as a result of the completion of a tax examination. In the second, third and fourth quarters of 2005 we recorded credits to the income tax provision of $1.7 million, $1.6 million and $1.8 million, respectively, as a result of the reduction in a deferred tax asset valuation allowance.</w:t>
      </w:r>
    </w:p>
    <w:p>
      <w:pPr>
        <w:spacing w:after="0" w:line="23"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w:t>
      </w:r>
    </w:p>
    <w:p>
      <w:pPr>
        <w:spacing w:after="0" w:line="11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34" w:lineRule="exact"/>
        <w:rPr>
          <w:rFonts w:ascii="Arial" w:cs="Arial" w:eastAsia="Arial" w:hAnsi="Arial"/>
          <w:sz w:val="18"/>
          <w:szCs w:val="18"/>
          <w:b w:val="1"/>
          <w:bCs w:val="1"/>
          <w:color w:val="auto"/>
        </w:rPr>
      </w:pPr>
    </w:p>
    <w:p>
      <w:pPr>
        <w:ind w:left="34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January 31, 2006, the Cohu Board of Directors declared a $0.06 per share cash dividend payable on April 28, 2006 to stockholders of record on March 14,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10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audited the accompanying consolidated balance sheets of Cohu, Inc. as of December 31, 2005 and 2004, and the related consolidated statements of operations, stockholders’ equity, and cash flows for each of the three years in the period ended December 31, 2005.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31, 2005 and 2004, and the consolidated results of its operations and its cash flows for each of the three years in the period ended December 31, 2005,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4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effectiveness of Cohu, Inc.’s internal control over financial reporting as of December 31, 2005, based on criteria established in Internal Control — Integrated Framework issued by the Committee of Sponsoring Organizations of the Treadway Commission and our report dated February 16, 2006 expressed an unqualified opinion thereon.</w:t>
      </w:r>
    </w:p>
    <w:p>
      <w:pPr>
        <w:spacing w:after="0" w:line="3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2006</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15.(b) The following exhibits are filed as part of, or incorporated into, the 2005 Cohu, Inc. Annual Report on Form 10-K:</w:t>
      </w:r>
    </w:p>
    <w:p>
      <w:pPr>
        <w:spacing w:after="0" w:line="217" w:lineRule="exact"/>
        <w:rPr>
          <w:sz w:val="20"/>
          <w:szCs w:val="20"/>
          <w:color w:val="auto"/>
        </w:rPr>
      </w:pPr>
    </w:p>
    <w:p>
      <w:pPr>
        <w:ind w:left="16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120" w:right="460" w:hanging="782"/>
        <w:spacing w:after="0" w:line="259" w:lineRule="auto"/>
        <w:tabs>
          <w:tab w:leader="none" w:pos="1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Cohu, Inc. incorporated herein by reference to Exhibit 3.1(a) from the Cohu, Inc. Form 10-Q for the quarterly period ended June 30, 1999</w:t>
      </w:r>
    </w:p>
    <w:p>
      <w:pPr>
        <w:spacing w:after="0" w:line="186" w:lineRule="exact"/>
        <w:rPr>
          <w:sz w:val="20"/>
          <w:szCs w:val="20"/>
          <w:color w:val="auto"/>
        </w:rPr>
      </w:pPr>
    </w:p>
    <w:p>
      <w:pPr>
        <w:ind w:left="1120" w:right="360" w:hanging="782"/>
        <w:spacing w:after="0" w:line="277" w:lineRule="auto"/>
        <w:tabs>
          <w:tab w:leader="none" w:pos="110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Certificate of Amendment of Amended and Restated Certificate of Incorporation of Cohu, Inc. incorporated herein by reference from the Cohu, Inc. Form S-8 filed June 30, 2000, Exhibit 4.1(a)</w:t>
      </w:r>
    </w:p>
    <w:p>
      <w:pPr>
        <w:spacing w:after="0" w:line="170" w:lineRule="exact"/>
        <w:rPr>
          <w:sz w:val="20"/>
          <w:szCs w:val="20"/>
          <w:color w:val="auto"/>
        </w:rPr>
      </w:pPr>
    </w:p>
    <w:p>
      <w:pPr>
        <w:ind w:left="1120" w:right="200" w:hanging="782"/>
        <w:spacing w:after="0" w:line="277" w:lineRule="auto"/>
        <w:tabs>
          <w:tab w:leader="none" w:pos="11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Cohu, Inc. incorporated herein by reference to Exhibit 3.2 from the Cohu, Inc. Report on Form 8-K filed with the Securities and Exchange Commission on December 12, 1996</w:t>
      </w:r>
    </w:p>
    <w:p>
      <w:pPr>
        <w:spacing w:after="0" w:line="170" w:lineRule="exact"/>
        <w:rPr>
          <w:sz w:val="20"/>
          <w:szCs w:val="20"/>
          <w:color w:val="auto"/>
        </w:rPr>
      </w:pPr>
    </w:p>
    <w:p>
      <w:pPr>
        <w:ind w:left="1120" w:right="120" w:hanging="782"/>
        <w:spacing w:after="0" w:line="264" w:lineRule="auto"/>
        <w:tabs>
          <w:tab w:leader="none" w:pos="1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Rights Agreement dated November 15, 1996, between Cohu, Inc. and ChaseMellon Shareholder Services, L.L.C, as Rights Agent, incorporated herein by reference from the Cohu, Inc. Form 8-K, filed with the Securities and Exchange Commission on December 12, 1996, Exhibit 4.1</w:t>
      </w:r>
    </w:p>
    <w:p>
      <w:pPr>
        <w:spacing w:after="0" w:line="181" w:lineRule="exact"/>
        <w:rPr>
          <w:sz w:val="20"/>
          <w:szCs w:val="20"/>
          <w:color w:val="auto"/>
        </w:rPr>
      </w:pPr>
    </w:p>
    <w:p>
      <w:pPr>
        <w:ind w:left="1120" w:right="840" w:hanging="782"/>
        <w:spacing w:after="0" w:line="277" w:lineRule="auto"/>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Description of Cohu, Inc. Executive Incentive Bonus Plan, incorporated herein by reference from the Cohu, Inc. 1990 Form 10-K, Exhibit 10.3*</w:t>
      </w:r>
    </w:p>
    <w:p>
      <w:pPr>
        <w:spacing w:after="0" w:line="170" w:lineRule="exact"/>
        <w:rPr>
          <w:sz w:val="20"/>
          <w:szCs w:val="20"/>
          <w:color w:val="auto"/>
        </w:rPr>
      </w:pPr>
    </w:p>
    <w:p>
      <w:pPr>
        <w:ind w:left="1120" w:right="600" w:hanging="782"/>
        <w:spacing w:after="0" w:line="277" w:lineRule="auto"/>
        <w:tabs>
          <w:tab w:leader="none" w:pos="11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Cohu, Inc. 1996 Stock Option Plan, incorporated herein by reference from the Cohu Proxy Statement for the 1996 Annual Meeting of Stockholders*</w:t>
      </w:r>
    </w:p>
    <w:p>
      <w:pPr>
        <w:spacing w:after="0" w:line="170" w:lineRule="exact"/>
        <w:rPr>
          <w:sz w:val="20"/>
          <w:szCs w:val="20"/>
          <w:color w:val="auto"/>
        </w:rPr>
      </w:pPr>
    </w:p>
    <w:p>
      <w:pPr>
        <w:ind w:left="1120" w:right="520" w:hanging="782"/>
        <w:spacing w:after="0" w:line="277" w:lineRule="auto"/>
        <w:tabs>
          <w:tab w:leader="none" w:pos="11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Loan Agreement between Bank of America, N.A. and Cohu, Inc. dated June 28, 2004, incorporated herein by reference from the Cohu Form 10-Q for the quarter ended June 30, 2004, Exhibit 10.1</w:t>
      </w:r>
    </w:p>
    <w:p>
      <w:pPr>
        <w:spacing w:after="0" w:line="170" w:lineRule="exact"/>
        <w:rPr>
          <w:sz w:val="20"/>
          <w:szCs w:val="20"/>
          <w:color w:val="auto"/>
        </w:rPr>
      </w:pPr>
    </w:p>
    <w:p>
      <w:pPr>
        <w:ind w:left="1120" w:hanging="782"/>
        <w:spacing w:after="0" w:line="264" w:lineRule="auto"/>
        <w:tabs>
          <w:tab w:leader="none" w:pos="11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Amendment No. 1 dated June 15, 2005 to Loan Agreement dated June 28, 2004 between Cohu, Inc. and Bank of America, N.A., incorporated herein by reference from the Cohu, Inc. Report on Form 8-K filed with the Securities and Exchange Commission on June 17, 2005, Exhibit 99.1</w:t>
      </w:r>
    </w:p>
    <w:p>
      <w:pPr>
        <w:spacing w:after="0" w:line="181" w:lineRule="exact"/>
        <w:rPr>
          <w:sz w:val="20"/>
          <w:szCs w:val="20"/>
          <w:color w:val="auto"/>
        </w:rPr>
      </w:pPr>
    </w:p>
    <w:p>
      <w:pPr>
        <w:ind w:left="1120" w:right="880" w:hanging="782"/>
        <w:spacing w:after="0" w:line="277" w:lineRule="auto"/>
        <w:tabs>
          <w:tab w:leader="none" w:pos="11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Termination Agreement between Cohu, Inc. and John H. Allen, incorporated herein by reference from the Cohu 1996 Form 10-K, Exhibit 10.11*</w:t>
      </w:r>
    </w:p>
    <w:p>
      <w:pPr>
        <w:spacing w:after="0" w:line="170" w:lineRule="exact"/>
        <w:rPr>
          <w:sz w:val="20"/>
          <w:szCs w:val="20"/>
          <w:color w:val="auto"/>
        </w:rPr>
      </w:pPr>
    </w:p>
    <w:p>
      <w:pPr>
        <w:ind w:left="1120" w:right="480" w:hanging="782"/>
        <w:spacing w:after="0" w:line="277" w:lineRule="auto"/>
        <w:tabs>
          <w:tab w:leader="none" w:pos="11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Cohu, Inc. 1996 Outside Directors Stock Option Plan (as amended), incorporated herein by reference from the Cohu Form 10-Q for the quarter ended June 30, 2003, Exhibit 10.1*</w:t>
      </w:r>
    </w:p>
    <w:p>
      <w:pPr>
        <w:spacing w:after="0" w:line="170" w:lineRule="exact"/>
        <w:rPr>
          <w:sz w:val="20"/>
          <w:szCs w:val="20"/>
          <w:color w:val="auto"/>
        </w:rPr>
      </w:pPr>
    </w:p>
    <w:p>
      <w:pPr>
        <w:ind w:left="1120" w:right="320" w:hanging="782"/>
        <w:spacing w:after="0" w:line="277" w:lineRule="auto"/>
        <w:tabs>
          <w:tab w:leader="none" w:pos="11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Cohu, Inc. 1997 Employee Stock Purchase Plan (as amended), incorporated herein by reference from the Cohu Form 10-Q for the quarter ended June 30, 2001, Exhibit 10.4*</w:t>
      </w:r>
    </w:p>
    <w:p>
      <w:pPr>
        <w:spacing w:after="0" w:line="170" w:lineRule="exact"/>
        <w:rPr>
          <w:sz w:val="20"/>
          <w:szCs w:val="20"/>
          <w:color w:val="auto"/>
        </w:rPr>
      </w:pPr>
    </w:p>
    <w:p>
      <w:pPr>
        <w:ind w:left="340"/>
        <w:spacing w:after="0"/>
        <w:tabs>
          <w:tab w:leader="none" w:pos="11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Cohu, Inc. Deferred Compensation Plan incorporated herein by reference from the Cohu Form 10-Q for the quarter ended September 30,</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2001, Exhibit 10.2*</w:t>
      </w:r>
    </w:p>
    <w:p>
      <w:pPr>
        <w:spacing w:after="0" w:line="211" w:lineRule="exact"/>
        <w:rPr>
          <w:sz w:val="20"/>
          <w:szCs w:val="20"/>
          <w:color w:val="auto"/>
        </w:rPr>
      </w:pPr>
    </w:p>
    <w:p>
      <w:pPr>
        <w:ind w:left="1120" w:right="420" w:hanging="782"/>
        <w:spacing w:after="0" w:line="277" w:lineRule="auto"/>
        <w:tabs>
          <w:tab w:leader="none" w:pos="11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Cohu, Inc. 1998 Stock Option Plan (as amended), incorporated herein by reference from the Cohu Proxy Statement for the 2004 Annual Meeting of Stockholders*</w:t>
      </w:r>
    </w:p>
    <w:p>
      <w:pPr>
        <w:spacing w:after="0" w:line="170" w:lineRule="exact"/>
        <w:rPr>
          <w:sz w:val="20"/>
          <w:szCs w:val="20"/>
          <w:color w:val="auto"/>
        </w:rPr>
      </w:pPr>
    </w:p>
    <w:p>
      <w:pPr>
        <w:ind w:left="1120" w:right="60" w:hanging="782"/>
        <w:spacing w:after="0" w:line="277" w:lineRule="auto"/>
        <w:tabs>
          <w:tab w:leader="none" w:pos="11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Cohu, Inc. 2005 Equity Incentive Plan, incorporated herein by reference from the Cohu, Inc. Definitive Proxy Statement for the 2005 Annual Meeting of Stockholders filed with the Securities and Exchange Commission on March 30, 2005.*</w:t>
      </w:r>
    </w:p>
    <w:p>
      <w:pPr>
        <w:spacing w:after="0" w:line="170" w:lineRule="exact"/>
        <w:rPr>
          <w:sz w:val="20"/>
          <w:szCs w:val="20"/>
          <w:color w:val="auto"/>
        </w:rPr>
      </w:pPr>
    </w:p>
    <w:p>
      <w:pPr>
        <w:ind w:left="1120" w:right="460" w:hanging="782"/>
        <w:spacing w:after="0" w:line="277" w:lineRule="auto"/>
        <w:tabs>
          <w:tab w:leader="none" w:pos="11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Termination Agreement between Cohu, Inc. and James A. Donahue, incorporated herein by reference from the Cohu Form 10-Q for the quarter ended June 30, 1998, Exhibit 10.2*</w:t>
      </w:r>
    </w:p>
    <w:p>
      <w:pPr>
        <w:spacing w:after="0" w:line="170" w:lineRule="exact"/>
        <w:rPr>
          <w:sz w:val="20"/>
          <w:szCs w:val="20"/>
          <w:color w:val="auto"/>
        </w:rPr>
      </w:pPr>
    </w:p>
    <w:p>
      <w:pPr>
        <w:ind w:left="1120" w:right="80" w:hanging="782"/>
        <w:spacing w:after="0" w:line="308" w:lineRule="auto"/>
        <w:tabs>
          <w:tab w:leader="none" w:pos="11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Lease Assignment Agreement dated June 25, 1999 by and between Cohu, Inc., Cubic Defense Systems, Inc. and Thomas G. Plein and Diane L. Plein, incorporated herein by reference from the Cohu Form 10-Q for the quarter ended June 30, 1999, Exhibit 10.2</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60" w:type="dxa"/>
            <w:vAlign w:val="bottom"/>
          </w:tcPr>
          <w:p>
            <w:pPr>
              <w:ind w:left="320"/>
              <w:spacing w:after="0" w:line="195" w:lineRule="exact"/>
              <w:rPr>
                <w:sz w:val="20"/>
                <w:szCs w:val="20"/>
                <w:color w:val="auto"/>
              </w:rPr>
            </w:pPr>
            <w:r>
              <w:rPr>
                <w:rFonts w:ascii="Arial" w:cs="Arial" w:eastAsia="Arial" w:hAnsi="Arial"/>
                <w:sz w:val="18"/>
                <w:szCs w:val="18"/>
                <w:color w:val="auto"/>
              </w:rPr>
              <w:t>10.11.1</w:t>
            </w:r>
          </w:p>
        </w:tc>
        <w:tc>
          <w:tcPr>
            <w:tcW w:w="10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4"/>
              </w:rPr>
              <w:t>Extension of Lease dated August 19, 2005 by and between Cohu, Inc., Thomas G. Plein and Diane L. Plein, the Hurley Family Trust and</w:t>
            </w:r>
          </w:p>
        </w:tc>
      </w:tr>
      <w:tr>
        <w:trPr>
          <w:trHeight w:val="230"/>
        </w:trPr>
        <w:tc>
          <w:tcPr>
            <w:tcW w:w="1060" w:type="dxa"/>
            <w:vAlign w:val="bottom"/>
          </w:tcPr>
          <w:p>
            <w:pPr>
              <w:spacing w:after="0"/>
              <w:rPr>
                <w:sz w:val="20"/>
                <w:szCs w:val="20"/>
                <w:color w:val="auto"/>
              </w:rPr>
            </w:pP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Chesnut Family Trust, incorporated by reference from the Cohu Form 8-K filed August 22, 2005, Exhibit 99.1</w:t>
            </w:r>
          </w:p>
        </w:tc>
      </w:tr>
      <w:tr>
        <w:trPr>
          <w:trHeight w:val="418"/>
        </w:trPr>
        <w:tc>
          <w:tcPr>
            <w:tcW w:w="1060" w:type="dxa"/>
            <w:vAlign w:val="bottom"/>
          </w:tcPr>
          <w:p>
            <w:pPr>
              <w:ind w:left="320"/>
              <w:spacing w:after="0"/>
              <w:rPr>
                <w:sz w:val="20"/>
                <w:szCs w:val="20"/>
                <w:color w:val="auto"/>
              </w:rPr>
            </w:pPr>
            <w:r>
              <w:rPr>
                <w:rFonts w:ascii="Arial" w:cs="Arial" w:eastAsia="Arial" w:hAnsi="Arial"/>
                <w:sz w:val="18"/>
                <w:szCs w:val="18"/>
                <w:color w:val="auto"/>
              </w:rPr>
              <w:t>10.12</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w w:val="90"/>
              </w:rPr>
              <w:t>Purchase and Sale Agreement between the General Headquarters of the United Arab Emirates Abu Dhabi and Broadcast Microwave Services,</w:t>
            </w:r>
          </w:p>
        </w:tc>
      </w:tr>
      <w:tr>
        <w:trPr>
          <w:trHeight w:val="230"/>
        </w:trPr>
        <w:tc>
          <w:tcPr>
            <w:tcW w:w="1060" w:type="dxa"/>
            <w:vAlign w:val="bottom"/>
          </w:tcPr>
          <w:p>
            <w:pPr>
              <w:spacing w:after="0"/>
              <w:rPr>
                <w:sz w:val="20"/>
                <w:szCs w:val="20"/>
                <w:color w:val="auto"/>
              </w:rPr>
            </w:pP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from the Cohu Form 8-K filed February 18, 2005, Exhibit 99.1</w:t>
            </w:r>
          </w:p>
        </w:tc>
      </w:tr>
      <w:tr>
        <w:trPr>
          <w:trHeight w:val="418"/>
        </w:trPr>
        <w:tc>
          <w:tcPr>
            <w:tcW w:w="1060" w:type="dxa"/>
            <w:vAlign w:val="bottom"/>
          </w:tcPr>
          <w:p>
            <w:pPr>
              <w:ind w:left="320"/>
              <w:spacing w:after="0"/>
              <w:rPr>
                <w:sz w:val="20"/>
                <w:szCs w:val="20"/>
                <w:color w:val="auto"/>
              </w:rPr>
            </w:pPr>
            <w:r>
              <w:rPr>
                <w:rFonts w:ascii="Arial" w:cs="Arial" w:eastAsia="Arial" w:hAnsi="Arial"/>
                <w:sz w:val="18"/>
                <w:szCs w:val="18"/>
                <w:color w:val="auto"/>
              </w:rPr>
              <w:t>10.13</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w w:val="91"/>
              </w:rPr>
              <w:t>Capital Equipment and Services Purchase Agreement dated October 1, 2004 between Delta Design, Inc. and Intel Corporation, incorporated</w:t>
            </w:r>
          </w:p>
        </w:tc>
      </w:tr>
      <w:tr>
        <w:trPr>
          <w:trHeight w:val="230"/>
        </w:trPr>
        <w:tc>
          <w:tcPr>
            <w:tcW w:w="1060" w:type="dxa"/>
            <w:vAlign w:val="bottom"/>
          </w:tcPr>
          <w:p>
            <w:pPr>
              <w:spacing w:after="0"/>
              <w:rPr>
                <w:sz w:val="20"/>
                <w:szCs w:val="20"/>
                <w:color w:val="auto"/>
              </w:rPr>
            </w:pP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by reference from the Cohu Form 8-K filed February 18, 2005, Exhibit 99.2</w:t>
            </w:r>
          </w:p>
        </w:tc>
      </w:tr>
      <w:tr>
        <w:trPr>
          <w:trHeight w:val="418"/>
        </w:trPr>
        <w:tc>
          <w:tcPr>
            <w:tcW w:w="1060" w:type="dxa"/>
            <w:vAlign w:val="bottom"/>
          </w:tcPr>
          <w:p>
            <w:pPr>
              <w:ind w:left="320"/>
              <w:spacing w:after="0"/>
              <w:rPr>
                <w:sz w:val="20"/>
                <w:szCs w:val="20"/>
                <w:color w:val="auto"/>
              </w:rPr>
            </w:pPr>
            <w:r>
              <w:rPr>
                <w:rFonts w:ascii="Arial" w:cs="Arial" w:eastAsia="Arial" w:hAnsi="Arial"/>
                <w:sz w:val="18"/>
                <w:szCs w:val="18"/>
                <w:color w:val="auto"/>
              </w:rPr>
              <w:t>10.14</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w w:val="90"/>
              </w:rPr>
              <w:t>Corporate Purchase Option Agreement dated April 25, 2002 between Delta Design, Inc. and Texas Instruments Incorporated, incorporated by</w:t>
            </w:r>
          </w:p>
        </w:tc>
      </w:tr>
      <w:tr>
        <w:trPr>
          <w:trHeight w:val="230"/>
        </w:trPr>
        <w:tc>
          <w:tcPr>
            <w:tcW w:w="1060" w:type="dxa"/>
            <w:vAlign w:val="bottom"/>
          </w:tcPr>
          <w:p>
            <w:pPr>
              <w:spacing w:after="0"/>
              <w:rPr>
                <w:sz w:val="20"/>
                <w:szCs w:val="20"/>
                <w:color w:val="auto"/>
              </w:rPr>
            </w:pP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reference from the Cohu Form 8-K filed February 18, 2005, Exhibit 99.3</w:t>
            </w:r>
          </w:p>
        </w:tc>
      </w:tr>
      <w:tr>
        <w:trPr>
          <w:trHeight w:val="418"/>
        </w:trPr>
        <w:tc>
          <w:tcPr>
            <w:tcW w:w="1060" w:type="dxa"/>
            <w:vAlign w:val="bottom"/>
          </w:tcPr>
          <w:p>
            <w:pPr>
              <w:ind w:left="320"/>
              <w:spacing w:after="0"/>
              <w:rPr>
                <w:sz w:val="20"/>
                <w:szCs w:val="20"/>
                <w:color w:val="auto"/>
              </w:rPr>
            </w:pPr>
            <w:r>
              <w:rPr>
                <w:rFonts w:ascii="Arial" w:cs="Arial" w:eastAsia="Arial" w:hAnsi="Arial"/>
                <w:sz w:val="18"/>
                <w:szCs w:val="18"/>
                <w:color w:val="auto"/>
              </w:rPr>
              <w:t>10.15</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w w:val="93"/>
              </w:rPr>
              <w:t>Business Agreement and Addendum by and between Advanced Micro Devices, Inc. and Delta Design, Inc. incorporated by reference from</w:t>
            </w:r>
          </w:p>
        </w:tc>
      </w:tr>
      <w:tr>
        <w:trPr>
          <w:trHeight w:val="230"/>
        </w:trPr>
        <w:tc>
          <w:tcPr>
            <w:tcW w:w="1060" w:type="dxa"/>
            <w:vAlign w:val="bottom"/>
          </w:tcPr>
          <w:p>
            <w:pPr>
              <w:spacing w:after="0"/>
              <w:rPr>
                <w:sz w:val="20"/>
                <w:szCs w:val="20"/>
                <w:color w:val="auto"/>
              </w:rPr>
            </w:pP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the Cohu Form 8-K filed February 22, 2006, Exhibit 99.1</w:t>
            </w:r>
          </w:p>
        </w:tc>
      </w:tr>
      <w:tr>
        <w:trPr>
          <w:trHeight w:val="432"/>
        </w:trPr>
        <w:tc>
          <w:tcPr>
            <w:tcW w:w="1060" w:type="dxa"/>
            <w:vAlign w:val="bottom"/>
          </w:tcPr>
          <w:p>
            <w:pPr>
              <w:ind w:left="320"/>
              <w:spacing w:after="0"/>
              <w:rPr>
                <w:sz w:val="20"/>
                <w:szCs w:val="20"/>
                <w:color w:val="auto"/>
              </w:rPr>
            </w:pPr>
            <w:r>
              <w:rPr>
                <w:rFonts w:ascii="Arial" w:cs="Arial" w:eastAsia="Arial" w:hAnsi="Arial"/>
                <w:sz w:val="18"/>
                <w:szCs w:val="18"/>
                <w:color w:val="auto"/>
              </w:rPr>
              <w:t>14</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Cohu, Inc. Code of Business Conduct and Ethics, incorporated herein by reference from the Cohu 2003 Form 10-K, Exhibit 14</w:t>
            </w:r>
          </w:p>
        </w:tc>
      </w:tr>
      <w:tr>
        <w:trPr>
          <w:trHeight w:val="432"/>
        </w:trPr>
        <w:tc>
          <w:tcPr>
            <w:tcW w:w="1060" w:type="dxa"/>
            <w:vAlign w:val="bottom"/>
          </w:tcPr>
          <w:p>
            <w:pPr>
              <w:ind w:left="320"/>
              <w:spacing w:after="0"/>
              <w:rPr>
                <w:sz w:val="20"/>
                <w:szCs w:val="20"/>
                <w:color w:val="auto"/>
              </w:rPr>
            </w:pPr>
            <w:r>
              <w:rPr>
                <w:rFonts w:ascii="Arial" w:cs="Arial" w:eastAsia="Arial" w:hAnsi="Arial"/>
                <w:sz w:val="18"/>
                <w:szCs w:val="18"/>
                <w:color w:val="auto"/>
              </w:rPr>
              <w:t>21</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Subsidiaries of Cohu, Inc.</w:t>
            </w:r>
          </w:p>
        </w:tc>
      </w:tr>
      <w:tr>
        <w:trPr>
          <w:trHeight w:val="432"/>
        </w:trPr>
        <w:tc>
          <w:tcPr>
            <w:tcW w:w="1060" w:type="dxa"/>
            <w:vAlign w:val="bottom"/>
          </w:tcPr>
          <w:p>
            <w:pPr>
              <w:ind w:left="320"/>
              <w:spacing w:after="0"/>
              <w:rPr>
                <w:sz w:val="20"/>
                <w:szCs w:val="20"/>
                <w:color w:val="auto"/>
              </w:rPr>
            </w:pPr>
            <w:r>
              <w:rPr>
                <w:rFonts w:ascii="Arial" w:cs="Arial" w:eastAsia="Arial" w:hAnsi="Arial"/>
                <w:sz w:val="18"/>
                <w:szCs w:val="18"/>
                <w:color w:val="auto"/>
              </w:rPr>
              <w:t>23</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060" w:type="dxa"/>
            <w:vAlign w:val="bottom"/>
          </w:tcPr>
          <w:p>
            <w:pPr>
              <w:ind w:left="320"/>
              <w:spacing w:after="0"/>
              <w:rPr>
                <w:sz w:val="20"/>
                <w:szCs w:val="20"/>
                <w:color w:val="auto"/>
              </w:rPr>
            </w:pPr>
            <w:r>
              <w:rPr>
                <w:rFonts w:ascii="Arial" w:cs="Arial" w:eastAsia="Arial" w:hAnsi="Arial"/>
                <w:sz w:val="18"/>
                <w:szCs w:val="18"/>
                <w:color w:val="auto"/>
              </w:rPr>
              <w:t>31.1</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Section 302(a) of the Sarbanes-Oxley Act of 2002 for James A. Donahue</w:t>
            </w:r>
          </w:p>
        </w:tc>
      </w:tr>
      <w:tr>
        <w:trPr>
          <w:trHeight w:val="432"/>
        </w:trPr>
        <w:tc>
          <w:tcPr>
            <w:tcW w:w="1060" w:type="dxa"/>
            <w:vAlign w:val="bottom"/>
          </w:tcPr>
          <w:p>
            <w:pPr>
              <w:ind w:left="320"/>
              <w:spacing w:after="0"/>
              <w:rPr>
                <w:sz w:val="20"/>
                <w:szCs w:val="20"/>
                <w:color w:val="auto"/>
              </w:rPr>
            </w:pPr>
            <w:r>
              <w:rPr>
                <w:rFonts w:ascii="Arial" w:cs="Arial" w:eastAsia="Arial" w:hAnsi="Arial"/>
                <w:sz w:val="18"/>
                <w:szCs w:val="18"/>
                <w:color w:val="auto"/>
              </w:rPr>
              <w:t>31.2</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Certification pursuant to Section 302(a) of the Sarbanes-Oxley Act of 2002 for John H. Allen</w:t>
            </w:r>
          </w:p>
        </w:tc>
      </w:tr>
      <w:tr>
        <w:trPr>
          <w:trHeight w:val="418"/>
        </w:trPr>
        <w:tc>
          <w:tcPr>
            <w:tcW w:w="1060" w:type="dxa"/>
            <w:vAlign w:val="bottom"/>
          </w:tcPr>
          <w:p>
            <w:pPr>
              <w:ind w:left="320"/>
              <w:spacing w:after="0"/>
              <w:rPr>
                <w:sz w:val="20"/>
                <w:szCs w:val="20"/>
                <w:color w:val="auto"/>
              </w:rPr>
            </w:pPr>
            <w:r>
              <w:rPr>
                <w:rFonts w:ascii="Arial" w:cs="Arial" w:eastAsia="Arial" w:hAnsi="Arial"/>
                <w:sz w:val="18"/>
                <w:szCs w:val="18"/>
                <w:color w:val="auto"/>
              </w:rPr>
              <w:t>32.1</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w w:val="96"/>
              </w:rPr>
              <w:t>Certification pursuant to 18 U.S.C. Section 1350, as adopted pursuant to Section 906 of the Sarbanes-Oxley Act of 2002 for James A.</w:t>
            </w:r>
          </w:p>
        </w:tc>
      </w:tr>
      <w:tr>
        <w:trPr>
          <w:trHeight w:val="230"/>
        </w:trPr>
        <w:tc>
          <w:tcPr>
            <w:tcW w:w="1060" w:type="dxa"/>
            <w:vAlign w:val="bottom"/>
          </w:tcPr>
          <w:p>
            <w:pPr>
              <w:spacing w:after="0"/>
              <w:rPr>
                <w:sz w:val="20"/>
                <w:szCs w:val="20"/>
                <w:color w:val="auto"/>
              </w:rPr>
            </w:pP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Donahue</w:t>
            </w:r>
          </w:p>
        </w:tc>
      </w:tr>
      <w:tr>
        <w:trPr>
          <w:trHeight w:val="432"/>
        </w:trPr>
        <w:tc>
          <w:tcPr>
            <w:tcW w:w="1060" w:type="dxa"/>
            <w:vAlign w:val="bottom"/>
          </w:tcPr>
          <w:p>
            <w:pPr>
              <w:ind w:left="320"/>
              <w:spacing w:after="0"/>
              <w:rPr>
                <w:sz w:val="20"/>
                <w:szCs w:val="20"/>
                <w:color w:val="auto"/>
              </w:rPr>
            </w:pPr>
            <w:r>
              <w:rPr>
                <w:rFonts w:ascii="Arial" w:cs="Arial" w:eastAsia="Arial" w:hAnsi="Arial"/>
                <w:sz w:val="18"/>
                <w:szCs w:val="18"/>
                <w:color w:val="auto"/>
              </w:rPr>
              <w:t>32.2</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for John H. Allen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February 23,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1697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&amp; Chief Executive Officer</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3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426"/>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Schwan</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Chairman of the Board, Director</w:t>
            </w:r>
          </w:p>
        </w:tc>
        <w:tc>
          <w:tcPr>
            <w:tcW w:w="2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February 23, 2006</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Charles A. Schwan</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Donahue</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President &amp; Chief Executive Officer,</w:t>
            </w:r>
          </w:p>
        </w:tc>
        <w:tc>
          <w:tcPr>
            <w:tcW w:w="2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February 23, 2006</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James A. Donahue</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 (Principal Executive Officer)</w:t>
            </w:r>
          </w:p>
        </w:tc>
        <w:tc>
          <w:tcPr>
            <w:tcW w:w="2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H. Allen</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Vice President, Finance &amp; Chief</w:t>
            </w:r>
          </w:p>
        </w:tc>
        <w:tc>
          <w:tcPr>
            <w:tcW w:w="2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February 23, 2006</w:t>
            </w:r>
          </w:p>
        </w:tc>
      </w:tr>
      <w:tr>
        <w:trPr>
          <w:trHeight w:val="182"/>
        </w:trPr>
        <w:tc>
          <w:tcPr>
            <w:tcW w:w="3960" w:type="dxa"/>
            <w:vAlign w:val="bottom"/>
          </w:tcPr>
          <w:p>
            <w:pPr>
              <w:spacing w:after="0" w:line="182" w:lineRule="exact"/>
              <w:rPr>
                <w:sz w:val="20"/>
                <w:szCs w:val="20"/>
                <w:color w:val="auto"/>
              </w:rPr>
            </w:pPr>
            <w:r>
              <w:rPr>
                <w:rFonts w:ascii="Arial" w:cs="Arial" w:eastAsia="Arial" w:hAnsi="Arial"/>
                <w:sz w:val="18"/>
                <w:szCs w:val="18"/>
                <w:color w:val="auto"/>
              </w:rPr>
              <w:t>John H. Allen</w:t>
            </w:r>
          </w:p>
        </w:tc>
        <w:tc>
          <w:tcPr>
            <w:tcW w:w="4200" w:type="dxa"/>
            <w:vAlign w:val="bottom"/>
            <w:gridSpan w:val="2"/>
          </w:tcPr>
          <w:p>
            <w:pPr>
              <w:ind w:left="240"/>
              <w:spacing w:after="0" w:line="182" w:lineRule="exact"/>
              <w:rPr>
                <w:sz w:val="20"/>
                <w:szCs w:val="20"/>
                <w:color w:val="auto"/>
              </w:rPr>
            </w:pPr>
            <w:r>
              <w:rPr>
                <w:rFonts w:ascii="Arial" w:cs="Arial" w:eastAsia="Arial" w:hAnsi="Arial"/>
                <w:sz w:val="18"/>
                <w:szCs w:val="18"/>
                <w:color w:val="auto"/>
              </w:rPr>
              <w:t>Financial Officer (Principal</w:t>
            </w:r>
          </w:p>
        </w:tc>
        <w:tc>
          <w:tcPr>
            <w:tcW w:w="24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230"/>
        </w:trPr>
        <w:tc>
          <w:tcPr>
            <w:tcW w:w="3960" w:type="dxa"/>
            <w:vAlign w:val="bottom"/>
          </w:tcPr>
          <w:p>
            <w:pPr>
              <w:spacing w:after="0"/>
              <w:rPr>
                <w:sz w:val="20"/>
                <w:szCs w:val="20"/>
                <w:color w:val="auto"/>
              </w:rPr>
            </w:pP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Financial &amp; Accounting Officer)</w:t>
            </w:r>
          </w:p>
        </w:tc>
        <w:tc>
          <w:tcPr>
            <w:tcW w:w="24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432"/>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W. Barnes</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February 23, 2006</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James W. Barnes</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L. Casari</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February 23, 2006</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Harry L. Casari</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 Ciardella</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February 23, 2006</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Robert L. Ciardella</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31"/>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Harrigian</w:t>
            </w:r>
          </w:p>
        </w:tc>
        <w:tc>
          <w:tcPr>
            <w:tcW w:w="420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February 23, 2006</w:t>
            </w: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Harold Harrigian</w:t>
            </w:r>
          </w:p>
        </w:tc>
        <w:tc>
          <w:tcPr>
            <w:tcW w:w="2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404"/>
        </w:trPr>
        <w:tc>
          <w:tcPr>
            <w:tcW w:w="3960" w:type="dxa"/>
            <w:vAlign w:val="bottom"/>
          </w:tcPr>
          <w:p>
            <w:pPr>
              <w:spacing w:after="0"/>
              <w:rPr>
                <w:sz w:val="24"/>
                <w:szCs w:val="24"/>
                <w:color w:val="auto"/>
              </w:rPr>
            </w:pPr>
          </w:p>
        </w:tc>
        <w:tc>
          <w:tcPr>
            <w:tcW w:w="4200" w:type="dxa"/>
            <w:vAlign w:val="bottom"/>
            <w:gridSpan w:val="2"/>
          </w:tcPr>
          <w:p>
            <w:pPr>
              <w:ind w:left="166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26"/>
        </w:trPr>
        <w:tc>
          <w:tcPr>
            <w:tcW w:w="3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gridSpan w:val="2"/>
          </w:tcPr>
          <w:p>
            <w:pPr>
              <w:jc w:val="center"/>
              <w:ind w:right="133"/>
              <w:spacing w:after="0"/>
              <w:rPr>
                <w:sz w:val="20"/>
                <w:szCs w:val="20"/>
                <w:color w:val="auto"/>
              </w:rPr>
            </w:pPr>
            <w:r>
              <w:rPr>
                <w:rFonts w:ascii="Arial" w:cs="Arial" w:eastAsia="Arial" w:hAnsi="Arial"/>
                <w:sz w:val="14"/>
                <w:szCs w:val="14"/>
                <w:color w:val="auto"/>
                <w:w w:val="97"/>
              </w:rPr>
              <w:t>Additions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40" w:type="dxa"/>
            <w:vAlign w:val="bottom"/>
            <w:gridSpan w:val="2"/>
          </w:tcPr>
          <w:p>
            <w:pPr>
              <w:jc w:val="center"/>
              <w:ind w:right="114"/>
              <w:spacing w:after="0" w:line="149" w:lineRule="exact"/>
              <w:rPr>
                <w:sz w:val="20"/>
                <w:szCs w:val="20"/>
                <w:color w:val="auto"/>
              </w:rPr>
            </w:pPr>
            <w:r>
              <w:rPr>
                <w:rFonts w:ascii="Arial" w:cs="Arial" w:eastAsia="Arial" w:hAnsi="Arial"/>
                <w:sz w:val="14"/>
                <w:szCs w:val="14"/>
                <w:color w:val="auto"/>
                <w:w w:val="97"/>
              </w:rPr>
              <w:t>Additions</w:t>
            </w:r>
          </w:p>
        </w:tc>
        <w:tc>
          <w:tcPr>
            <w:tcW w:w="15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(Reductions)</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960" w:type="dxa"/>
            <w:vAlign w:val="bottom"/>
            <w:gridSpan w:val="2"/>
          </w:tcPr>
          <w:p>
            <w:pPr>
              <w:jc w:val="center"/>
              <w:ind w:left="234"/>
              <w:spacing w:after="0" w:line="149" w:lineRule="exact"/>
              <w:rPr>
                <w:sz w:val="20"/>
                <w:szCs w:val="20"/>
                <w:color w:val="auto"/>
              </w:rPr>
            </w:pPr>
            <w:r>
              <w:rPr>
                <w:rFonts w:ascii="Arial" w:cs="Arial" w:eastAsia="Arial" w:hAnsi="Arial"/>
                <w:sz w:val="14"/>
                <w:szCs w:val="14"/>
                <w:color w:val="auto"/>
                <w:w w:val="90"/>
              </w:rPr>
              <w:t>Balance at</w:t>
            </w:r>
          </w:p>
        </w:tc>
        <w:tc>
          <w:tcPr>
            <w:tcW w:w="380" w:type="dxa"/>
            <w:vAlign w:val="bottom"/>
          </w:tcPr>
          <w:p>
            <w:pPr>
              <w:spacing w:after="0"/>
              <w:rPr>
                <w:sz w:val="12"/>
                <w:szCs w:val="12"/>
                <w:color w:val="auto"/>
              </w:rPr>
            </w:pPr>
          </w:p>
        </w:tc>
        <w:tc>
          <w:tcPr>
            <w:tcW w:w="1060" w:type="dxa"/>
            <w:vAlign w:val="bottom"/>
          </w:tcPr>
          <w:p>
            <w:pPr>
              <w:jc w:val="center"/>
              <w:ind w:right="494"/>
              <w:spacing w:after="0" w:line="149" w:lineRule="exact"/>
              <w:rPr>
                <w:sz w:val="20"/>
                <w:szCs w:val="20"/>
                <w:color w:val="auto"/>
              </w:rPr>
            </w:pPr>
            <w:r>
              <w:rPr>
                <w:rFonts w:ascii="Arial" w:cs="Arial" w:eastAsia="Arial" w:hAnsi="Arial"/>
                <w:sz w:val="14"/>
                <w:szCs w:val="14"/>
                <w:color w:val="auto"/>
                <w:w w:val="91"/>
              </w:rPr>
              <w:t>Not</w:t>
            </w:r>
          </w:p>
        </w:tc>
        <w:tc>
          <w:tcPr>
            <w:tcW w:w="380" w:type="dxa"/>
            <w:vAlign w:val="bottom"/>
          </w:tcPr>
          <w:p>
            <w:pPr>
              <w:spacing w:after="0"/>
              <w:rPr>
                <w:sz w:val="12"/>
                <w:szCs w:val="12"/>
                <w:color w:val="auto"/>
              </w:rPr>
            </w:pPr>
          </w:p>
        </w:tc>
        <w:tc>
          <w:tcPr>
            <w:tcW w:w="1120" w:type="dxa"/>
            <w:vAlign w:val="bottom"/>
          </w:tcPr>
          <w:p>
            <w:pPr>
              <w:jc w:val="center"/>
              <w:ind w:right="513"/>
              <w:spacing w:after="0" w:line="149" w:lineRule="exact"/>
              <w:rPr>
                <w:sz w:val="20"/>
                <w:szCs w:val="20"/>
                <w:color w:val="auto"/>
              </w:rPr>
            </w:pPr>
            <w:r>
              <w:rPr>
                <w:rFonts w:ascii="Arial" w:cs="Arial" w:eastAsia="Arial" w:hAnsi="Arial"/>
                <w:sz w:val="14"/>
                <w:szCs w:val="14"/>
                <w:color w:val="auto"/>
                <w:w w:val="89"/>
              </w:rPr>
              <w:t>Charged</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0"/>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960" w:type="dxa"/>
            <w:vAlign w:val="bottom"/>
            <w:gridSpan w:val="2"/>
          </w:tcPr>
          <w:p>
            <w:pPr>
              <w:jc w:val="center"/>
              <w:ind w:left="234"/>
              <w:spacing w:after="0" w:line="149" w:lineRule="exact"/>
              <w:rPr>
                <w:sz w:val="20"/>
                <w:szCs w:val="20"/>
                <w:color w:val="auto"/>
              </w:rPr>
            </w:pPr>
            <w:r>
              <w:rPr>
                <w:rFonts w:ascii="Arial" w:cs="Arial" w:eastAsia="Arial" w:hAnsi="Arial"/>
                <w:sz w:val="14"/>
                <w:szCs w:val="14"/>
                <w:color w:val="auto"/>
                <w:w w:val="96"/>
              </w:rPr>
              <w:t>Beginning</w:t>
            </w:r>
          </w:p>
        </w:tc>
        <w:tc>
          <w:tcPr>
            <w:tcW w:w="380" w:type="dxa"/>
            <w:vAlign w:val="bottom"/>
          </w:tcPr>
          <w:p>
            <w:pPr>
              <w:spacing w:after="0"/>
              <w:rPr>
                <w:sz w:val="12"/>
                <w:szCs w:val="12"/>
                <w:color w:val="auto"/>
              </w:rPr>
            </w:pPr>
          </w:p>
        </w:tc>
        <w:tc>
          <w:tcPr>
            <w:tcW w:w="1060" w:type="dxa"/>
            <w:vAlign w:val="bottom"/>
          </w:tcPr>
          <w:p>
            <w:pPr>
              <w:jc w:val="center"/>
              <w:ind w:right="494"/>
              <w:spacing w:after="0" w:line="149" w:lineRule="exact"/>
              <w:rPr>
                <w:sz w:val="20"/>
                <w:szCs w:val="20"/>
                <w:color w:val="auto"/>
              </w:rPr>
            </w:pPr>
            <w:r>
              <w:rPr>
                <w:rFonts w:ascii="Arial" w:cs="Arial" w:eastAsia="Arial" w:hAnsi="Arial"/>
                <w:sz w:val="14"/>
                <w:szCs w:val="14"/>
                <w:color w:val="auto"/>
                <w:w w:val="89"/>
              </w:rPr>
              <w:t>Charged</w:t>
            </w:r>
          </w:p>
        </w:tc>
        <w:tc>
          <w:tcPr>
            <w:tcW w:w="1500" w:type="dxa"/>
            <w:vAlign w:val="bottom"/>
            <w:gridSpan w:val="2"/>
          </w:tcPr>
          <w:p>
            <w:pPr>
              <w:jc w:val="center"/>
              <w:ind w:right="133"/>
              <w:spacing w:after="0" w:line="149" w:lineRule="exact"/>
              <w:rPr>
                <w:sz w:val="20"/>
                <w:szCs w:val="20"/>
                <w:color w:val="auto"/>
              </w:rPr>
            </w:pPr>
            <w:r>
              <w:rPr>
                <w:rFonts w:ascii="Arial" w:cs="Arial" w:eastAsia="Arial" w:hAnsi="Arial"/>
                <w:sz w:val="14"/>
                <w:szCs w:val="14"/>
                <w:color w:val="auto"/>
                <w:w w:val="96"/>
              </w:rPr>
              <w:t>(Credited)</w:t>
            </w:r>
          </w:p>
        </w:tc>
        <w:tc>
          <w:tcPr>
            <w:tcW w:w="12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Deductions/</w:t>
            </w:r>
          </w:p>
        </w:tc>
        <w:tc>
          <w:tcPr>
            <w:tcW w:w="420" w:type="dxa"/>
            <w:vAlign w:val="bottom"/>
          </w:tcPr>
          <w:p>
            <w:pPr>
              <w:spacing w:after="0"/>
              <w:rPr>
                <w:sz w:val="12"/>
                <w:szCs w:val="12"/>
                <w:color w:val="auto"/>
              </w:rPr>
            </w:pPr>
          </w:p>
        </w:tc>
        <w:tc>
          <w:tcPr>
            <w:tcW w:w="800" w:type="dxa"/>
            <w:vAlign w:val="bottom"/>
          </w:tcPr>
          <w:p>
            <w:pPr>
              <w:jc w:val="center"/>
              <w:ind w:right="216"/>
              <w:spacing w:after="0" w:line="149" w:lineRule="exact"/>
              <w:rPr>
                <w:sz w:val="20"/>
                <w:szCs w:val="20"/>
                <w:color w:val="auto"/>
              </w:rPr>
            </w:pPr>
            <w:r>
              <w:rPr>
                <w:rFonts w:ascii="Arial" w:cs="Arial" w:eastAsia="Arial" w:hAnsi="Arial"/>
                <w:sz w:val="14"/>
                <w:szCs w:val="14"/>
                <w:color w:val="auto"/>
                <w:w w:val="93"/>
              </w:rPr>
              <w:t>at End</w:t>
            </w:r>
          </w:p>
        </w:tc>
        <w:tc>
          <w:tcPr>
            <w:tcW w:w="0" w:type="dxa"/>
            <w:vAlign w:val="bottom"/>
          </w:tcPr>
          <w:p>
            <w:pPr>
              <w:spacing w:after="0"/>
              <w:rPr>
                <w:sz w:val="1"/>
                <w:szCs w:val="1"/>
                <w:color w:val="auto"/>
              </w:rPr>
            </w:pPr>
          </w:p>
        </w:tc>
      </w:tr>
      <w:tr>
        <w:trPr>
          <w:trHeight w:val="174"/>
        </w:trPr>
        <w:tc>
          <w:tcPr>
            <w:tcW w:w="40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920" w:type="dxa"/>
            <w:vAlign w:val="bottom"/>
          </w:tcPr>
          <w:p>
            <w:pPr>
              <w:spacing w:after="0"/>
              <w:rPr>
                <w:sz w:val="15"/>
                <w:szCs w:val="15"/>
                <w:color w:val="auto"/>
              </w:rPr>
            </w:pPr>
          </w:p>
        </w:tc>
        <w:tc>
          <w:tcPr>
            <w:tcW w:w="1040" w:type="dxa"/>
            <w:vAlign w:val="bottom"/>
          </w:tcPr>
          <w:p>
            <w:pPr>
              <w:jc w:val="center"/>
              <w:ind w:right="493"/>
              <w:spacing w:after="0"/>
              <w:rPr>
                <w:sz w:val="20"/>
                <w:szCs w:val="20"/>
                <w:color w:val="auto"/>
              </w:rPr>
            </w:pPr>
            <w:r>
              <w:rPr>
                <w:rFonts w:ascii="Arial" w:cs="Arial" w:eastAsia="Arial" w:hAnsi="Arial"/>
                <w:sz w:val="14"/>
                <w:szCs w:val="14"/>
                <w:color w:val="auto"/>
                <w:w w:val="92"/>
              </w:rPr>
              <w:t>of Year</w:t>
            </w:r>
          </w:p>
        </w:tc>
        <w:tc>
          <w:tcPr>
            <w:tcW w:w="1440" w:type="dxa"/>
            <w:vAlign w:val="bottom"/>
            <w:gridSpan w:val="2"/>
          </w:tcPr>
          <w:p>
            <w:pPr>
              <w:ind w:left="300"/>
              <w:spacing w:after="0"/>
              <w:rPr>
                <w:sz w:val="20"/>
                <w:szCs w:val="20"/>
                <w:color w:val="auto"/>
              </w:rPr>
            </w:pPr>
            <w:r>
              <w:rPr>
                <w:rFonts w:ascii="Arial" w:cs="Arial" w:eastAsia="Arial" w:hAnsi="Arial"/>
                <w:sz w:val="14"/>
                <w:szCs w:val="14"/>
                <w:color w:val="auto"/>
              </w:rPr>
              <w:t>to Expense</w:t>
            </w:r>
          </w:p>
        </w:tc>
        <w:tc>
          <w:tcPr>
            <w:tcW w:w="1500" w:type="dxa"/>
            <w:vAlign w:val="bottom"/>
            <w:gridSpan w:val="2"/>
          </w:tcPr>
          <w:p>
            <w:pPr>
              <w:jc w:val="center"/>
              <w:ind w:right="133"/>
              <w:spacing w:after="0"/>
              <w:rPr>
                <w:sz w:val="20"/>
                <w:szCs w:val="20"/>
                <w:color w:val="auto"/>
              </w:rPr>
            </w:pPr>
            <w:r>
              <w:rPr>
                <w:rFonts w:ascii="Arial" w:cs="Arial" w:eastAsia="Arial" w:hAnsi="Arial"/>
                <w:sz w:val="14"/>
                <w:szCs w:val="14"/>
                <w:color w:val="auto"/>
                <w:w w:val="91"/>
              </w:rPr>
              <w:t>to Expense</w:t>
            </w:r>
          </w:p>
        </w:tc>
        <w:tc>
          <w:tcPr>
            <w:tcW w:w="1280" w:type="dxa"/>
            <w:vAlign w:val="bottom"/>
            <w:gridSpan w:val="2"/>
          </w:tcPr>
          <w:p>
            <w:pPr>
              <w:ind w:left="320"/>
              <w:spacing w:after="0"/>
              <w:rPr>
                <w:sz w:val="20"/>
                <w:szCs w:val="20"/>
                <w:color w:val="auto"/>
              </w:rPr>
            </w:pPr>
            <w:r>
              <w:rPr>
                <w:rFonts w:ascii="Arial" w:cs="Arial" w:eastAsia="Arial" w:hAnsi="Arial"/>
                <w:sz w:val="14"/>
                <w:szCs w:val="14"/>
                <w:color w:val="auto"/>
              </w:rPr>
              <w:t>Write-offs</w:t>
            </w:r>
          </w:p>
        </w:tc>
        <w:tc>
          <w:tcPr>
            <w:tcW w:w="420" w:type="dxa"/>
            <w:vAlign w:val="bottom"/>
          </w:tcPr>
          <w:p>
            <w:pPr>
              <w:spacing w:after="0"/>
              <w:rPr>
                <w:sz w:val="15"/>
                <w:szCs w:val="15"/>
                <w:color w:val="auto"/>
              </w:rPr>
            </w:pPr>
          </w:p>
        </w:tc>
        <w:tc>
          <w:tcPr>
            <w:tcW w:w="800" w:type="dxa"/>
            <w:vAlign w:val="bottom"/>
          </w:tcPr>
          <w:p>
            <w:pPr>
              <w:jc w:val="center"/>
              <w:ind w:right="216"/>
              <w:spacing w:after="0"/>
              <w:rPr>
                <w:sz w:val="20"/>
                <w:szCs w:val="20"/>
                <w:color w:val="auto"/>
              </w:rPr>
            </w:pPr>
            <w:r>
              <w:rPr>
                <w:rFonts w:ascii="Arial" w:cs="Arial" w:eastAsia="Arial" w:hAnsi="Arial"/>
                <w:sz w:val="14"/>
                <w:szCs w:val="14"/>
                <w:color w:val="auto"/>
                <w:w w:val="92"/>
              </w:rPr>
              <w:t>of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9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3"/>
              <w:spacing w:after="0"/>
              <w:rPr>
                <w:sz w:val="20"/>
                <w:szCs w:val="20"/>
                <w:color w:val="auto"/>
              </w:rPr>
            </w:pPr>
            <w:r>
              <w:rPr>
                <w:rFonts w:ascii="Arial" w:cs="Arial" w:eastAsia="Arial" w:hAnsi="Arial"/>
                <w:sz w:val="18"/>
                <w:szCs w:val="18"/>
                <w:color w:val="auto"/>
              </w:rPr>
              <w:t>1,264</w:t>
            </w:r>
          </w:p>
        </w:tc>
        <w:tc>
          <w:tcPr>
            <w:tcW w:w="380" w:type="dxa"/>
            <w:vAlign w:val="bottom"/>
          </w:tcPr>
          <w:p>
            <w:pPr>
              <w:spacing w:after="0"/>
              <w:rPr>
                <w:sz w:val="18"/>
                <w:szCs w:val="18"/>
                <w:color w:val="auto"/>
              </w:rPr>
            </w:pPr>
          </w:p>
        </w:tc>
        <w:tc>
          <w:tcPr>
            <w:tcW w:w="106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3"/>
              <w:spacing w:after="0"/>
              <w:rPr>
                <w:sz w:val="20"/>
                <w:szCs w:val="20"/>
                <w:color w:val="auto"/>
              </w:rPr>
            </w:pPr>
            <w:r>
              <w:rPr>
                <w:rFonts w:ascii="Arial" w:cs="Arial" w:eastAsia="Arial" w:hAnsi="Arial"/>
                <w:sz w:val="18"/>
                <w:szCs w:val="18"/>
                <w:color w:val="auto"/>
              </w:rPr>
              <w:t>245</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332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1,177</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(112)</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3"/>
              <w:spacing w:after="0"/>
              <w:rPr>
                <w:sz w:val="20"/>
                <w:szCs w:val="20"/>
                <w:color w:val="auto"/>
              </w:rPr>
            </w:pPr>
            <w:r>
              <w:rPr>
                <w:rFonts w:ascii="Arial" w:cs="Arial" w:eastAsia="Arial" w:hAnsi="Arial"/>
                <w:sz w:val="18"/>
                <w:szCs w:val="18"/>
                <w:color w:val="auto"/>
              </w:rPr>
              <w:t>936</w:t>
            </w:r>
          </w:p>
        </w:tc>
        <w:tc>
          <w:tcPr>
            <w:tcW w:w="380" w:type="dxa"/>
            <w:vAlign w:val="bottom"/>
          </w:tcPr>
          <w:p>
            <w:pPr>
              <w:spacing w:after="0"/>
              <w:rPr>
                <w:sz w:val="20"/>
                <w:szCs w:val="20"/>
                <w:color w:val="auto"/>
              </w:rPr>
            </w:pPr>
          </w:p>
        </w:tc>
        <w:tc>
          <w:tcPr>
            <w:tcW w:w="1060" w:type="dxa"/>
            <w:vAlign w:val="bottom"/>
          </w:tcPr>
          <w:p>
            <w:pPr>
              <w:jc w:val="right"/>
              <w:ind w:right="394"/>
              <w:spacing w:after="0"/>
              <w:rPr>
                <w:sz w:val="20"/>
                <w:szCs w:val="20"/>
                <w:color w:val="auto"/>
              </w:rPr>
            </w:pPr>
            <w:r>
              <w:rPr>
                <w:rFonts w:ascii="Arial" w:cs="Arial" w:eastAsia="Arial" w:hAnsi="Arial"/>
                <w:sz w:val="18"/>
                <w:szCs w:val="18"/>
                <w:color w:val="auto"/>
              </w:rPr>
              <w:t>—</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3"/>
              <w:spacing w:after="0"/>
              <w:rPr>
                <w:sz w:val="20"/>
                <w:szCs w:val="20"/>
                <w:color w:val="auto"/>
              </w:rPr>
            </w:pPr>
            <w:r>
              <w:rPr>
                <w:rFonts w:ascii="Arial" w:cs="Arial" w:eastAsia="Arial" w:hAnsi="Arial"/>
                <w:sz w:val="18"/>
                <w:szCs w:val="18"/>
                <w:color w:val="auto"/>
              </w:rPr>
              <w:t>441</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60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inventories:</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3"/>
              <w:spacing w:after="0"/>
              <w:rPr>
                <w:sz w:val="20"/>
                <w:szCs w:val="20"/>
                <w:color w:val="auto"/>
              </w:rPr>
            </w:pPr>
            <w:r>
              <w:rPr>
                <w:rFonts w:ascii="Arial" w:cs="Arial" w:eastAsia="Arial" w:hAnsi="Arial"/>
                <w:sz w:val="18"/>
                <w:szCs w:val="18"/>
                <w:color w:val="auto"/>
                <w:w w:val="98"/>
              </w:rPr>
              <w:t>24,450</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4"/>
              <w:spacing w:after="0"/>
              <w:rPr>
                <w:sz w:val="20"/>
                <w:szCs w:val="20"/>
                <w:color w:val="auto"/>
              </w:rPr>
            </w:pPr>
            <w:r>
              <w:rPr>
                <w:rFonts w:ascii="Arial" w:cs="Arial" w:eastAsia="Arial" w:hAnsi="Arial"/>
                <w:sz w:val="18"/>
                <w:szCs w:val="18"/>
                <w:color w:val="auto"/>
              </w:rPr>
              <w:t>347(1)</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93"/>
              <w:spacing w:after="0"/>
              <w:rPr>
                <w:sz w:val="20"/>
                <w:szCs w:val="20"/>
                <w:color w:val="auto"/>
              </w:rPr>
            </w:pPr>
            <w:r>
              <w:rPr>
                <w:rFonts w:ascii="Arial" w:cs="Arial" w:eastAsia="Arial" w:hAnsi="Arial"/>
                <w:sz w:val="18"/>
                <w:szCs w:val="18"/>
                <w:color w:val="auto"/>
              </w:rPr>
              <w:t>4,592(2)</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5,027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98"/>
              </w:rPr>
              <w:t>24,362(2)</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21(1)</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4,496(3)</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4,716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Year ended December 31, 2005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w w:val="98"/>
              </w:rPr>
              <w:t>24,163(4)</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94"/>
              <w:spacing w:after="0"/>
              <w:rPr>
                <w:sz w:val="20"/>
                <w:szCs w:val="20"/>
                <w:color w:val="auto"/>
              </w:rPr>
            </w:pPr>
            <w:r>
              <w:rPr>
                <w:rFonts w:ascii="Arial" w:cs="Arial" w:eastAsia="Arial" w:hAnsi="Arial"/>
                <w:sz w:val="18"/>
                <w:szCs w:val="18"/>
                <w:color w:val="auto"/>
              </w:rPr>
              <w:t>960(1)</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3"/>
              <w:spacing w:after="0"/>
              <w:rPr>
                <w:sz w:val="20"/>
                <w:szCs w:val="20"/>
                <w:color w:val="auto"/>
              </w:rPr>
            </w:pPr>
            <w:r>
              <w:rPr>
                <w:rFonts w:ascii="Arial" w:cs="Arial" w:eastAsia="Arial" w:hAnsi="Arial"/>
                <w:sz w:val="18"/>
                <w:szCs w:val="18"/>
                <w:color w:val="auto"/>
              </w:rPr>
              <w:t>6,247</w:t>
            </w: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7,325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24,045(5)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Reclass from other reserves.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$1,742 for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$5,775 charged to expense during 2004, offset by a $1,279 reduction in the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$463 for lower of cost or market reserve.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$447 for lower of cost or market reserve.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19"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21</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3"/>
          </w:tcPr>
          <w:p>
            <w:pPr>
              <w:ind w:left="900"/>
              <w:spacing w:after="0"/>
              <w:rPr>
                <w:sz w:val="20"/>
                <w:szCs w:val="20"/>
                <w:color w:val="auto"/>
              </w:rPr>
            </w:pPr>
            <w:r>
              <w:rPr>
                <w:rFonts w:ascii="Arial" w:cs="Arial" w:eastAsia="Arial" w:hAnsi="Arial"/>
                <w:sz w:val="18"/>
                <w:szCs w:val="18"/>
                <w:b w:val="1"/>
                <w:bCs w:val="1"/>
                <w:color w:val="auto"/>
              </w:rPr>
              <w:t>SUBSIDIARIES OF COHU, INC.</w:t>
            </w:r>
          </w:p>
        </w:tc>
      </w:tr>
      <w:tr>
        <w:trPr>
          <w:trHeight w:val="346"/>
        </w:trPr>
        <w:tc>
          <w:tcPr>
            <w:tcW w:w="35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4"/>
                <w:szCs w:val="14"/>
                <w:color w:val="auto"/>
              </w:rPr>
              <w:t>PLACE OF</w:t>
            </w:r>
          </w:p>
        </w:tc>
      </w:tr>
      <w:tr>
        <w:trPr>
          <w:trHeight w:val="167"/>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LEGAL ENTITY NAME</w:t>
            </w:r>
          </w:p>
        </w:tc>
        <w:tc>
          <w:tcPr>
            <w:tcW w:w="2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INCORPORATION</w:t>
            </w:r>
          </w:p>
        </w:tc>
      </w:tr>
      <w:tr>
        <w:trPr>
          <w:trHeight w:val="195"/>
        </w:trPr>
        <w:tc>
          <w:tcPr>
            <w:tcW w:w="3500" w:type="dxa"/>
            <w:vAlign w:val="bottom"/>
          </w:tcPr>
          <w:p>
            <w:pPr>
              <w:spacing w:after="0" w:line="195" w:lineRule="exact"/>
              <w:rPr>
                <w:sz w:val="20"/>
                <w:szCs w:val="20"/>
                <w:color w:val="auto"/>
              </w:rPr>
            </w:pPr>
            <w:r>
              <w:rPr>
                <w:rFonts w:ascii="Arial" w:cs="Arial" w:eastAsia="Arial" w:hAnsi="Arial"/>
                <w:sz w:val="18"/>
                <w:szCs w:val="18"/>
                <w:color w:val="auto"/>
              </w:rPr>
              <w:t>Delta Design, Inc. (1)</w:t>
            </w: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Fisher Research Laboratory, Inc.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Broadcast Microwave Services, Inc.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Delta Design (Littleton), Inc.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Cohu Foreign Sales Ltd.</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Barbados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Delta Design, Inc. owns the following subsidiaries:</w:t>
      </w:r>
    </w:p>
    <w:p>
      <w:pPr>
        <w:sectPr>
          <w:pgSz w:w="11900" w:h="16838" w:orient="portrait"/>
          <w:cols w:equalWidth="0" w:num="1">
            <w:col w:w="11420"/>
          </w:cols>
          <w:pgMar w:left="240" w:top="936"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Delta Design Singapore PTE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Delta Design Philippines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Cohu S.A.</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Costa Rica</w:t>
      </w:r>
    </w:p>
    <w:p>
      <w:pPr>
        <w:sectPr>
          <w:pgSz w:w="11900" w:h="16838" w:orient="portrait"/>
          <w:cols w:equalWidth="0" w:num="2">
            <w:col w:w="5240" w:space="720"/>
            <w:col w:w="5460"/>
          </w:cols>
          <w:pgMar w:left="240" w:top="936" w:right="2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23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(Form S-8 Nos. 33-60735, 333-16293, 333-62803, 333-27663, 333-40610, 333-66466, 333-97449 and 333-117554) pertaining to the Cohu, Inc. 1994, 1996 and 1998 Stock Option Plans, 1996 Outside Directors Stock Option Plan and 1997 Employee Stock Purchase Plan of Cohu, Inc. of our reports dated February 16, 2006, with respect to the consolidated financial statements and schedule of Cohu, Inc., Cohu, Inc. management’s assessment of the effectiveness of internal control over financial reporting, and the effectiveness of internal control over financial reporting of Cohu, Inc., included in the Annual Report (Form 10-K) for the year ended December 31, 2005.</w:t>
      </w:r>
    </w:p>
    <w:p>
      <w:pPr>
        <w:spacing w:after="0" w:line="37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2006</w:t>
      </w:r>
    </w:p>
    <w:p>
      <w:pPr>
        <w:sectPr>
          <w:pgSz w:w="11900" w:h="16838" w:orient="portrait"/>
          <w:cols w:equalWidth="0" w:num="1">
            <w:col w:w="11420"/>
          </w:cols>
          <w:pgMar w:left="240" w:top="93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420" w:hanging="187"/>
        <w:spacing w:after="0"/>
        <w:tabs>
          <w:tab w:leader="none" w:pos="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1"/>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660" w:right="40" w:hanging="43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2006</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/s/</w:t>
        <w:tab/>
        <w:t>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88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117" w:lineRule="exact"/>
        <w:rPr>
          <w:sz w:val="20"/>
          <w:szCs w:val="20"/>
          <w:color w:val="auto"/>
        </w:rPr>
      </w:pPr>
    </w:p>
    <w:p>
      <w:pPr>
        <w:ind w:left="420" w:hanging="187"/>
        <w:spacing w:after="0"/>
        <w:tabs>
          <w:tab w:leader="none" w:pos="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1"/>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436"/>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436"/>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20" w:firstLine="233"/>
        <w:spacing w:after="0" w:line="308" w:lineRule="auto"/>
        <w:tabs>
          <w:tab w:leader="none" w:pos="402"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660" w:right="40" w:hanging="43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2006</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/s/</w:t>
        <w:tab/>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88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93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31, 2005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05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31, 2005 (the “Report”), I, John H. Allen,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2006</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/s/</w:t>
        <w:tab/>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988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1."/>
      <w:numFmt w:val="decimal"/>
      <w:start w:val="4"/>
    </w:lvl>
  </w:abstractNum>
  <w:abstractNum w:abstractNumId="11">
    <w:nsid w:val="721DA317"/>
    <w:multiLevelType w:val="hybridMultilevel"/>
    <w:lvl w:ilvl="0">
      <w:lvlJc w:val="left"/>
      <w:lvlText w:val="%1."/>
      <w:numFmt w:val="decimal"/>
      <w:start w:val="5"/>
    </w:lvl>
  </w:abstractNum>
  <w:abstractNum w:abstractNumId="12">
    <w:nsid w:val="2443A858"/>
    <w:multiLevelType w:val="hybridMultilevel"/>
    <w:lvl w:ilvl="0">
      <w:lvlJc w:val="left"/>
      <w:lvlText w:val="%1."/>
      <w:numFmt w:val="decimal"/>
      <w:start w:val="6"/>
    </w:lvl>
  </w:abstractNum>
  <w:abstractNum w:abstractNumId="13">
    <w:nsid w:val="2D1D5AE9"/>
    <w:multiLevelType w:val="hybridMultilevel"/>
    <w:lvl w:ilvl="0">
      <w:lvlJc w:val="left"/>
      <w:lvlText w:val="(%1)"/>
      <w:numFmt w:val="lowerRoman"/>
      <w:start w:val="1"/>
    </w:lvl>
  </w:abstractNum>
  <w:abstractNum w:abstractNumId="14">
    <w:nsid w:val="6763845E"/>
    <w:multiLevelType w:val="hybridMultilevel"/>
    <w:lvl w:ilvl="0">
      <w:lvlJc w:val="left"/>
      <w:lvlText w:val="%1."/>
      <w:numFmt w:val="decimal"/>
      <w:start w:val="9"/>
    </w:lvl>
  </w:abstractNum>
  <w:abstractNum w:abstractNumId="15">
    <w:nsid w:val="75A2A8D4"/>
    <w:multiLevelType w:val="hybridMultilevel"/>
    <w:lvl w:ilvl="0">
      <w:lvlJc w:val="left"/>
      <w:lvlText w:val="%1."/>
      <w:numFmt w:val="decimal"/>
      <w:start w:val="10"/>
    </w:lvl>
  </w:abstractNum>
  <w:abstractNum w:abstractNumId="16">
    <w:nsid w:val="8EDBDAB"/>
    <w:multiLevelType w:val="hybridMultilevel"/>
    <w:lvl w:ilvl="0">
      <w:lvlJc w:val="left"/>
      <w:lvlText w:val="%1."/>
      <w:numFmt w:val="decimal"/>
      <w:start w:val="11"/>
    </w:lvl>
  </w:abstractNum>
  <w:abstractNum w:abstractNumId="17">
    <w:nsid w:val="79838CB2"/>
    <w:multiLevelType w:val="hybridMultilevel"/>
    <w:lvl w:ilvl="0">
      <w:lvlJc w:val="left"/>
      <w:lvlText w:val="%1."/>
      <w:numFmt w:val="decimal"/>
      <w:start w:val="12"/>
    </w:lvl>
  </w:abstractNum>
  <w:abstractNum w:abstractNumId="18">
    <w:nsid w:val="4353D0CD"/>
    <w:multiLevelType w:val="hybridMultilevel"/>
    <w:lvl w:ilvl="0">
      <w:lvlJc w:val="left"/>
      <w:lvlText w:val="%1."/>
      <w:numFmt w:val="decimal"/>
      <w:start w:val="14"/>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decimal"/>
      <w:start w:val="16"/>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lowerLetter"/>
      <w:start w:val="1"/>
    </w:lvl>
    <w:lvl w:ilvl="1">
      <w:lvlJc w:val="left"/>
      <w:lvlText w:val="%2."/>
      <w:numFmt w:val="decimal"/>
      <w:start w:val="1"/>
    </w:lvl>
  </w:abstractNum>
  <w:abstractNum w:abstractNumId="25">
    <w:nsid w:val="2901D82"/>
    <w:multiLevelType w:val="hybridMultilevel"/>
    <w:lvl w:ilvl="0">
      <w:lvlJc w:val="left"/>
      <w:lvlText w:val="%1)"/>
      <w:numFmt w:val="lowerLetter"/>
      <w:start w:val="1"/>
    </w:lvl>
    <w:lvl w:ilvl="1">
      <w:lvlJc w:val="left"/>
      <w:lvlText w:val="%2."/>
      <w:numFmt w:val="decimal"/>
      <w:start w:val="5"/>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1"/>
    </w:lvl>
    <w:lvl w:ilvl="1">
      <w:lvlJc w:val="left"/>
      <w:lvlText w:val="%2."/>
      <w:numFmt w:val="decimal"/>
      <w:start w:val="1"/>
    </w:lvl>
  </w:abstractNum>
  <w:abstractNum w:abstractNumId="28">
    <w:nsid w:val="1E7FF521"/>
    <w:multiLevelType w:val="hybridMultilevel"/>
    <w:lvl w:ilvl="0">
      <w:lvlJc w:val="left"/>
      <w:lvlText w:val="%1)"/>
      <w:numFmt w:val="lowerLetter"/>
      <w:start w:val="1"/>
    </w:lvl>
    <w:lvl w:ilvl="1">
      <w:lvlJc w:val="left"/>
      <w:lvlText w:val="%2."/>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2019-12-12T22:51:57Z</dcterms:created>
  <dcterms:modified xsi:type="dcterms:W3CDTF">2019-12-12T22:51:57Z</dcterms:modified>
</cp:coreProperties>
</file>