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 C. 20549</w:t>
      </w:r>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FORM 10-Q</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72"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ü</w:t>
      </w:r>
      <w:r>
        <w:rPr>
          <w:rFonts w:ascii="Arial" w:cs="Arial" w:eastAsia="Arial" w:hAnsi="Arial"/>
          <w:sz w:val="22"/>
          <w:szCs w:val="22"/>
          <w:b w:val="1"/>
          <w:bCs w:val="1"/>
          <w:color w:val="auto"/>
        </w:rPr>
        <w:t>]</w:t>
      </w:r>
      <w:r>
        <w:rPr>
          <w:sz w:val="20"/>
          <w:szCs w:val="20"/>
          <w:color w:val="auto"/>
        </w:rPr>
        <w:tab/>
      </w:r>
      <w:r>
        <w:rPr>
          <w:rFonts w:ascii="Arial" w:cs="Arial" w:eastAsia="Arial" w:hAnsi="Arial"/>
          <w:sz w:val="21"/>
          <w:szCs w:val="21"/>
          <w:b w:val="1"/>
          <w:bCs w:val="1"/>
          <w:color w:val="auto"/>
        </w:rPr>
        <w:t>QUARTERLY REPORT PURSUANT TO SECTION 13 OR 15(d) OF THE SECURITIES</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EXCHANGE ACT OF 1934</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June 30, 2004</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19" w:lineRule="exact"/>
        <w:rPr>
          <w:sz w:val="20"/>
          <w:szCs w:val="20"/>
          <w:color w:val="auto"/>
        </w:rPr>
      </w:pPr>
    </w:p>
    <w:p>
      <w:pPr>
        <w:ind w:left="740" w:right="2100" w:hanging="556"/>
        <w:spacing w:after="0" w:line="256" w:lineRule="auto"/>
        <w:tabs>
          <w:tab w:leader="none" w:pos="36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43"/>
          <w:szCs w:val="43"/>
          <w:b w:val="1"/>
          <w:bCs w:val="1"/>
          <w:color w:val="auto"/>
        </w:rPr>
        <w:t>COHU, INC.</w:t>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8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[ü] No [ ]</w:t>
      </w:r>
    </w:p>
    <w:p>
      <w:pPr>
        <w:spacing w:after="0" w:line="141" w:lineRule="exact"/>
        <w:rPr>
          <w:sz w:val="20"/>
          <w:szCs w:val="20"/>
          <w:color w:val="auto"/>
        </w:rPr>
      </w:pPr>
    </w:p>
    <w:p>
      <w:pPr>
        <w:ind w:left="240"/>
        <w:spacing w:after="0"/>
        <w:tabs>
          <w:tab w:leader="none" w:pos="8320" w:val="left"/>
        </w:tabs>
        <w:rPr>
          <w:sz w:val="20"/>
          <w:szCs w:val="20"/>
          <w:color w:val="auto"/>
        </w:rPr>
      </w:pPr>
      <w:r>
        <w:rPr>
          <w:rFonts w:ascii="Arial" w:cs="Arial" w:eastAsia="Arial" w:hAnsi="Arial"/>
          <w:sz w:val="18"/>
          <w:szCs w:val="18"/>
          <w:color w:val="auto"/>
        </w:rPr>
        <w:t>Indicate by check mark whether the registrant is an accelerated filer (as defined in Rule 12b-2 of the Act). Yes</w:t>
        <w:tab/>
        <w:t>[ü]  No [  ]</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June 30, 2004 the Registrant had 21,508,598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2004</w:t>
      </w:r>
    </w:p>
    <w:p>
      <w:pPr>
        <w:spacing w:after="0" w:line="37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66"/>
        </w:trPr>
        <w:tc>
          <w:tcPr>
            <w:tcW w:w="916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82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9160" w:type="dxa"/>
            <w:vAlign w:val="bottom"/>
            <w:gridSpan w:val="16"/>
            <w:vMerge w:val="continue"/>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160" w:type="dxa"/>
            <w:vAlign w:val="bottom"/>
            <w:gridSpan w:val="16"/>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(unaudited) June 30, 2004 and December 31, 2003</w:t>
              </w:r>
            </w:hyperlink>
          </w:p>
        </w:tc>
        <w:tc>
          <w:tcPr>
            <w:tcW w:w="2400" w:type="dxa"/>
            <w:vAlign w:val="bottom"/>
            <w:gridSpan w:val="4"/>
          </w:tcPr>
          <w:p>
            <w:pPr>
              <w:spacing w:after="0"/>
              <w:rPr>
                <w:sz w:val="17"/>
                <w:szCs w:val="17"/>
                <w:color w:val="auto"/>
              </w:rPr>
            </w:pPr>
          </w:p>
        </w:tc>
        <w:tc>
          <w:tcPr>
            <w:tcW w:w="16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gridSpan w:val="14"/>
          </w:tcPr>
          <w:p>
            <w:pPr>
              <w:spacing w:after="0" w:line="19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Income (unaudited) Three and Six Months Ended June 30, 2004 and 2003</w:t>
              </w:r>
            </w:hyperlink>
          </w:p>
        </w:tc>
        <w:tc>
          <w:tcPr>
            <w:tcW w:w="16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top w:val="single" w:sz="8" w:color="0000EE"/>
            </w:tcBorders>
            <w:gridSpan w:val="13"/>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Cash Flows (unaudited) Six Months Ended June 30, 2004 and 2003</w:t>
              </w:r>
            </w:hyperlink>
          </w:p>
        </w:tc>
        <w:tc>
          <w:tcPr>
            <w:tcW w:w="840" w:type="dxa"/>
            <w:vAlign w:val="bottom"/>
          </w:tcPr>
          <w:p>
            <w:pPr>
              <w:spacing w:after="0"/>
              <w:rPr>
                <w:sz w:val="17"/>
                <w:szCs w:val="17"/>
                <w:color w:val="auto"/>
              </w:rPr>
            </w:pPr>
          </w:p>
        </w:tc>
        <w:tc>
          <w:tcPr>
            <w:tcW w:w="16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1300" w:type="dxa"/>
            <w:vAlign w:val="bottom"/>
            <w:gridSpan w:val="2"/>
          </w:tcPr>
          <w:p>
            <w:pPr>
              <w:spacing w:after="0"/>
              <w:rPr>
                <w:sz w:val="17"/>
                <w:szCs w:val="17"/>
                <w:color w:val="auto"/>
              </w:rPr>
            </w:pPr>
          </w:p>
        </w:tc>
        <w:tc>
          <w:tcPr>
            <w:tcW w:w="16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Item 2.</w:t>
              </w:r>
            </w:hyperlink>
          </w:p>
        </w:tc>
        <w:tc>
          <w:tcPr>
            <w:tcW w:w="648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2140" w:type="dxa"/>
            <w:vAlign w:val="bottom"/>
            <w:gridSpan w:val="3"/>
          </w:tcPr>
          <w:p>
            <w:pPr>
              <w:spacing w:after="0"/>
              <w:rPr>
                <w:sz w:val="17"/>
                <w:szCs w:val="17"/>
                <w:color w:val="auto"/>
              </w:rPr>
            </w:pPr>
          </w:p>
        </w:tc>
        <w:tc>
          <w:tcPr>
            <w:tcW w:w="16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3.</w:t>
              </w:r>
            </w:hyperlink>
          </w:p>
        </w:tc>
        <w:tc>
          <w:tcPr>
            <w:tcW w:w="8620" w:type="dxa"/>
            <w:vAlign w:val="bottom"/>
            <w:gridSpan w:val="13"/>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6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3"/>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4.</w:t>
              </w:r>
            </w:hyperlink>
          </w:p>
        </w:tc>
        <w:tc>
          <w:tcPr>
            <w:tcW w:w="4380" w:type="dxa"/>
            <w:vAlign w:val="bottom"/>
            <w:tcBorders>
              <w:top w:val="single" w:sz="8" w:color="0000EE"/>
            </w:tcBorders>
            <w:gridSpan w:val="8"/>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240" w:type="dxa"/>
            <w:vAlign w:val="bottom"/>
            <w:gridSpan w:val="5"/>
          </w:tcPr>
          <w:p>
            <w:pPr>
              <w:spacing w:after="0"/>
              <w:rPr>
                <w:sz w:val="17"/>
                <w:szCs w:val="17"/>
                <w:color w:val="auto"/>
              </w:rPr>
            </w:pPr>
          </w:p>
        </w:tc>
        <w:tc>
          <w:tcPr>
            <w:tcW w:w="16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96"/>
              </w:rPr>
            </w:pPr>
            <w:hyperlink w:anchor="page28">
              <w:r>
                <w:rPr>
                  <w:rFonts w:ascii="Arial" w:cs="Arial" w:eastAsia="Arial" w:hAnsi="Arial"/>
                  <w:sz w:val="18"/>
                  <w:szCs w:val="18"/>
                  <w:b w:val="1"/>
                  <w:bCs w:val="1"/>
                  <w:color w:val="0000EE"/>
                  <w:w w:val="96"/>
                </w:rPr>
                <w:t>Part II Other Information</w:t>
              </w:r>
            </w:hyperlink>
          </w:p>
        </w:tc>
        <w:tc>
          <w:tcPr>
            <w:tcW w:w="300" w:type="dxa"/>
            <w:vAlign w:val="bottom"/>
            <w:tcBorders>
              <w:top w:val="single" w:sz="8" w:color="0000EE"/>
            </w:tcBorders>
            <w:gridSpan w:val="2"/>
          </w:tcPr>
          <w:p>
            <w:pPr>
              <w:spacing w:after="0"/>
              <w:rPr>
                <w:sz w:val="17"/>
                <w:szCs w:val="17"/>
                <w:color w:val="auto"/>
              </w:rPr>
            </w:pPr>
          </w:p>
        </w:tc>
        <w:tc>
          <w:tcPr>
            <w:tcW w:w="684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4.Submission of Matters to a Vote of Security Holders</w:t>
              </w:r>
            </w:hyperlink>
          </w:p>
        </w:tc>
        <w:tc>
          <w:tcPr>
            <w:tcW w:w="4880" w:type="dxa"/>
            <w:vAlign w:val="bottom"/>
            <w:gridSpan w:val="6"/>
          </w:tcPr>
          <w:p>
            <w:pPr>
              <w:spacing w:after="0"/>
              <w:rPr>
                <w:sz w:val="17"/>
                <w:szCs w:val="17"/>
                <w:color w:val="auto"/>
              </w:rPr>
            </w:pPr>
          </w:p>
        </w:tc>
        <w:tc>
          <w:tcPr>
            <w:tcW w:w="16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6.</w:t>
              </w:r>
            </w:hyperlink>
          </w:p>
        </w:tc>
        <w:tc>
          <w:tcPr>
            <w:tcW w:w="8620" w:type="dxa"/>
            <w:vAlign w:val="bottom"/>
            <w:gridSpan w:val="13"/>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 and Reports on Form 8-K</w:t>
              </w:r>
            </w:hyperlink>
          </w:p>
        </w:tc>
        <w:tc>
          <w:tcPr>
            <w:tcW w:w="16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Signatures</w:t>
              </w:r>
            </w:hyperlink>
          </w:p>
        </w:tc>
        <w:tc>
          <w:tcPr>
            <w:tcW w:w="2280" w:type="dxa"/>
            <w:vAlign w:val="bottom"/>
            <w:tcBorders>
              <w:top w:val="single" w:sz="8" w:color="0000EE"/>
            </w:tcBorders>
            <w:gridSpan w:val="5"/>
          </w:tcPr>
          <w:p>
            <w:pPr>
              <w:spacing w:after="0"/>
              <w:rPr>
                <w:sz w:val="17"/>
                <w:szCs w:val="17"/>
                <w:color w:val="auto"/>
              </w:rPr>
            </w:pPr>
          </w:p>
        </w:tc>
        <w:tc>
          <w:tcPr>
            <w:tcW w:w="6120" w:type="dxa"/>
            <w:vAlign w:val="bottom"/>
            <w:gridSpan w:val="7"/>
          </w:tcPr>
          <w:p>
            <w:pPr>
              <w:spacing w:after="0"/>
              <w:rPr>
                <w:sz w:val="17"/>
                <w:szCs w:val="17"/>
                <w:color w:val="auto"/>
              </w:rPr>
            </w:pPr>
          </w:p>
        </w:tc>
        <w:tc>
          <w:tcPr>
            <w:tcW w:w="16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EXHIBIT 10.1</w:t>
            </w:r>
          </w:p>
        </w:tc>
        <w:tc>
          <w:tcPr>
            <w:tcW w:w="806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EXHIBIT 31.1</w:t>
            </w:r>
          </w:p>
        </w:tc>
        <w:tc>
          <w:tcPr>
            <w:tcW w:w="806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122" w:right="479" w:bottom="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EE"/>
        </w:rPr>
        <w:t>EXHIBIT 31.2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EXHIBIT 32.1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414020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9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COHU, INC.</w:t>
      </w:r>
    </w:p>
    <w:p>
      <w:pPr>
        <w:spacing w:after="0" w:line="18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(in thousands, except par value)</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rPr>
              <w:t>June 30, 2004</w:t>
            </w:r>
          </w:p>
        </w:tc>
        <w:tc>
          <w:tcPr>
            <w:tcW w:w="240" w:type="dxa"/>
            <w:vAlign w:val="bottom"/>
          </w:tcPr>
          <w:p>
            <w:pPr>
              <w:spacing w:after="0"/>
              <w:rPr>
                <w:sz w:val="16"/>
                <w:szCs w:val="16"/>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2003 *</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36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360" w:type="dxa"/>
            <w:vAlign w:val="bottom"/>
            <w:gridSpan w:val="3"/>
          </w:tcPr>
          <w:p>
            <w:pPr>
              <w:ind w:left="3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7,293</w:t>
            </w:r>
          </w:p>
        </w:tc>
        <w:tc>
          <w:tcPr>
            <w:tcW w:w="3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7,127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108,320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100,493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7"/>
              </w:rPr>
              <w:t>Accounts receivable, less allowance for doubtful accounts of $1,527 in 2004 and</w:t>
            </w:r>
          </w:p>
        </w:tc>
        <w:tc>
          <w:tcPr>
            <w:tcW w:w="3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$1,177 in 2003</w:t>
            </w:r>
          </w:p>
        </w:tc>
        <w:tc>
          <w:tcPr>
            <w:tcW w:w="38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39,349</w:t>
            </w:r>
          </w:p>
        </w:tc>
        <w:tc>
          <w:tcPr>
            <w:tcW w:w="3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25,578</w:t>
            </w:r>
          </w:p>
        </w:tc>
        <w:tc>
          <w:tcPr>
            <w:tcW w:w="5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Raw materials and purchased parts</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22,292</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18,159</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6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10,230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8,238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Finished goods</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6,112</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5,239</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38,634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31,636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3,553</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3,553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2,986</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3,151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200,135</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171,538</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Note receivable</w:t>
            </w:r>
          </w:p>
        </w:tc>
        <w:tc>
          <w:tcPr>
            <w:tcW w:w="3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Land and land improvements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7,978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7,978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Buildings and building improvements</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25,211</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25,055</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Machinery and equipment</w:t>
            </w:r>
          </w:p>
        </w:tc>
        <w:tc>
          <w:tcPr>
            <w:tcW w:w="38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24,908</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23,948</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58,097</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56,981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(27,770)</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property, plant and equipment</w:t>
            </w:r>
          </w:p>
        </w:tc>
        <w:tc>
          <w:tcPr>
            <w:tcW w:w="380" w:type="dxa"/>
            <w:vAlign w:val="bottom"/>
            <w:shd w:val="clear" w:color="auto" w:fill="EEEEEE"/>
          </w:tcPr>
          <w:p>
            <w:pPr>
              <w:spacing w:after="0"/>
              <w:rPr>
                <w:sz w:val="18"/>
                <w:szCs w:val="18"/>
                <w:color w:val="auto"/>
              </w:rPr>
            </w:pPr>
          </w:p>
        </w:tc>
        <w:tc>
          <w:tcPr>
            <w:tcW w:w="6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30,327</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30,683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8,340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Other intangible assets, net of accumulated amortization of $917 in 2004 and $642</w:t>
            </w:r>
          </w:p>
        </w:tc>
        <w:tc>
          <w:tcPr>
            <w:tcW w:w="3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 2003</w:t>
            </w:r>
          </w:p>
        </w:tc>
        <w:tc>
          <w:tcPr>
            <w:tcW w:w="38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733</w:t>
            </w:r>
          </w:p>
        </w:tc>
        <w:tc>
          <w:tcPr>
            <w:tcW w:w="3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1,008</w:t>
            </w:r>
          </w:p>
        </w:tc>
        <w:tc>
          <w:tcPr>
            <w:tcW w:w="5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238</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183</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18"/>
                <w:szCs w:val="18"/>
                <w:color w:val="auto"/>
              </w:rPr>
            </w:pPr>
          </w:p>
        </w:tc>
        <w:tc>
          <w:tcPr>
            <w:tcW w:w="3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239,773</w:t>
            </w:r>
          </w:p>
        </w:tc>
        <w:tc>
          <w:tcPr>
            <w:tcW w:w="3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220,730</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Borders>
              <w:right w:val="single" w:sz="8" w:color="808080"/>
            </w:tcBorders>
            <w:shd w:val="clear" w:color="auto" w:fill="808080"/>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63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9,683</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7,250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7,414</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5,986</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Accrued warranty</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Customer advances</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587</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402</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Deferred profit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9,831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taxes payable</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2,477</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2,090</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Other accrued liabilities</w:t>
            </w:r>
          </w:p>
        </w:tc>
        <w:tc>
          <w:tcPr>
            <w:tcW w:w="38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3,310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3,478</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37,364</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26,817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Accrued retiree medical benefits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416</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Preferred stock, $1 par value; 1,000 shares authorized, none issued</w:t>
            </w:r>
          </w:p>
        </w:tc>
        <w:tc>
          <w:tcPr>
            <w:tcW w:w="3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4"/>
              </w:rPr>
              <w:t>Common stock, $1 par value; 60,000 shares authorized, 21,509 shares issued and</w:t>
            </w:r>
          </w:p>
        </w:tc>
        <w:tc>
          <w:tcPr>
            <w:tcW w:w="3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outstanding in 2004 and 21,375 shares in 2003</w:t>
            </w:r>
          </w:p>
        </w:tc>
        <w:tc>
          <w:tcPr>
            <w:tcW w:w="38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21,509</w:t>
            </w:r>
          </w:p>
        </w:tc>
        <w:tc>
          <w:tcPr>
            <w:tcW w:w="3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21,375</w:t>
            </w:r>
          </w:p>
        </w:tc>
        <w:tc>
          <w:tcPr>
            <w:tcW w:w="5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Paid in capital</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23,677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22,140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155,584</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148,691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stockholders’ equity</w:t>
            </w:r>
          </w:p>
        </w:tc>
        <w:tc>
          <w:tcPr>
            <w:tcW w:w="380" w:type="dxa"/>
            <w:vAlign w:val="bottom"/>
            <w:shd w:val="clear" w:color="auto" w:fill="EEEEEE"/>
          </w:tcPr>
          <w:p>
            <w:pPr>
              <w:spacing w:after="0"/>
              <w:rPr>
                <w:sz w:val="18"/>
                <w:szCs w:val="18"/>
                <w:color w:val="auto"/>
              </w:rPr>
            </w:pPr>
          </w:p>
        </w:tc>
        <w:tc>
          <w:tcPr>
            <w:tcW w:w="6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200,708</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192,230</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80" w:type="dxa"/>
            <w:vAlign w:val="bottom"/>
            <w:vMerge w:val="restart"/>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239,773</w:t>
            </w:r>
          </w:p>
        </w:tc>
        <w:tc>
          <w:tcPr>
            <w:tcW w:w="3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220,730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Derived from December 31, 2003 audited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0560"/>
          </w:cols>
          <w:pgMar w:left="240" w:top="419" w:right="1099" w:bottom="1440" w:gutter="0" w:footer="0" w:header="0"/>
        </w:sectPr>
      </w:pP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 except per share amounts)</w:t>
      </w:r>
    </w:p>
    <w:p>
      <w:pPr>
        <w:spacing w:after="0" w:line="19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5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5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47,337</w:t>
            </w:r>
          </w:p>
        </w:tc>
        <w:tc>
          <w:tcPr>
            <w:tcW w:w="8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32,084</w:t>
            </w:r>
          </w:p>
        </w:tc>
        <w:tc>
          <w:tcPr>
            <w:tcW w:w="3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83,276</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63,163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and expenses: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Cost of sales</w:t>
            </w: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26,425</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21,109</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47,442</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41,805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12,760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12,494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7,230</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6,028</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14,090</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11,943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40,231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32,693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74,292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66,242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7,106</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8,984</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4"/>
              </w:rPr>
              <w:t>(3,079)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Gain from sale of land held for future development</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7,873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7,873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Investment impairment writedown</w:t>
            </w: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1"/>
              </w:rPr>
              <w:t>(2,500)</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4"/>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7,442</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5,206</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9,940</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3,436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44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6,942</w:t>
            </w:r>
          </w:p>
        </w:tc>
        <w:tc>
          <w:tcPr>
            <w:tcW w:w="880" w:type="dxa"/>
            <w:vAlign w:val="bottom"/>
            <w:tcBorders>
              <w:bottom w:val="single" w:sz="8" w:color="EEEEEE"/>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4,106</w:t>
            </w:r>
          </w:p>
        </w:tc>
        <w:tc>
          <w:tcPr>
            <w:tcW w:w="300" w:type="dxa"/>
            <w:vAlign w:val="bottom"/>
            <w:tcBorders>
              <w:bottom w:val="single" w:sz="8" w:color="EEEEEE"/>
            </w:tcBorders>
            <w:shd w:val="clear" w:color="auto" w:fill="EEEEEE"/>
          </w:tcPr>
          <w:p>
            <w:pPr>
              <w:spacing w:after="0"/>
              <w:rPr>
                <w:sz w:val="22"/>
                <w:szCs w:val="22"/>
                <w:color w:val="auto"/>
              </w:rPr>
            </w:pPr>
          </w:p>
        </w:tc>
        <w:tc>
          <w:tcPr>
            <w:tcW w:w="5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9,040</w:t>
            </w:r>
          </w:p>
        </w:tc>
        <w:tc>
          <w:tcPr>
            <w:tcW w:w="86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2,736</w:t>
            </w:r>
          </w:p>
        </w:tc>
        <w:tc>
          <w:tcPr>
            <w:tcW w:w="3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420" w:type="dxa"/>
            <w:vAlign w:val="bottom"/>
            <w:gridSpan w:val="2"/>
          </w:tcPr>
          <w:p>
            <w:pPr>
              <w:spacing w:after="0"/>
              <w:rPr>
                <w:sz w:val="20"/>
                <w:szCs w:val="20"/>
                <w:color w:val="auto"/>
              </w:rPr>
            </w:pPr>
            <w:r>
              <w:rPr>
                <w:rFonts w:ascii="Arial" w:cs="Arial" w:eastAsia="Arial" w:hAnsi="Arial"/>
                <w:sz w:val="18"/>
                <w:szCs w:val="18"/>
                <w:color w:val="auto"/>
              </w:rPr>
              <w:t>Income per share:</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40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0.32</w:t>
            </w:r>
          </w:p>
        </w:tc>
        <w:tc>
          <w:tcPr>
            <w:tcW w:w="880" w:type="dxa"/>
            <w:vAlign w:val="bottom"/>
            <w:tcBorders>
              <w:bottom w:val="single" w:sz="8" w:color="EEEEEE"/>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300" w:type="dxa"/>
            <w:vAlign w:val="bottom"/>
            <w:tcBorders>
              <w:bottom w:val="single" w:sz="8" w:color="EEEEEE"/>
            </w:tcBorders>
            <w:shd w:val="clear" w:color="auto" w:fill="EEEEEE"/>
          </w:tcPr>
          <w:p>
            <w:pPr>
              <w:spacing w:after="0"/>
              <w:rPr>
                <w:sz w:val="22"/>
                <w:szCs w:val="22"/>
                <w:color w:val="auto"/>
              </w:rPr>
            </w:pPr>
          </w:p>
        </w:tc>
        <w:tc>
          <w:tcPr>
            <w:tcW w:w="5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0.42</w:t>
            </w:r>
          </w:p>
        </w:tc>
        <w:tc>
          <w:tcPr>
            <w:tcW w:w="86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0.13</w:t>
            </w:r>
          </w:p>
        </w:tc>
        <w:tc>
          <w:tcPr>
            <w:tcW w:w="3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0.32</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0.19</w:t>
            </w:r>
          </w:p>
        </w:tc>
        <w:tc>
          <w:tcPr>
            <w:tcW w:w="3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Weighted average shares used in computing income per</w:t>
            </w:r>
          </w:p>
        </w:tc>
        <w:tc>
          <w:tcPr>
            <w:tcW w:w="34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tcBorders>
              <w:right w:val="single" w:sz="8" w:color="EEEEEE"/>
            </w:tcBorders>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share:</w:t>
            </w:r>
          </w:p>
        </w:tc>
        <w:tc>
          <w:tcPr>
            <w:tcW w:w="340" w:type="dxa"/>
            <w:vAlign w:val="bottom"/>
            <w:tcBorders>
              <w:right w:val="single" w:sz="8" w:color="EEEEEE"/>
            </w:tcBorders>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40" w:type="dxa"/>
            <w:vAlign w:val="bottom"/>
            <w:tcBorders>
              <w:right w:val="single" w:sz="8" w:color="EEEEEE"/>
            </w:tcBorders>
            <w:shd w:val="clear" w:color="auto" w:fill="EEEEEE"/>
          </w:tcPr>
          <w:p>
            <w:pPr>
              <w:spacing w:after="0"/>
              <w:rPr>
                <w:sz w:val="20"/>
                <w:szCs w:val="20"/>
                <w:color w:val="auto"/>
              </w:rPr>
            </w:pPr>
          </w:p>
        </w:tc>
        <w:tc>
          <w:tcPr>
            <w:tcW w:w="500" w:type="dxa"/>
            <w:vAlign w:val="bottom"/>
            <w:tcBorders>
              <w:right w:val="single" w:sz="8" w:color="EEEEEE"/>
            </w:tcBorders>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520" w:type="dxa"/>
            <w:vAlign w:val="bottom"/>
            <w:tcBorders>
              <w:right w:val="single" w:sz="8" w:color="EEEEEE"/>
            </w:tcBorders>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21,484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21,098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21,452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21,005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440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EEEEEE"/>
              <w:right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3"/>
              </w:rPr>
              <w:t>21,978</w:t>
            </w:r>
          </w:p>
        </w:tc>
        <w:tc>
          <w:tcPr>
            <w:tcW w:w="30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bottom w:val="single" w:sz="8" w:color="EEEEEE"/>
            </w:tcBorders>
            <w:shd w:val="clear" w:color="auto" w:fill="EEEEEE"/>
          </w:tcPr>
          <w:p>
            <w:pPr>
              <w:spacing w:after="0"/>
              <w:rPr>
                <w:sz w:val="22"/>
                <w:szCs w:val="22"/>
                <w:color w:val="auto"/>
              </w:rPr>
            </w:pPr>
          </w:p>
        </w:tc>
        <w:tc>
          <w:tcPr>
            <w:tcW w:w="340" w:type="dxa"/>
            <w:vAlign w:val="bottom"/>
            <w:tcBorders>
              <w:bottom w:val="single" w:sz="8" w:color="EEEEEE"/>
              <w:right w:val="single" w:sz="8" w:color="EEEEEE"/>
            </w:tcBorders>
            <w:shd w:val="clear" w:color="auto" w:fill="EEEEEE"/>
          </w:tcPr>
          <w:p>
            <w:pPr>
              <w:spacing w:after="0"/>
              <w:rPr>
                <w:sz w:val="22"/>
                <w:szCs w:val="22"/>
                <w:color w:val="auto"/>
              </w:rPr>
            </w:pPr>
          </w:p>
        </w:tc>
        <w:tc>
          <w:tcPr>
            <w:tcW w:w="5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21,631</w:t>
            </w:r>
          </w:p>
        </w:tc>
        <w:tc>
          <w:tcPr>
            <w:tcW w:w="30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5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22,026</w:t>
            </w:r>
          </w:p>
        </w:tc>
        <w:tc>
          <w:tcPr>
            <w:tcW w:w="30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21,457</w:t>
            </w:r>
          </w:p>
        </w:tc>
        <w:tc>
          <w:tcPr>
            <w:tcW w:w="3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42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4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5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7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2,736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8"/>
              </w:rPr>
              <w:t>Adjustments to reconcile net income to net cash provided from operating activities:</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Gain from sale of land held for future development</w:t>
            </w:r>
          </w:p>
        </w:tc>
        <w:tc>
          <w:tcPr>
            <w:tcW w:w="34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Loss on equipment disposals</w:t>
            </w:r>
          </w:p>
        </w:tc>
        <w:tc>
          <w:tcPr>
            <w:tcW w:w="3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Investment impairment writedown</w:t>
            </w:r>
          </w:p>
        </w:tc>
        <w:tc>
          <w:tcPr>
            <w:tcW w:w="34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Increase (decrease) in accrued retiree medical benefits</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Changes in current assets and liabilities:</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(13,771)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(6,998)</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5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2,433</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520"/>
              <w:spacing w:after="0"/>
              <w:rPr>
                <w:sz w:val="20"/>
                <w:szCs w:val="20"/>
                <w:color w:val="auto"/>
              </w:rPr>
            </w:pPr>
            <w:r>
              <w:rPr>
                <w:rFonts w:ascii="Arial" w:cs="Arial" w:eastAsia="Arial" w:hAnsi="Arial"/>
                <w:sz w:val="18"/>
                <w:szCs w:val="18"/>
                <w:color w:val="auto"/>
              </w:rPr>
              <w:t>Customer advances</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Deferred profit</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5,699</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52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Accrued compensation, warranty and other liabilities</w:t>
            </w:r>
          </w:p>
        </w:tc>
        <w:tc>
          <w:tcPr>
            <w:tcW w:w="340" w:type="dxa"/>
            <w:vAlign w:val="bottom"/>
            <w:shd w:val="clear" w:color="auto" w:fill="EEEEEE"/>
          </w:tcPr>
          <w:p>
            <w:pPr>
              <w:spacing w:after="0"/>
              <w:rPr>
                <w:sz w:val="18"/>
                <w:szCs w:val="18"/>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1,843</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520"/>
              <w:spacing w:after="0"/>
              <w:rPr>
                <w:sz w:val="20"/>
                <w:szCs w:val="20"/>
                <w:color w:val="auto"/>
              </w:rPr>
            </w:pPr>
            <w:r>
              <w:rPr>
                <w:rFonts w:ascii="Arial" w:cs="Arial" w:eastAsia="Arial" w:hAnsi="Arial"/>
                <w:sz w:val="18"/>
                <w:szCs w:val="18"/>
                <w:color w:val="auto"/>
              </w:rPr>
              <w:t>Net cash provided from (used for) operating activities</w:t>
            </w: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(98,139)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(62,766)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Sales and maturities of short-term investments</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90,226</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37,695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Net proceeds from sale of land held for future development</w:t>
            </w:r>
          </w:p>
        </w:tc>
        <w:tc>
          <w:tcPr>
            <w:tcW w:w="3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8,837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(1,344)</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Payments on note receivable</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(16,507)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Issuance of stock, net</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dividends</w:t>
            </w:r>
          </w:p>
        </w:tc>
        <w:tc>
          <w:tcPr>
            <w:tcW w:w="34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(2,147)</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520"/>
              <w:spacing w:after="0"/>
              <w:rPr>
                <w:sz w:val="20"/>
                <w:szCs w:val="20"/>
                <w:color w:val="auto"/>
              </w:rPr>
            </w:pPr>
            <w:r>
              <w:rPr>
                <w:rFonts w:ascii="Arial" w:cs="Arial" w:eastAsia="Arial" w:hAnsi="Arial"/>
                <w:sz w:val="18"/>
                <w:szCs w:val="18"/>
                <w:color w:val="auto"/>
              </w:rPr>
              <w:t>Net cash provided from (used for) financing activities</w:t>
            </w:r>
          </w:p>
        </w:tc>
        <w:tc>
          <w:tcPr>
            <w:tcW w:w="3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(476)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1,807</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2"/>
              </w:rPr>
              <w:t>(20,906)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18"/>
                <w:szCs w:val="18"/>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7,127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32,696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67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7,293</w:t>
            </w:r>
          </w:p>
        </w:tc>
        <w:tc>
          <w:tcPr>
            <w:tcW w:w="20" w:type="dxa"/>
            <w:vAlign w:val="bottom"/>
            <w:tcBorders>
              <w:bottom w:val="single" w:sz="8" w:color="808080"/>
            </w:tcBorders>
            <w:shd w:val="clear" w:color="auto" w:fill="EEEEEE"/>
          </w:tcPr>
          <w:p>
            <w:pPr>
              <w:spacing w:after="0"/>
              <w:rPr>
                <w:sz w:val="22"/>
                <w:szCs w:val="22"/>
                <w:color w:val="auto"/>
              </w:rPr>
            </w:pPr>
          </w:p>
        </w:tc>
        <w:tc>
          <w:tcPr>
            <w:tcW w:w="160" w:type="dxa"/>
            <w:vAlign w:val="bottom"/>
            <w:tcBorders>
              <w:bottom w:val="single" w:sz="8" w:color="EEEEEE"/>
            </w:tcBorders>
            <w:shd w:val="clear" w:color="auto" w:fill="EEEEEE"/>
          </w:tcPr>
          <w:p>
            <w:pPr>
              <w:spacing w:after="0"/>
              <w:rPr>
                <w:sz w:val="22"/>
                <w:szCs w:val="22"/>
                <w:color w:val="auto"/>
              </w:rPr>
            </w:pPr>
          </w:p>
        </w:tc>
        <w:tc>
          <w:tcPr>
            <w:tcW w:w="86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11,790</w:t>
            </w:r>
          </w:p>
        </w:tc>
        <w:tc>
          <w:tcPr>
            <w:tcW w:w="4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76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paid (received) during the period for:</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Income taxes, net of refunds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2004</w:t>
      </w:r>
    </w:p>
    <w:p>
      <w:pPr>
        <w:spacing w:after="0" w:line="20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260" w:right="1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accompanying interim financial statements are unaudited but include all adjustments (consisting of normal recurring adjustments), which Cohu, Inc. (the “Company” or “Cohu”) considers necessary for a fair statement of the results for the period. These financial statements have been prepared in accordance with accounting principles generally accepted in the United States of America and should be read in conjunction with the consolidated financial statements included in the Company’s Annual Report on Form 10-K filed with the Securities and Exchange Commission for the year ended December 31, 2003 and management’s discussion and analysis of financial condition and results of operations included elsewhere herein. The operating results for the three and six months ended June 30, 2004, are not necessarily indicative of the operating results for the entire year or any future period.</w:t>
      </w:r>
    </w:p>
    <w:p>
      <w:pPr>
        <w:spacing w:after="0" w:line="160"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2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Cohu’s revenue recognition policy is disclosed in Note 1 of the Notes to Consolidated Financial Statements included in the Company’s Annual Report on Form 10-K for the year ended December 31, 2003. As more fully described in that policy, revenue from products that have not previously satisfied customer acceptance is recognized upon customer acceptance. The gross profit on sales that are not recognized is generally recorded as deferred profit and reflected as a current liability in the consolidated balance sheet.</w:t>
      </w:r>
    </w:p>
    <w:p>
      <w:pPr>
        <w:spacing w:after="0" w:line="186" w:lineRule="exact"/>
        <w:rPr>
          <w:rFonts w:ascii="Arial" w:cs="Arial" w:eastAsia="Arial" w:hAnsi="Arial"/>
          <w:sz w:val="18"/>
          <w:szCs w:val="18"/>
          <w:b w:val="1"/>
          <w:bCs w:val="1"/>
          <w:color w:val="auto"/>
        </w:rPr>
      </w:pPr>
    </w:p>
    <w:p>
      <w:pPr>
        <w:ind w:left="260"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has an $8.5 million contract to provide microwave communications equipment for a border security command center and infrastructure system in the United Arab Emirates. The contract, which utilizes the Company’s most advanced microwave communications technology that has not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the Company will recognize all revenue and related costs under this contract in the period the system is accepted by the customer. Through June 30, 2004, the Company had deferred approximately $4.8 million of revenue under the contract.</w:t>
      </w:r>
    </w:p>
    <w:p>
      <w:pPr>
        <w:spacing w:after="0" w:line="178" w:lineRule="exact"/>
        <w:rPr>
          <w:rFonts w:ascii="Arial" w:cs="Arial" w:eastAsia="Arial" w:hAnsi="Arial"/>
          <w:sz w:val="18"/>
          <w:szCs w:val="18"/>
          <w:b w:val="1"/>
          <w:bCs w:val="1"/>
          <w:color w:val="auto"/>
        </w:rPr>
      </w:pPr>
    </w:p>
    <w:p>
      <w:pPr>
        <w:ind w:left="2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June 30, 2004, the Company had total deferred revenue of approximately $22.2 million and deferred profit of $9.8 million. At December 31, 2003, the Company had total deferred revenue of approximately $9.3 million and deferred profit of $4.1 million. The increase in deferred revenue and profit is primarily related to the deferral of revenue on certain new semiconductor test handlers and microwave communications equipment that have been shipped and installed and are awaiting customer acceptance.</w:t>
      </w:r>
    </w:p>
    <w:p>
      <w:pPr>
        <w:spacing w:after="0" w:line="182"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2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Cohu has several stock-based compensation plans that are described more fully in Note 10 to the Consolidated Financial Statements included in the Company’s Annual Report on Form 10-K for the year ended December 31, 2003. The Company accounts for those plans under the recognition and measurement principles of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and related interpretations. No stock-based employee compensation cost is reflected in the consolidated statements of income, as all options granted under those plans had an exercise price equal to the market value of the underlying common stock on the date of grant. The proforma information presented in the following table illustrates the effect on net income and net income per share if Cohu had applied the fair value recognition provisions of Financial Accounting Standards Board (“FASB”) Statement No. 123, </w:t>
      </w:r>
      <w:r>
        <w:rPr>
          <w:rFonts w:ascii="Arial" w:cs="Arial" w:eastAsia="Arial" w:hAnsi="Arial"/>
          <w:sz w:val="17"/>
          <w:szCs w:val="17"/>
          <w:i w:val="1"/>
          <w:iCs w:val="1"/>
          <w:color w:val="auto"/>
        </w:rPr>
        <w:t xml:space="preserve">Accounting for Stock-Based Compensation, </w:t>
      </w:r>
      <w:r>
        <w:rPr>
          <w:rFonts w:ascii="Arial" w:cs="Arial" w:eastAsia="Arial" w:hAnsi="Arial"/>
          <w:sz w:val="17"/>
          <w:szCs w:val="17"/>
          <w:color w:val="auto"/>
        </w:rPr>
        <w:t>as amended by FASB 148,</w:t>
      </w:r>
      <w:r>
        <w:rPr>
          <w:rFonts w:ascii="Arial" w:cs="Arial" w:eastAsia="Arial" w:hAnsi="Arial"/>
          <w:sz w:val="17"/>
          <w:szCs w:val="17"/>
          <w:i w:val="1"/>
          <w:iCs w:val="1"/>
          <w:color w:val="auto"/>
        </w:rPr>
        <w:t xml:space="preserve"> Accounting for Stock-Based Compensation — Transition and Disclosure</w:t>
      </w:r>
      <w:r>
        <w:rPr>
          <w:rFonts w:ascii="Arial" w:cs="Arial" w:eastAsia="Arial" w:hAnsi="Arial"/>
          <w:sz w:val="17"/>
          <w:szCs w:val="17"/>
          <w:color w:val="auto"/>
        </w:rPr>
        <w:t>, to stock-based employee compensation.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2004</w:t>
      </w:r>
    </w:p>
    <w:p>
      <w:pPr>
        <w:spacing w:after="0" w:line="37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June 30,</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6,942</w:t>
            </w:r>
          </w:p>
        </w:tc>
        <w:tc>
          <w:tcPr>
            <w:tcW w:w="10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4,106</w:t>
            </w:r>
          </w:p>
        </w:tc>
        <w:tc>
          <w:tcPr>
            <w:tcW w:w="2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9,040</w:t>
            </w:r>
          </w:p>
        </w:tc>
        <w:tc>
          <w:tcPr>
            <w:tcW w:w="1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2,736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w w:val="97"/>
              </w:rPr>
              <w:t>Less: Total stock-based employee compensation expense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w w:val="90"/>
              </w:rPr>
              <w:t>determined under fair value based method for all awards, net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of related tax effect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(755)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(1,917)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(1,474)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5,991</w:t>
            </w:r>
          </w:p>
        </w:tc>
        <w:tc>
          <w:tcPr>
            <w:tcW w:w="10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3,351</w:t>
            </w:r>
          </w:p>
        </w:tc>
        <w:tc>
          <w:tcPr>
            <w:tcW w:w="2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7,123</w:t>
            </w:r>
          </w:p>
        </w:tc>
        <w:tc>
          <w:tcPr>
            <w:tcW w:w="1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1,262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5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280" w:type="dxa"/>
            <w:vAlign w:val="bottom"/>
            <w:tcBorders>
              <w:right w:val="single" w:sz="8" w:color="EEEEEE"/>
            </w:tcBorders>
            <w:shd w:val="clear" w:color="auto" w:fill="EEEEEE"/>
          </w:tcPr>
          <w:p>
            <w:pPr>
              <w:spacing w:after="0"/>
              <w:rPr>
                <w:sz w:val="3"/>
                <w:szCs w:val="3"/>
                <w:color w:val="auto"/>
              </w:rPr>
            </w:pPr>
          </w:p>
        </w:tc>
        <w:tc>
          <w:tcPr>
            <w:tcW w:w="400" w:type="dxa"/>
            <w:vAlign w:val="bottom"/>
            <w:tcBorders>
              <w:bottom w:val="single" w:sz="8" w:color="808080"/>
            </w:tcBorders>
            <w:shd w:val="clear" w:color="auto" w:fill="808080"/>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280" w:type="dxa"/>
            <w:vAlign w:val="bottom"/>
            <w:tcBorders>
              <w:right w:val="single" w:sz="8" w:color="808080"/>
            </w:tcBorders>
            <w:shd w:val="clear" w:color="auto" w:fill="EEEEEE"/>
          </w:tcPr>
          <w:p>
            <w:pPr>
              <w:spacing w:after="0"/>
              <w:rPr>
                <w:sz w:val="3"/>
                <w:szCs w:val="3"/>
                <w:color w:val="auto"/>
              </w:rPr>
            </w:pPr>
          </w:p>
        </w:tc>
        <w:tc>
          <w:tcPr>
            <w:tcW w:w="400" w:type="dxa"/>
            <w:vAlign w:val="bottom"/>
            <w:tcBorders>
              <w:bottom w:val="single" w:sz="8" w:color="808080"/>
            </w:tcBorders>
            <w:shd w:val="clear" w:color="auto" w:fill="808080"/>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480" w:type="dxa"/>
            <w:vAlign w:val="bottom"/>
            <w:tcBorders>
              <w:bottom w:val="single" w:sz="8" w:color="808080"/>
            </w:tcBorders>
            <w:shd w:val="clear" w:color="auto" w:fill="808080"/>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80" w:type="dxa"/>
            <w:vAlign w:val="bottom"/>
            <w:tcBorders>
              <w:bottom w:val="single" w:sz="8" w:color="808080"/>
            </w:tcBorders>
            <w:shd w:val="clear" w:color="auto" w:fill="808080"/>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54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Basic-as reported</w:t>
            </w: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2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0.42</w:t>
            </w:r>
          </w:p>
        </w:tc>
        <w:tc>
          <w:tcPr>
            <w:tcW w:w="1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Basic-pro forma</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0.16</w:t>
            </w: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Diluted-as reported</w:t>
            </w: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2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Diluted-pro forma</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Retiree Medical Benefits</w:t>
      </w:r>
    </w:p>
    <w:p>
      <w:pPr>
        <w:spacing w:after="0" w:line="229" w:lineRule="exact"/>
        <w:rPr>
          <w:sz w:val="20"/>
          <w:szCs w:val="20"/>
          <w:color w:val="auto"/>
        </w:rPr>
      </w:pPr>
    </w:p>
    <w:p>
      <w:pPr>
        <w:ind w:left="220" w:right="300"/>
        <w:spacing w:after="0" w:line="277" w:lineRule="auto"/>
        <w:rPr>
          <w:sz w:val="20"/>
          <w:szCs w:val="20"/>
          <w:color w:val="auto"/>
        </w:rPr>
      </w:pPr>
      <w:r>
        <w:rPr>
          <w:rFonts w:ascii="Arial" w:cs="Arial" w:eastAsia="Arial" w:hAnsi="Arial"/>
          <w:sz w:val="18"/>
          <w:szCs w:val="18"/>
          <w:color w:val="auto"/>
        </w:rPr>
        <w:t>Cohu provides post-retirement health benefits to certain executives and directors under a noncontributory plan. The net periodic benefit cost during the three and six month periods ended June 30, 2004 and 2003 was not significant.</w:t>
      </w:r>
    </w:p>
    <w:p>
      <w:pPr>
        <w:spacing w:after="0" w:line="170" w:lineRule="exact"/>
        <w:rPr>
          <w:sz w:val="20"/>
          <w:szCs w:val="20"/>
          <w:color w:val="auto"/>
        </w:rPr>
      </w:pPr>
    </w:p>
    <w:p>
      <w:pPr>
        <w:ind w:left="220" w:right="20"/>
        <w:spacing w:after="0" w:line="288" w:lineRule="auto"/>
        <w:rPr>
          <w:sz w:val="20"/>
          <w:szCs w:val="20"/>
          <w:color w:val="auto"/>
        </w:rPr>
      </w:pPr>
      <w:r>
        <w:rPr>
          <w:rFonts w:ascii="Arial" w:cs="Arial" w:eastAsia="Arial" w:hAnsi="Arial"/>
          <w:sz w:val="16"/>
          <w:szCs w:val="16"/>
          <w:color w:val="auto"/>
        </w:rPr>
        <w:t xml:space="preserve">The Medicare Prescription Drug, Improvement and Modernization Act of 2003 (the “Act”) was enacted on December 8, 2003. In accordance with FASB Staff Position (“FSP”) No. FAS 106-1, the accumulated post-retirement benefit obligation and net periodic benefit cost in the consolidated financial statements do not reflect the effects, if any, of the Act. In April 2004, the FASB staff issued FSP FAS 106-2, which supercedes FSP FAS 106-1. FSP FAS 106-2 applies to sponsors of single-employer defined benefit postretirement health care plans for which (a) the employer has concluded that prescription drug benefits available under the plan are “actuarially equivalent” to Medicare Part D and thus qualify for the subsidy under the Act and (b) the expected subsidy will offset or reduce the employer’s share of the cost of the underlying postretirement prescription drug coverage on which the subsidy is based. In general, FSP FAS 106-2 concludes that the plan sponsors should follow FASB Statement No. 106, </w:t>
      </w:r>
      <w:r>
        <w:rPr>
          <w:rFonts w:ascii="Arial" w:cs="Arial" w:eastAsia="Arial" w:hAnsi="Arial"/>
          <w:sz w:val="16"/>
          <w:szCs w:val="16"/>
          <w:i w:val="1"/>
          <w:iCs w:val="1"/>
          <w:color w:val="auto"/>
        </w:rPr>
        <w:t>Employers’ Accounting for Postretirement Benefits</w:t>
      </w:r>
      <w:r>
        <w:rPr>
          <w:rFonts w:ascii="Arial" w:cs="Arial" w:eastAsia="Arial" w:hAnsi="Arial"/>
          <w:sz w:val="16"/>
          <w:szCs w:val="16"/>
          <w:color w:val="auto"/>
        </w:rPr>
        <w:t xml:space="preserve"> </w:t>
      </w:r>
      <w:r>
        <w:rPr>
          <w:rFonts w:ascii="Arial" w:cs="Arial" w:eastAsia="Arial" w:hAnsi="Arial"/>
          <w:sz w:val="16"/>
          <w:szCs w:val="16"/>
          <w:i w:val="1"/>
          <w:iCs w:val="1"/>
          <w:color w:val="auto"/>
        </w:rPr>
        <w:t>Other Than Pensions</w:t>
      </w:r>
      <w:r>
        <w:rPr>
          <w:rFonts w:ascii="Arial" w:cs="Arial" w:eastAsia="Arial" w:hAnsi="Arial"/>
          <w:sz w:val="16"/>
          <w:szCs w:val="16"/>
          <w:color w:val="auto"/>
        </w:rPr>
        <w:t>, in accounting for the effects of the Act. For employers, including Cohu, that have elected deferral under FSP FAS 106-1, this</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is effective for the first interim period beginning after June 15, 2004. The Company has not yet determined the effects of this guidance on the Company’s financial position or results of operations; however, the impact is not expected to be significant.</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Recent Accounting Pronouncement</w:t>
      </w:r>
    </w:p>
    <w:p>
      <w:pPr>
        <w:spacing w:after="0" w:line="229" w:lineRule="exact"/>
        <w:rPr>
          <w:sz w:val="20"/>
          <w:szCs w:val="20"/>
          <w:color w:val="auto"/>
        </w:rPr>
      </w:pPr>
    </w:p>
    <w:p>
      <w:pPr>
        <w:ind w:left="220"/>
        <w:spacing w:after="0" w:line="273" w:lineRule="auto"/>
        <w:rPr>
          <w:sz w:val="20"/>
          <w:szCs w:val="20"/>
          <w:color w:val="auto"/>
        </w:rPr>
      </w:pPr>
      <w:r>
        <w:rPr>
          <w:rFonts w:ascii="Arial" w:cs="Arial" w:eastAsia="Arial" w:hAnsi="Arial"/>
          <w:sz w:val="17"/>
          <w:szCs w:val="17"/>
          <w:color w:val="auto"/>
        </w:rPr>
        <w:t xml:space="preserve">In March 2004, the FASB issued an exposure document entitled </w:t>
      </w:r>
      <w:r>
        <w:rPr>
          <w:rFonts w:ascii="Arial" w:cs="Arial" w:eastAsia="Arial" w:hAnsi="Arial"/>
          <w:sz w:val="17"/>
          <w:szCs w:val="17"/>
          <w:i w:val="1"/>
          <w:iCs w:val="1"/>
          <w:color w:val="auto"/>
        </w:rPr>
        <w:t>Share-Based Payment — an amendment of Statements No. 123 and 95 (Proposed</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of Financial Accounting Standards)</w:t>
      </w:r>
      <w:r>
        <w:rPr>
          <w:rFonts w:ascii="Arial" w:cs="Arial" w:eastAsia="Arial" w:hAnsi="Arial"/>
          <w:sz w:val="17"/>
          <w:szCs w:val="17"/>
          <w:color w:val="auto"/>
        </w:rPr>
        <w:t>. The proposed Statement would eliminate the ability to account for share-based compensation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using APB Opinion No. 25 and generally require instead that such transactions be accounted for using a fair-value-based method. This accounting, if approved, will result in significant compensation expense charges to our future results of operations. The proposed Statement, if adopted, would be applied to public entities prospectively for fiscal years beginning after December 15, 2004, as if all share-based compensation awards granted, modified, or settled after December 15, 1994, had been accounted for using the fair-value method of accounting.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2004</w:t>
      </w:r>
    </w:p>
    <w:p>
      <w:pPr>
        <w:spacing w:after="0" w:line="20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2004 Results of Operations</w:t>
      </w:r>
    </w:p>
    <w:p>
      <w:pPr>
        <w:spacing w:after="0" w:line="229" w:lineRule="exact"/>
        <w:rPr>
          <w:rFonts w:ascii="Arial" w:cs="Arial" w:eastAsia="Arial" w:hAnsi="Arial"/>
          <w:sz w:val="18"/>
          <w:szCs w:val="18"/>
          <w:b w:val="1"/>
          <w:bCs w:val="1"/>
          <w:color w:val="auto"/>
        </w:rPr>
      </w:pPr>
    </w:p>
    <w:p>
      <w:pPr>
        <w:ind w:left="2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February 2004, the Company and a foreign sales representative amended a Product Representation Agreement that was originally entered into on April 1, 2003. The amendment reduced the commissions to be paid by the Company to the sales representative on certain previously recorded and future sales. In the quarter ended March 31, 2004, the Company reduced commission expense by $129,000 and $103,000, for commissions previously expensed in 2003 and 2004, respectively. Accordingly, selling, general and administrative expense in the accompanying statement of income for the six months ended June 30, 2004 has been reduced by $232,000 as a result of this amendment.</w:t>
      </w:r>
    </w:p>
    <w:p>
      <w:pPr>
        <w:spacing w:after="0" w:line="172" w:lineRule="exact"/>
        <w:rPr>
          <w:rFonts w:ascii="Arial" w:cs="Arial" w:eastAsia="Arial" w:hAnsi="Arial"/>
          <w:sz w:val="18"/>
          <w:szCs w:val="18"/>
          <w:b w:val="1"/>
          <w:bCs w:val="1"/>
          <w:color w:val="auto"/>
        </w:rPr>
      </w:pPr>
    </w:p>
    <w:p>
      <w:pPr>
        <w:ind w:left="26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2003, the Company recorded a charge to cost of sales of approximately $1,700,000 as a result of inventory market valuation writedowns. In 2004, the Company sold certain of the written down inventory and as a result the Company’s cost of sales and the related gross profit was favorably impacted by approximately $370,000, and $1,070,000 for the three and six months ended June 30, 2004, respectively.</w:t>
      </w:r>
    </w:p>
    <w:p>
      <w:pPr>
        <w:spacing w:after="0" w:line="165" w:lineRule="exact"/>
        <w:rPr>
          <w:rFonts w:ascii="Arial" w:cs="Arial" w:eastAsia="Arial" w:hAnsi="Arial"/>
          <w:sz w:val="18"/>
          <w:szCs w:val="18"/>
          <w:b w:val="1"/>
          <w:bCs w:val="1"/>
          <w:color w:val="auto"/>
        </w:rPr>
      </w:pPr>
    </w:p>
    <w:p>
      <w:pPr>
        <w:ind w:left="2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2001 and 2002, the Company accrued amounts totaling approximately $1.2 million for customer sales credits. This amount is included in accounts payable at June 30, 2004 and December 31, 2003. If the customer credits are not utilized, the liability will be eliminated with a corresponding credit to income in the period the credits expire.</w:t>
      </w:r>
    </w:p>
    <w:p>
      <w:pPr>
        <w:spacing w:after="0" w:line="177" w:lineRule="exact"/>
        <w:rPr>
          <w:rFonts w:ascii="Arial" w:cs="Arial" w:eastAsia="Arial" w:hAnsi="Arial"/>
          <w:sz w:val="18"/>
          <w:szCs w:val="18"/>
          <w:b w:val="1"/>
          <w:bCs w:val="1"/>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Income Per Share</w:t>
      </w:r>
    </w:p>
    <w:p>
      <w:pPr>
        <w:spacing w:after="0" w:line="229" w:lineRule="exact"/>
        <w:rPr>
          <w:rFonts w:ascii="Arial" w:cs="Arial" w:eastAsia="Arial" w:hAnsi="Arial"/>
          <w:sz w:val="18"/>
          <w:szCs w:val="18"/>
          <w:b w:val="1"/>
          <w:bCs w:val="1"/>
          <w:color w:val="auto"/>
        </w:rPr>
      </w:pPr>
    </w:p>
    <w:p>
      <w:pPr>
        <w:ind w:left="2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Income per share is computed in accordance with FASB Statement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income per share is computed using the weighted average number of common shares outstanding during each period. Diluted income per share includes the dilutive effect of common shares potentially issuable upon the exercise of stock options. For purposes of computing diluted income per share, stock options with exercise prices that exceed the average fair market value of the Company’s common stock for the period are excluded. For the three and six months ended June 30, 2004, options to purchase approximately 654,000 and 360,000 shares of common stock were excluded from the computation, respectively. For the three and six months ended June 30, 2003, options to purchase approximately 287,000 and 294,000 shares of common stock were excluded from the computation, respectively. The following table reconciles the denominators used in computing basic and diluted income per share:</w:t>
      </w:r>
    </w:p>
    <w:p>
      <w:pPr>
        <w:spacing w:after="0" w:line="36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49"/>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rPr>
              <w:t>2004</w:t>
            </w:r>
          </w:p>
        </w:tc>
        <w:tc>
          <w:tcPr>
            <w:tcW w:w="1480" w:type="dxa"/>
            <w:vAlign w:val="bottom"/>
            <w:gridSpan w:val="5"/>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June 30,</w:t>
            </w:r>
          </w:p>
        </w:tc>
        <w:tc>
          <w:tcPr>
            <w:tcW w:w="98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rPr>
              <w:t>2004</w:t>
            </w:r>
          </w:p>
        </w:tc>
        <w:tc>
          <w:tcPr>
            <w:tcW w:w="1460" w:type="dxa"/>
            <w:vAlign w:val="bottom"/>
            <w:gridSpan w:val="5"/>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6"/>
        </w:trPr>
        <w:tc>
          <w:tcPr>
            <w:tcW w:w="4800" w:type="dxa"/>
            <w:vAlign w:val="bottom"/>
            <w:gridSpan w:val="2"/>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24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2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21,484</w:t>
            </w:r>
          </w:p>
        </w:tc>
        <w:tc>
          <w:tcPr>
            <w:tcW w:w="12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21,098</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21,452</w:t>
            </w: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21,005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480" w:type="dxa"/>
            <w:vAlign w:val="bottom"/>
            <w:gridSpan w:val="2"/>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494</w:t>
            </w:r>
          </w:p>
        </w:tc>
        <w:tc>
          <w:tcPr>
            <w:tcW w:w="720" w:type="dxa"/>
            <w:vAlign w:val="bottom"/>
            <w:gridSpan w:val="3"/>
          </w:tcPr>
          <w:p>
            <w:pPr>
              <w:spacing w:after="0"/>
              <w:rPr>
                <w:sz w:val="20"/>
                <w:szCs w:val="20"/>
                <w:color w:val="auto"/>
              </w:rPr>
            </w:pPr>
          </w:p>
        </w:tc>
        <w:tc>
          <w:tcPr>
            <w:tcW w:w="5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533</w:t>
            </w:r>
          </w:p>
        </w:tc>
        <w:tc>
          <w:tcPr>
            <w:tcW w:w="24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574</w:t>
            </w:r>
          </w:p>
        </w:tc>
        <w:tc>
          <w:tcPr>
            <w:tcW w:w="720" w:type="dxa"/>
            <w:vAlign w:val="bottom"/>
            <w:gridSpan w:val="3"/>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8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21,978</w:t>
            </w:r>
          </w:p>
        </w:tc>
        <w:tc>
          <w:tcPr>
            <w:tcW w:w="12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21,631</w:t>
            </w:r>
          </w:p>
        </w:tc>
        <w:tc>
          <w:tcPr>
            <w:tcW w:w="24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22,026</w:t>
            </w: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21,457</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2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income tax provision included in the statements of income for the three and six months ended June 30, 2004 and 2003, is based on the estimated annual effective tax rate for the entire year. These estimated effective tax rates are subject to adjustment in subsequent quarterly periods as the Company’s estimates of pretax income or loss for the year are increased or decreased. The effective tax rate for the three and six months ended June 30, 2004 is less than the U.S. federal statutory rate primarily due to the significant deferred tax asset valuation allowance recorded at December 31, 2003.</w:t>
      </w:r>
    </w:p>
    <w:p>
      <w:pPr>
        <w:spacing w:after="0" w:line="154" w:lineRule="exact"/>
        <w:rPr>
          <w:sz w:val="20"/>
          <w:szCs w:val="20"/>
          <w:color w:val="auto"/>
        </w:rPr>
      </w:pPr>
    </w:p>
    <w:p>
      <w:pPr>
        <w:jc w:val="both"/>
        <w:ind w:left="260" w:right="60"/>
        <w:spacing w:after="0" w:line="312" w:lineRule="auto"/>
        <w:rPr>
          <w:sz w:val="20"/>
          <w:szCs w:val="20"/>
          <w:color w:val="auto"/>
        </w:rPr>
      </w:pPr>
      <w:r>
        <w:rPr>
          <w:rFonts w:ascii="Arial" w:cs="Arial" w:eastAsia="Arial" w:hAnsi="Arial"/>
          <w:sz w:val="16"/>
          <w:szCs w:val="16"/>
          <w:color w:val="auto"/>
        </w:rPr>
        <w:t xml:space="preserve">In accordance with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net deferred tax assets are reduced by a valuation allowance, if based on all the available evidence, it is more likely than not that some or all of the deferred tax assets will not be realized. A valuation allowance of $11,704,000 had been provided on deferred tax assets at December 31, 2003, primarily due to uncertainties of realizing net deferred tax assets in excess of</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2004</w:t>
      </w:r>
    </w:p>
    <w:p>
      <w:pPr>
        <w:spacing w:after="0" w:line="211" w:lineRule="exact"/>
        <w:rPr>
          <w:sz w:val="20"/>
          <w:szCs w:val="20"/>
          <w:color w:val="auto"/>
        </w:rPr>
      </w:pPr>
    </w:p>
    <w:p>
      <w:pPr>
        <w:jc w:val="both"/>
        <w:ind w:left="260" w:right="500"/>
        <w:spacing w:after="0" w:line="264" w:lineRule="auto"/>
        <w:rPr>
          <w:sz w:val="20"/>
          <w:szCs w:val="20"/>
          <w:color w:val="auto"/>
        </w:rPr>
      </w:pPr>
      <w:r>
        <w:rPr>
          <w:rFonts w:ascii="Arial" w:cs="Arial" w:eastAsia="Arial" w:hAnsi="Arial"/>
          <w:sz w:val="18"/>
          <w:szCs w:val="18"/>
          <w:color w:val="auto"/>
        </w:rPr>
        <w:t>income expected to be generated from future income and certain tax planning strategies. The Company determined that the valuation allowance was required based upon its recent losses, and the likelihood of generating sufficient additional taxable income in future years to obtain benefit from the reversal of temporary differences and net operating loss and tax credit carryforwards.</w:t>
      </w:r>
    </w:p>
    <w:p>
      <w:pPr>
        <w:spacing w:after="0" w:line="181" w:lineRule="exact"/>
        <w:rPr>
          <w:sz w:val="20"/>
          <w:szCs w:val="20"/>
          <w:color w:val="auto"/>
        </w:rPr>
      </w:pPr>
    </w:p>
    <w:p>
      <w:pPr>
        <w:ind w:left="260" w:right="40"/>
        <w:spacing w:after="0" w:line="255" w:lineRule="auto"/>
        <w:rPr>
          <w:sz w:val="20"/>
          <w:szCs w:val="20"/>
          <w:color w:val="auto"/>
        </w:rPr>
      </w:pPr>
      <w:r>
        <w:rPr>
          <w:rFonts w:ascii="Arial" w:cs="Arial" w:eastAsia="Arial" w:hAnsi="Arial"/>
          <w:sz w:val="18"/>
          <w:szCs w:val="18"/>
          <w:color w:val="auto"/>
        </w:rPr>
        <w:t>At June 30, 2004, the Company reassessed the appropriateness of the valuation allowance. We concluded that, despite the improvement in operating results that were significantly better than forecast, it would be premature to reverse the valuation allowance that existed at December 31, 2003 other than to the extent necessary to reduce current tax expense generated by 2004 income. The Company will continue to assess the appropriateness of the valuation allowance in the third and fourth quarters of 2004. The Company may adjust the allowance if, based on a careful assessment of business prospects and estimates of future income, the Company concludes that all or a portion of the allowance is no longer required. A reduction in the allowance would result in a corresponding credit to income tax expense.</w:t>
      </w:r>
    </w:p>
    <w:p>
      <w:pPr>
        <w:spacing w:after="0" w:line="193" w:lineRule="exact"/>
        <w:rPr>
          <w:sz w:val="20"/>
          <w:szCs w:val="20"/>
          <w:color w:val="auto"/>
        </w:rPr>
      </w:pPr>
    </w:p>
    <w:p>
      <w:pPr>
        <w:ind w:left="260"/>
        <w:spacing w:after="0" w:line="302" w:lineRule="auto"/>
        <w:rPr>
          <w:sz w:val="20"/>
          <w:szCs w:val="20"/>
          <w:color w:val="auto"/>
        </w:rPr>
      </w:pPr>
      <w:r>
        <w:rPr>
          <w:rFonts w:ascii="Arial" w:cs="Arial" w:eastAsia="Arial" w:hAnsi="Arial"/>
          <w:sz w:val="16"/>
          <w:szCs w:val="16"/>
          <w:color w:val="auto"/>
        </w:rPr>
        <w:t>The IRS is currently conducting a routine examination of Cohu’s consolidated tax returns for the period 2000 through 2002. The Company expects the IRS examination to be completed in 2004. If the examination is concluded in 2004, any adjustments that result from the IRS examination will be reflected in the Company’s 2004 results of operations. The Company believes that such adjustments, if any, are adequately provided for in the consolidated financial statements. A favorable outcome from the examination would result in a credit to income tax expense in the quarter the examination is concluded.</w:t>
      </w:r>
    </w:p>
    <w:p>
      <w:pPr>
        <w:spacing w:after="0" w:line="154" w:lineRule="exact"/>
        <w:rPr>
          <w:sz w:val="20"/>
          <w:szCs w:val="20"/>
          <w:color w:val="auto"/>
        </w:rPr>
      </w:pPr>
    </w:p>
    <w:p>
      <w:pPr>
        <w:jc w:val="both"/>
        <w:ind w:left="260" w:right="140"/>
        <w:spacing w:after="0" w:line="259" w:lineRule="auto"/>
        <w:rPr>
          <w:sz w:val="20"/>
          <w:szCs w:val="20"/>
          <w:color w:val="auto"/>
        </w:rPr>
      </w:pPr>
      <w:r>
        <w:rPr>
          <w:rFonts w:ascii="Arial" w:cs="Arial" w:eastAsia="Arial" w:hAnsi="Arial"/>
          <w:sz w:val="18"/>
          <w:szCs w:val="18"/>
          <w:color w:val="auto"/>
        </w:rPr>
        <w:t>The Company has derived significant tax benefits from the research credit under Section 41 of the Internal Revenue Code and the Extraterritorial Income Exclusion (ETI). The research credit expired on June 30, 2004 and the ETI is likely to be repealed due to pressure from the World Trade Organization. If the ETI is repealed and replacement legislation is not enacted and/or the research credit is not extended beyond June 30, 2004, the Company’s future tax rate will be adversely impacted.</w:t>
      </w:r>
    </w:p>
    <w:p>
      <w:pPr>
        <w:spacing w:after="0" w:line="183"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Investments and Other Intangible Assets</w:t>
      </w:r>
    </w:p>
    <w:p>
      <w:pPr>
        <w:spacing w:after="0" w:line="229" w:lineRule="exact"/>
        <w:rPr>
          <w:rFonts w:ascii="Arial" w:cs="Arial" w:eastAsia="Arial" w:hAnsi="Arial"/>
          <w:sz w:val="18"/>
          <w:szCs w:val="18"/>
          <w:b w:val="1"/>
          <w:bCs w:val="1"/>
          <w:color w:val="auto"/>
        </w:rPr>
      </w:pPr>
    </w:p>
    <w:p>
      <w:pPr>
        <w:ind w:left="2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June 2001, the FASB issued Statement No. 142</w:t>
      </w:r>
      <w:r>
        <w:rPr>
          <w:rFonts w:ascii="Arial" w:cs="Arial" w:eastAsia="Arial" w:hAnsi="Arial"/>
          <w:sz w:val="18"/>
          <w:szCs w:val="18"/>
          <w:i w:val="1"/>
          <w:iCs w:val="1"/>
          <w:color w:val="auto"/>
        </w:rPr>
        <w:t>, Goodwill and Other Intangible Assets</w:t>
      </w:r>
      <w:r>
        <w:rPr>
          <w:rFonts w:ascii="Arial" w:cs="Arial" w:eastAsia="Arial" w:hAnsi="Arial"/>
          <w:sz w:val="18"/>
          <w:szCs w:val="18"/>
          <w:color w:val="auto"/>
        </w:rPr>
        <w:t>. Under Statement No. 142, goodwill and other intangible assets with indefinite useful lives are not amortized, but are reviewed annually for impairment or more frequently if impairment indicators arise. Separable intangible assets that have finite lives are amortized over their useful lives. Under Statement No. 142, goodwill and other intangible assets with indefinite useful lives resulting from acquisitions completed after June 30, 2001 are not amortized. At June 30, 2004, the Company had goodwill of $8.3 million that resulted from an acquisition completed in July 2001.</w:t>
      </w:r>
    </w:p>
    <w:p>
      <w:pPr>
        <w:spacing w:after="0" w:line="188" w:lineRule="exact"/>
        <w:rPr>
          <w:rFonts w:ascii="Arial" w:cs="Arial" w:eastAsia="Arial" w:hAnsi="Arial"/>
          <w:sz w:val="18"/>
          <w:szCs w:val="18"/>
          <w:b w:val="1"/>
          <w:bCs w:val="1"/>
          <w:color w:val="auto"/>
        </w:rPr>
      </w:pPr>
    </w:p>
    <w:p>
      <w:pPr>
        <w:ind w:left="2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performed the required annual goodwill impairment test as of October 1, 2003. Cohu did not recognize any goodwill impairment as a result of performing this annual test. A future decline in the fair value of Cohu’s semiconductor equipment business may indicate goodwill impairment that could result in a charge to Cohu’s future operating results.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In August 2001, the FASB issued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which supersedes Statement No.</w:t>
      </w:r>
    </w:p>
    <w:p>
      <w:pPr>
        <w:spacing w:after="0" w:line="46" w:lineRule="exact"/>
        <w:rPr>
          <w:sz w:val="20"/>
          <w:szCs w:val="20"/>
          <w:color w:val="auto"/>
        </w:rPr>
      </w:pPr>
    </w:p>
    <w:p>
      <w:pPr>
        <w:ind w:left="260" w:hanging="9"/>
        <w:spacing w:after="0" w:line="255"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 No. 144 addresses financial accounting and reporting for the impairment of long-lived assets (excluding goodwill) and for long-lived assets to be disposed of. However, Statement No. 144 retains the fundamental provisions of Statement No. 121 for recognition and measurement of the impairment of long-lived assets to be held and used. Cohu adopted Statement No. 144 effective January 1, 2002.</w:t>
      </w:r>
    </w:p>
    <w:p>
      <w:pPr>
        <w:spacing w:after="0" w:line="190" w:lineRule="exact"/>
        <w:rPr>
          <w:sz w:val="20"/>
          <w:szCs w:val="20"/>
          <w:color w:val="auto"/>
        </w:rPr>
      </w:pPr>
    </w:p>
    <w:p>
      <w:pPr>
        <w:ind w:left="260" w:right="840"/>
        <w:spacing w:after="0" w:line="277" w:lineRule="auto"/>
        <w:rPr>
          <w:sz w:val="20"/>
          <w:szCs w:val="20"/>
          <w:color w:val="auto"/>
        </w:rPr>
      </w:pPr>
      <w:r>
        <w:rPr>
          <w:rFonts w:ascii="Arial" w:cs="Arial" w:eastAsia="Arial" w:hAnsi="Arial"/>
          <w:sz w:val="18"/>
          <w:szCs w:val="18"/>
          <w:color w:val="auto"/>
        </w:rPr>
        <w:t>In the fourth quarter of 2002, Cohu entered into a $1,700,000 license agreement for certain intellectual property and know-how from LiveTools Technology SA. The Company is amortizing the intangible asset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to expense over the three-year exclusive license period. Accumulated amortization at June 30, 2004 and December 31, 2003, was $917,000 and $642,000,</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respectively. Amortization expense was $138,000 and $275,000 in the three and six month periods ended June 30, 2004, respectively and $138,000 and</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$275,000 in the three and six month periods ended June 30, 2003, respectively. The estimated remaining amortization expense in future periods is 2004 —</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$275,000; 2005 — $458,000.</w:t>
      </w:r>
    </w:p>
    <w:p>
      <w:pPr>
        <w:spacing w:after="0" w:line="20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229" w:lineRule="exact"/>
        <w:rPr>
          <w:rFonts w:ascii="Arial" w:cs="Arial" w:eastAsia="Arial" w:hAnsi="Arial"/>
          <w:sz w:val="18"/>
          <w:szCs w:val="18"/>
          <w:b w:val="1"/>
          <w:bCs w:val="1"/>
          <w:color w:val="auto"/>
        </w:rPr>
      </w:pPr>
    </w:p>
    <w:p>
      <w:pPr>
        <w:ind w:left="2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April 10, 2003, Cohu announced that its Delta Design, Inc. subsidiary (“Delta”) was relocating its Littleton, Massachusetts operation to its headquarters facility in Poway, California. The consolidation, which will result in approximately 50 of the 65 employees being terminated, was substantially completed in March 2004 and the remaining charges to operations for severance and other payroll costs are expected to be minimal. For the three month period ended June 30, 2004 the Company recorded charges to operations, totaling $5,000 for severance and one-time termination benefits. These charges are included in cost of sales ($1,000), research and development ($3,000) and selling, general and administrative expense ($1,000). For the six month period ended June 30, 2004, the Company recorded charges to operations totaling $193,000 for severance and one-time termination benefits. These charges are included in cost of sales ($58,000), research and development ($61,000) and selling, general and administrative expense ($74,000). In the quarter ended June 30, 2003, the Company recorded charges to operations totaling $194,000 for severance and one-time termination benefits and $84,000 for fixed asset impairment. These charges are included in cost of sales ($112,000), research and development ($132,000) and selling, general and administrative expense ($34,000). Cumulative charges to operations for severance and other exit costs for the period April 10, 2003 to June 30, 2004, were $1,061,000.</w:t>
      </w:r>
    </w:p>
    <w:p>
      <w:pPr>
        <w:spacing w:after="0" w:line="182"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amounts accrued and paid under the consolidation plan.</w:t>
      </w:r>
    </w:p>
    <w:p>
      <w:pPr>
        <w:spacing w:after="0" w:line="200" w:lineRule="exact"/>
        <w:rPr>
          <w:sz w:val="20"/>
          <w:szCs w:val="20"/>
          <w:color w:val="auto"/>
        </w:rPr>
      </w:pPr>
    </w:p>
    <w:p>
      <w:pPr>
        <w:spacing w:after="0" w:line="22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Severance and</w:t>
            </w:r>
          </w:p>
        </w:tc>
        <w:tc>
          <w:tcPr>
            <w:tcW w:w="11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Other exit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other payroll</w:t>
            </w:r>
          </w:p>
        </w:tc>
        <w:tc>
          <w:tcPr>
            <w:tcW w:w="260" w:type="dxa"/>
            <w:vAlign w:val="bottom"/>
          </w:tcPr>
          <w:p>
            <w:pPr>
              <w:spacing w:after="0"/>
              <w:rPr>
                <w:sz w:val="16"/>
                <w:szCs w:val="16"/>
                <w:color w:val="auto"/>
              </w:rPr>
            </w:pPr>
          </w:p>
        </w:tc>
        <w:tc>
          <w:tcPr>
            <w:tcW w:w="8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1"/>
              </w:rPr>
              <w:t>costs</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Liability at December 31, 2003</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$ 407,000</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 —</w:t>
            </w:r>
          </w:p>
        </w:tc>
        <w:tc>
          <w:tcPr>
            <w:tcW w:w="10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$ 407,000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Costs accrued</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188,000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188,000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Amounts paid or charged</w:t>
            </w:r>
          </w:p>
        </w:tc>
        <w:tc>
          <w:tcPr>
            <w:tcW w:w="1620" w:type="dxa"/>
            <w:vAlign w:val="bottom"/>
            <w:gridSpan w:val="5"/>
            <w:shd w:val="clear" w:color="auto" w:fill="EEEEEE"/>
          </w:tcPr>
          <w:p>
            <w:pPr>
              <w:jc w:val="right"/>
              <w:ind w:right="440"/>
              <w:spacing w:after="0"/>
              <w:rPr>
                <w:sz w:val="20"/>
                <w:szCs w:val="20"/>
                <w:color w:val="auto"/>
              </w:rPr>
            </w:pPr>
            <w:r>
              <w:rPr>
                <w:rFonts w:ascii="Arial" w:cs="Arial" w:eastAsia="Arial" w:hAnsi="Arial"/>
                <w:sz w:val="18"/>
                <w:szCs w:val="18"/>
                <w:color w:val="auto"/>
              </w:rPr>
              <w:t>(148,000)</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(148,000)</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Liability at March 31, 2004</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447,000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447,000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Costs accrued</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Amounts paid or charged</w:t>
            </w:r>
          </w:p>
        </w:tc>
        <w:tc>
          <w:tcPr>
            <w:tcW w:w="500" w:type="dxa"/>
            <w:vAlign w:val="bottom"/>
            <w:gridSpan w:val="2"/>
          </w:tcPr>
          <w:p>
            <w:pPr>
              <w:spacing w:after="0"/>
              <w:rPr>
                <w:sz w:val="19"/>
                <w:szCs w:val="19"/>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(72,000)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gridSpan w:val="5"/>
          </w:tcPr>
          <w:p>
            <w:pPr>
              <w:jc w:val="right"/>
              <w:ind w:right="320"/>
              <w:spacing w:after="0"/>
              <w:rPr>
                <w:sz w:val="20"/>
                <w:szCs w:val="20"/>
                <w:color w:val="auto"/>
              </w:rPr>
            </w:pPr>
            <w:r>
              <w:rPr>
                <w:rFonts w:ascii="Arial" w:cs="Arial" w:eastAsia="Arial" w:hAnsi="Arial"/>
                <w:sz w:val="18"/>
                <w:szCs w:val="18"/>
                <w:color w:val="auto"/>
              </w:rPr>
              <w:t>(72,000)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Liability at June 30, 2004</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$ 380,000</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 —</w:t>
            </w:r>
          </w:p>
        </w:tc>
        <w:tc>
          <w:tcPr>
            <w:tcW w:w="10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$ 380,000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-38100</wp:posOffset>
            </wp:positionV>
            <wp:extent cx="13271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715" cy="38735"/>
                    </a:xfrm>
                    <a:prstGeom prst="rect">
                      <a:avLst/>
                    </a:prstGeom>
                    <a:noFill/>
                  </pic:spPr>
                </pic:pic>
              </a:graphicData>
            </a:graphic>
          </wp:anchor>
        </w:drawing>
      </w:r>
    </w:p>
    <w:p>
      <w:pPr>
        <w:spacing w:after="0" w:line="192" w:lineRule="exact"/>
        <w:rPr>
          <w:sz w:val="20"/>
          <w:szCs w:val="20"/>
          <w:color w:val="auto"/>
        </w:rPr>
      </w:pPr>
    </w:p>
    <w:p>
      <w:pPr>
        <w:ind w:left="260" w:right="160"/>
        <w:spacing w:after="0" w:line="276" w:lineRule="auto"/>
        <w:rPr>
          <w:sz w:val="20"/>
          <w:szCs w:val="20"/>
          <w:color w:val="auto"/>
        </w:rPr>
      </w:pPr>
      <w:r>
        <w:rPr>
          <w:rFonts w:ascii="Arial" w:cs="Arial" w:eastAsia="Arial" w:hAnsi="Arial"/>
          <w:sz w:val="17"/>
          <w:szCs w:val="17"/>
          <w:color w:val="auto"/>
        </w:rPr>
        <w:t>In April 2003, Delta completed the relocation of its Columbus, Ohio operations to its facility in Poway, California. The consolidation has reduced costs without impacting the revenue generating activities of Delta. The Company recorded charges to operations in the quarter ended March 31, 2003, totaling $630,000 for severance and one-time termination benefits and $117,000 for contract termination costs primarily related to the leased facility. These charges are included in cost of sales ($47,000), research and development ($570,000) and selling, general and administrative expense ($130,000). Exit related costs charged to operations subsequent to the quarter ended March 31, 2003 were not significant.</w:t>
      </w:r>
    </w:p>
    <w:p>
      <w:pPr>
        <w:spacing w:after="0" w:line="16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229" w:lineRule="exact"/>
        <w:rPr>
          <w:rFonts w:ascii="Arial" w:cs="Arial" w:eastAsia="Arial" w:hAnsi="Arial"/>
          <w:sz w:val="18"/>
          <w:szCs w:val="18"/>
          <w:b w:val="1"/>
          <w:bCs w:val="1"/>
          <w:color w:val="auto"/>
        </w:rPr>
      </w:pPr>
    </w:p>
    <w:p>
      <w:pPr>
        <w:jc w:val="both"/>
        <w:ind w:left="2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January 13, 2003, the Company extended the term of a $9.2 million promissory note with TC Kearny Villa, L.P. (“TC”). The 8% non-recourse note was secured by a deed of trust on land and buildings in San Diego, California sold by Cohu to TC in April 2001. The note amendment extended the due date of the note to June 30, 2005 and provided for principal payments, assuming a 20-year amortization schedule, of $206,000 and $223,000 on April 1, 2003 and 2004, respectively. Interest at 8% was to continue to be paid monthly.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2004</w:t>
      </w:r>
    </w:p>
    <w:p>
      <w:pPr>
        <w:spacing w:after="0" w:line="211" w:lineRule="exact"/>
        <w:rPr>
          <w:sz w:val="20"/>
          <w:szCs w:val="20"/>
          <w:color w:val="auto"/>
        </w:rPr>
      </w:pPr>
    </w:p>
    <w:p>
      <w:pPr>
        <w:ind w:left="260" w:right="180"/>
        <w:spacing w:after="0" w:line="264" w:lineRule="auto"/>
        <w:rPr>
          <w:sz w:val="20"/>
          <w:szCs w:val="20"/>
          <w:color w:val="auto"/>
        </w:rPr>
      </w:pPr>
      <w:r>
        <w:rPr>
          <w:rFonts w:ascii="Arial" w:cs="Arial" w:eastAsia="Arial" w:hAnsi="Arial"/>
          <w:sz w:val="18"/>
          <w:szCs w:val="18"/>
          <w:color w:val="auto"/>
        </w:rPr>
        <w:t>In February 2004 the Company and TC entered into an agreement whereby the Company released its beneficial interest in the property securing the note receivable in exchange for full payment of the note and $272,000 of accrued interest. The Company received net cash proceeds from TC totaling $9,250,000 on February 19, 2004. The interest received was recorded as income in 2004.</w:t>
      </w:r>
    </w:p>
    <w:p>
      <w:pPr>
        <w:spacing w:after="0" w:line="17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29" w:lineRule="exact"/>
        <w:rPr>
          <w:rFonts w:ascii="Arial" w:cs="Arial" w:eastAsia="Arial" w:hAnsi="Arial"/>
          <w:sz w:val="18"/>
          <w:szCs w:val="18"/>
          <w:b w:val="1"/>
          <w:bCs w:val="1"/>
          <w:color w:val="auto"/>
        </w:rPr>
      </w:pPr>
    </w:p>
    <w:p>
      <w:pPr>
        <w:ind w:left="26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represents all non-owner changes in stockholders’ equity and consists of, on an after-tax basis where applicable, the following:</w:t>
      </w:r>
    </w:p>
    <w:p>
      <w:pPr>
        <w:spacing w:after="0" w:line="3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2"/>
                <w:szCs w:val="12"/>
                <w:color w:val="auto"/>
              </w:rPr>
            </w:pPr>
          </w:p>
        </w:tc>
        <w:tc>
          <w:tcPr>
            <w:tcW w:w="1720" w:type="dxa"/>
            <w:vAlign w:val="bottom"/>
            <w:gridSpan w:val="5"/>
          </w:tcPr>
          <w:p>
            <w:pPr>
              <w:jc w:val="right"/>
              <w:ind w:right="1080"/>
              <w:spacing w:after="0" w:line="149" w:lineRule="exact"/>
              <w:rPr>
                <w:sz w:val="20"/>
                <w:szCs w:val="20"/>
                <w:color w:val="auto"/>
              </w:rPr>
            </w:pPr>
            <w:r>
              <w:rPr>
                <w:rFonts w:ascii="Arial" w:cs="Arial" w:eastAsia="Arial" w:hAnsi="Arial"/>
                <w:sz w:val="14"/>
                <w:szCs w:val="14"/>
                <w:b w:val="1"/>
                <w:bCs w:val="1"/>
                <w:color w:val="auto"/>
              </w:rPr>
              <w:t>June 30,</w:t>
            </w:r>
          </w:p>
        </w:tc>
        <w:tc>
          <w:tcPr>
            <w:tcW w:w="116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1620" w:type="dxa"/>
            <w:vAlign w:val="bottom"/>
            <w:gridSpan w:val="5"/>
          </w:tcPr>
          <w:p>
            <w:pPr>
              <w:jc w:val="right"/>
              <w:ind w:right="102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3700" w:type="dxa"/>
            <w:vAlign w:val="bottom"/>
            <w:gridSpan w:val="2"/>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68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$6,942</w:t>
            </w:r>
          </w:p>
        </w:tc>
        <w:tc>
          <w:tcPr>
            <w:tcW w:w="18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$4,106</w:t>
            </w:r>
          </w:p>
        </w:tc>
        <w:tc>
          <w:tcPr>
            <w:tcW w:w="3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$9,040</w:t>
            </w:r>
          </w:p>
        </w:tc>
        <w:tc>
          <w:tcPr>
            <w:tcW w:w="160" w:type="dxa"/>
            <w:vAlign w:val="bottom"/>
            <w:shd w:val="clear" w:color="auto" w:fill="EEEEEE"/>
          </w:tcPr>
          <w:p>
            <w:pPr>
              <w:spacing w:after="0"/>
              <w:rPr>
                <w:sz w:val="18"/>
                <w:szCs w:val="18"/>
                <w:color w:val="auto"/>
              </w:rPr>
            </w:pPr>
          </w:p>
        </w:tc>
        <w:tc>
          <w:tcPr>
            <w:tcW w:w="1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$2,736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5"/>
              </w:rPr>
              <w:t>Change in unrealized gain (loss) on investments</w:t>
            </w:r>
          </w:p>
        </w:tc>
        <w:tc>
          <w:tcPr>
            <w:tcW w:w="760" w:type="dxa"/>
            <w:vAlign w:val="bottom"/>
            <w:gridSpan w:val="2"/>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720" w:type="dxa"/>
            <w:vAlign w:val="bottom"/>
            <w:gridSpan w:val="5"/>
          </w:tcPr>
          <w:p>
            <w:pPr>
              <w:jc w:val="right"/>
              <w:ind w:right="300"/>
              <w:spacing w:after="0"/>
              <w:rPr>
                <w:sz w:val="20"/>
                <w:szCs w:val="20"/>
                <w:color w:val="auto"/>
              </w:rPr>
            </w:pPr>
            <w:r>
              <w:rPr>
                <w:rFonts w:ascii="Arial" w:cs="Arial" w:eastAsia="Arial" w:hAnsi="Arial"/>
                <w:sz w:val="18"/>
                <w:szCs w:val="18"/>
                <w:color w:val="auto"/>
              </w:rPr>
              <w:t>(35)</w:t>
            </w:r>
          </w:p>
        </w:tc>
        <w:tc>
          <w:tcPr>
            <w:tcW w:w="1320" w:type="dxa"/>
            <w:vAlign w:val="bottom"/>
            <w:gridSpan w:val="4"/>
          </w:tcPr>
          <w:p>
            <w:pPr>
              <w:jc w:val="right"/>
              <w:ind w:right="120"/>
              <w:spacing w:after="0"/>
              <w:rPr>
                <w:sz w:val="20"/>
                <w:szCs w:val="20"/>
                <w:color w:val="auto"/>
              </w:rPr>
            </w:pPr>
            <w:r>
              <w:rPr>
                <w:rFonts w:ascii="Arial" w:cs="Arial" w:eastAsia="Arial" w:hAnsi="Arial"/>
                <w:sz w:val="18"/>
                <w:szCs w:val="18"/>
                <w:color w:val="auto"/>
              </w:rPr>
              <w:t>(86)</w:t>
            </w:r>
          </w:p>
        </w:tc>
        <w:tc>
          <w:tcPr>
            <w:tcW w:w="1620" w:type="dxa"/>
            <w:vAlign w:val="bottom"/>
            <w:gridSpan w:val="5"/>
          </w:tcPr>
          <w:p>
            <w:pPr>
              <w:jc w:val="right"/>
              <w:ind w:right="2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$6,855</w:t>
            </w:r>
          </w:p>
        </w:tc>
        <w:tc>
          <w:tcPr>
            <w:tcW w:w="180" w:type="dxa"/>
            <w:vAlign w:val="bottom"/>
            <w:shd w:val="clear" w:color="auto" w:fill="EEEEEE"/>
          </w:tcPr>
          <w:p>
            <w:pPr>
              <w:spacing w:after="0"/>
              <w:rPr>
                <w:sz w:val="19"/>
                <w:szCs w:val="19"/>
                <w:color w:val="auto"/>
              </w:rPr>
            </w:pPr>
          </w:p>
        </w:tc>
        <w:tc>
          <w:tcPr>
            <w:tcW w:w="13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$4,071</w:t>
            </w:r>
          </w:p>
        </w:tc>
        <w:tc>
          <w:tcPr>
            <w:tcW w:w="34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$8,954</w:t>
            </w:r>
          </w:p>
        </w:tc>
        <w:tc>
          <w:tcPr>
            <w:tcW w:w="160" w:type="dxa"/>
            <w:vAlign w:val="bottom"/>
            <w:shd w:val="clear" w:color="auto" w:fill="EEEEEE"/>
          </w:tcPr>
          <w:p>
            <w:pPr>
              <w:spacing w:after="0"/>
              <w:rPr>
                <w:sz w:val="19"/>
                <w:szCs w:val="19"/>
                <w:color w:val="auto"/>
              </w:rPr>
            </w:pPr>
          </w:p>
        </w:tc>
        <w:tc>
          <w:tcPr>
            <w:tcW w:w="1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$2,641</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60" w:right="80"/>
        <w:spacing w:after="0" w:line="277" w:lineRule="auto"/>
        <w:rPr>
          <w:sz w:val="20"/>
          <w:szCs w:val="20"/>
          <w:color w:val="auto"/>
        </w:rPr>
      </w:pPr>
      <w:r>
        <w:rPr>
          <w:rFonts w:ascii="Arial" w:cs="Arial" w:eastAsia="Arial" w:hAnsi="Arial"/>
          <w:sz w:val="18"/>
          <w:szCs w:val="18"/>
          <w:color w:val="auto"/>
        </w:rPr>
        <w:t>Accumulated other comprehensive income (loss) totaled $(62,000) and $24,000 at June 30, 2004 and December 31, 2003, respectively, and was attributed to after-tax unrealized losses and gains on investments.</w:t>
      </w:r>
    </w:p>
    <w:p>
      <w:pPr>
        <w:spacing w:after="0" w:line="166"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rFonts w:ascii="Arial" w:cs="Arial" w:eastAsia="Arial" w:hAnsi="Arial"/>
          <w:sz w:val="18"/>
          <w:szCs w:val="18"/>
          <w:b w:val="1"/>
          <w:bCs w:val="1"/>
          <w:color w:val="auto"/>
        </w:rPr>
      </w:pPr>
    </w:p>
    <w:p>
      <w:pPr>
        <w:ind w:left="26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summary of Cohu’s significant accounts and balances by segment, reconciled to consolidated totals. Intersegment sales were not significant in any period.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2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June 30,</w:t>
            </w:r>
          </w:p>
        </w:tc>
        <w:tc>
          <w:tcPr>
            <w:tcW w:w="5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5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43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880" w:type="dxa"/>
            <w:vAlign w:val="bottom"/>
            <w:vMerge w:val="restart"/>
          </w:tcPr>
          <w:p>
            <w:pPr>
              <w:spacing w:after="0"/>
              <w:rPr>
                <w:sz w:val="5"/>
                <w:szCs w:val="5"/>
                <w:color w:val="auto"/>
              </w:rPr>
            </w:pPr>
          </w:p>
        </w:tc>
        <w:tc>
          <w:tcPr>
            <w:tcW w:w="4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Net sales by segment:</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Semiconductor equipment</w:t>
            </w:r>
          </w:p>
        </w:tc>
        <w:tc>
          <w:tcPr>
            <w:tcW w:w="50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39,315</w:t>
            </w: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25,516</w:t>
            </w:r>
          </w:p>
        </w:tc>
        <w:tc>
          <w:tcPr>
            <w:tcW w:w="3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68,016</w:t>
            </w:r>
          </w:p>
        </w:tc>
        <w:tc>
          <w:tcPr>
            <w:tcW w:w="16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49,410</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Television cameras</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4,242</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9,941</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8,437</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Metal detection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2,863</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Microwave communications</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922</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2,453</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340" w:type="dxa"/>
            <w:vAlign w:val="bottom"/>
            <w:vMerge w:val="restart"/>
          </w:tcPr>
          <w:p>
            <w:pPr>
              <w:ind w:left="260"/>
              <w:spacing w:after="0"/>
              <w:rPr>
                <w:sz w:val="20"/>
                <w:szCs w:val="20"/>
                <w:color w:val="auto"/>
              </w:rPr>
            </w:pPr>
            <w:r>
              <w:rPr>
                <w:rFonts w:ascii="Arial" w:cs="Arial" w:eastAsia="Arial" w:hAnsi="Arial"/>
                <w:sz w:val="18"/>
                <w:szCs w:val="18"/>
                <w:color w:val="auto"/>
                <w:w w:val="90"/>
              </w:rPr>
              <w:t>Total consolidated net sales and net sales for reportable</w:t>
            </w: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80" w:type="dxa"/>
            <w:vAlign w:val="bottom"/>
          </w:tcPr>
          <w:p>
            <w:pPr>
              <w:spacing w:after="0"/>
              <w:rPr>
                <w:sz w:val="17"/>
                <w:szCs w:val="17"/>
                <w:color w:val="auto"/>
              </w:rPr>
            </w:pPr>
          </w:p>
        </w:tc>
        <w:tc>
          <w:tcPr>
            <w:tcW w:w="4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4340" w:type="dxa"/>
            <w:vAlign w:val="bottom"/>
          </w:tcPr>
          <w:p>
            <w:pPr>
              <w:ind w:left="400"/>
              <w:spacing w:after="0"/>
              <w:rPr>
                <w:sz w:val="20"/>
                <w:szCs w:val="20"/>
                <w:color w:val="auto"/>
              </w:rPr>
            </w:pPr>
            <w:r>
              <w:rPr>
                <w:rFonts w:ascii="Arial" w:cs="Arial" w:eastAsia="Arial" w:hAnsi="Arial"/>
                <w:sz w:val="18"/>
                <w:szCs w:val="18"/>
                <w:color w:val="auto"/>
              </w:rPr>
              <w:t>segments</w:t>
            </w:r>
          </w:p>
        </w:tc>
        <w:tc>
          <w:tcPr>
            <w:tcW w:w="50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47,337</w:t>
            </w:r>
          </w:p>
        </w:tc>
        <w:tc>
          <w:tcPr>
            <w:tcW w:w="10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32,084</w:t>
            </w:r>
          </w:p>
        </w:tc>
        <w:tc>
          <w:tcPr>
            <w:tcW w:w="3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83,276</w:t>
            </w:r>
          </w:p>
        </w:tc>
        <w:tc>
          <w:tcPr>
            <w:tcW w:w="16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63,163</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4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Segment profit (loss):</w:t>
            </w: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Semiconductor equipment</w:t>
            </w:r>
          </w:p>
        </w:tc>
        <w:tc>
          <w:tcPr>
            <w:tcW w:w="50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8,213</w:t>
            </w: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590</w:t>
            </w:r>
          </w:p>
        </w:tc>
        <w:tc>
          <w:tcPr>
            <w:tcW w:w="3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11,699</w:t>
            </w:r>
          </w:p>
        </w:tc>
        <w:tc>
          <w:tcPr>
            <w:tcW w:w="16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(1,232)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Television cameras</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304</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Metal detection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(320)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Microwave communications</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1"/>
              </w:rPr>
              <w:t>(1,701)</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340" w:type="dxa"/>
            <w:vAlign w:val="bottom"/>
            <w:vMerge w:val="restart"/>
          </w:tcPr>
          <w:p>
            <w:pPr>
              <w:ind w:left="260"/>
              <w:spacing w:after="0"/>
              <w:rPr>
                <w:sz w:val="20"/>
                <w:szCs w:val="20"/>
                <w:color w:val="auto"/>
              </w:rPr>
            </w:pPr>
            <w:r>
              <w:rPr>
                <w:rFonts w:ascii="Arial" w:cs="Arial" w:eastAsia="Arial" w:hAnsi="Arial"/>
                <w:sz w:val="18"/>
                <w:szCs w:val="18"/>
                <w:color w:val="auto"/>
              </w:rPr>
              <w:t>Profit (loss) for reportable segments</w:t>
            </w: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4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3"/>
              </w:rPr>
              <w:t>10,300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0"/>
              </w:rPr>
              <w:t>(2,071)</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Other unallocated amounts:</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Corporate expenses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(1,316)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(1,008)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442</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1,142</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Gain from sale of land held for future development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7,873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7,873</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Investment impairment writedown</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1"/>
              </w:rPr>
              <w:t>(2,500)</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1"/>
              </w:rPr>
              <w:t>(2,500)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340" w:type="dxa"/>
            <w:vAlign w:val="bottom"/>
            <w:vMerge w:val="restart"/>
          </w:tcPr>
          <w:p>
            <w:pPr>
              <w:ind w:left="260"/>
              <w:spacing w:after="0"/>
              <w:rPr>
                <w:sz w:val="20"/>
                <w:szCs w:val="20"/>
                <w:color w:val="auto"/>
              </w:rPr>
            </w:pPr>
            <w:r>
              <w:rPr>
                <w:rFonts w:ascii="Arial" w:cs="Arial" w:eastAsia="Arial" w:hAnsi="Arial"/>
                <w:sz w:val="18"/>
                <w:szCs w:val="18"/>
                <w:color w:val="auto"/>
              </w:rPr>
              <w:t>Income before income taxes</w:t>
            </w:r>
          </w:p>
        </w:tc>
        <w:tc>
          <w:tcPr>
            <w:tcW w:w="500" w:type="dxa"/>
            <w:vAlign w:val="bottom"/>
            <w:gridSpan w:val="2"/>
            <w:vMerge w:val="restart"/>
          </w:tcPr>
          <w:p>
            <w:pPr>
              <w:ind w:left="400"/>
              <w:spacing w:after="0"/>
              <w:rPr>
                <w:sz w:val="20"/>
                <w:szCs w:val="20"/>
                <w:color w:val="auto"/>
              </w:rPr>
            </w:pPr>
            <w:r>
              <w:rPr>
                <w:rFonts w:ascii="Arial" w:cs="Arial" w:eastAsia="Arial" w:hAnsi="Arial"/>
                <w:sz w:val="15"/>
                <w:szCs w:val="15"/>
                <w:color w:val="auto"/>
                <w:w w:val="71"/>
              </w:rPr>
              <w:t>$</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7,442</w:t>
            </w:r>
          </w:p>
        </w:tc>
        <w:tc>
          <w:tcPr>
            <w:tcW w:w="100" w:type="dxa"/>
            <w:vAlign w:val="bottom"/>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5,206</w:t>
            </w:r>
          </w:p>
        </w:tc>
        <w:tc>
          <w:tcPr>
            <w:tcW w:w="30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9,940</w:t>
            </w:r>
          </w:p>
        </w:tc>
        <w:tc>
          <w:tcPr>
            <w:tcW w:w="16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3,436</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880" w:type="dxa"/>
            <w:vAlign w:val="bottom"/>
          </w:tcPr>
          <w:p>
            <w:pPr>
              <w:spacing w:after="0"/>
              <w:rPr>
                <w:sz w:val="5"/>
                <w:szCs w:val="5"/>
                <w:color w:val="auto"/>
              </w:rPr>
            </w:pPr>
          </w:p>
        </w:tc>
        <w:tc>
          <w:tcPr>
            <w:tcW w:w="4340" w:type="dxa"/>
            <w:vAlign w:val="bottom"/>
          </w:tcPr>
          <w:p>
            <w:pPr>
              <w:spacing w:after="0"/>
              <w:rPr>
                <w:sz w:val="5"/>
                <w:szCs w:val="5"/>
                <w:color w:val="auto"/>
              </w:rPr>
            </w:pPr>
          </w:p>
        </w:tc>
        <w:tc>
          <w:tcPr>
            <w:tcW w:w="500" w:type="dxa"/>
            <w:vAlign w:val="bottom"/>
            <w:tcBorders>
              <w:right w:val="single" w:sz="8" w:color="808080"/>
            </w:tcBorders>
            <w:gridSpan w:val="2"/>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8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2004</w:t>
      </w:r>
    </w:p>
    <w:p>
      <w:pPr>
        <w:spacing w:after="0" w:line="392"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340" w:type="dxa"/>
            <w:vAlign w:val="bottom"/>
            <w:gridSpan w:val="3"/>
          </w:tcPr>
          <w:p>
            <w:pPr>
              <w:ind w:left="240"/>
              <w:spacing w:after="0"/>
              <w:rPr>
                <w:sz w:val="20"/>
                <w:szCs w:val="20"/>
                <w:color w:val="auto"/>
              </w:rPr>
            </w:pPr>
            <w:r>
              <w:rPr>
                <w:rFonts w:ascii="Arial" w:cs="Arial" w:eastAsia="Arial" w:hAnsi="Arial"/>
                <w:sz w:val="14"/>
                <w:szCs w:val="14"/>
                <w:b w:val="1"/>
                <w:bCs w:val="1"/>
                <w:color w:val="auto"/>
              </w:rPr>
              <w:t>June 30, 2004</w:t>
            </w:r>
          </w:p>
        </w:tc>
        <w:tc>
          <w:tcPr>
            <w:tcW w:w="240" w:type="dxa"/>
            <w:vAlign w:val="bottom"/>
          </w:tcPr>
          <w:p>
            <w:pPr>
              <w:spacing w:after="0"/>
              <w:rPr>
                <w:sz w:val="16"/>
                <w:szCs w:val="16"/>
                <w:color w:val="auto"/>
              </w:rPr>
            </w:pPr>
          </w:p>
        </w:tc>
        <w:tc>
          <w:tcPr>
            <w:tcW w:w="162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2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Total assets by segment:</w:t>
            </w:r>
          </w:p>
        </w:tc>
        <w:tc>
          <w:tcPr>
            <w:tcW w:w="2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Semiconductor equipment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$100,276</w:t>
            </w: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89,926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Television cameras</w:t>
            </w: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9,498</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8,266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Metal detection</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4,107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Microwave communications</w:t>
            </w:r>
          </w:p>
        </w:tc>
        <w:tc>
          <w:tcPr>
            <w:tcW w:w="620" w:type="dxa"/>
            <w:vAlign w:val="bottom"/>
            <w:tcBorders>
              <w:right w:val="single" w:sz="8" w:color="EEEEEE"/>
            </w:tcBorders>
            <w:gridSpan w:val="2"/>
            <w:shd w:val="clear" w:color="auto" w:fill="EEEEEE"/>
          </w:tcPr>
          <w:p>
            <w:pPr>
              <w:spacing w:after="0"/>
              <w:rPr>
                <w:sz w:val="18"/>
                <w:szCs w:val="18"/>
                <w:color w:val="auto"/>
              </w:rPr>
            </w:pPr>
          </w:p>
        </w:tc>
        <w:tc>
          <w:tcPr>
            <w:tcW w:w="6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6,821</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7,681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40" w:type="dxa"/>
            <w:vAlign w:val="bottom"/>
          </w:tcPr>
          <w:p>
            <w:pPr>
              <w:ind w:left="260"/>
              <w:spacing w:after="0"/>
              <w:rPr>
                <w:sz w:val="20"/>
                <w:szCs w:val="20"/>
                <w:color w:val="auto"/>
              </w:rPr>
            </w:pPr>
            <w:r>
              <w:rPr>
                <w:rFonts w:ascii="Arial" w:cs="Arial" w:eastAsia="Arial" w:hAnsi="Arial"/>
                <w:sz w:val="18"/>
                <w:szCs w:val="18"/>
                <w:color w:val="auto"/>
              </w:rPr>
              <w:t>Total assets for reportable segments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120,702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109,440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Corporate, principally cash and investments and deferred taxes</w:t>
            </w:r>
          </w:p>
        </w:tc>
        <w:tc>
          <w:tcPr>
            <w:tcW w:w="620" w:type="dxa"/>
            <w:vAlign w:val="bottom"/>
            <w:tcBorders>
              <w:right w:val="single" w:sz="8" w:color="EEEEEE"/>
            </w:tcBorders>
            <w:gridSpan w:val="2"/>
            <w:shd w:val="clear" w:color="auto" w:fill="EEEEEE"/>
          </w:tcPr>
          <w:p>
            <w:pPr>
              <w:spacing w:after="0"/>
              <w:rPr>
                <w:sz w:val="18"/>
                <w:szCs w:val="18"/>
                <w:color w:val="auto"/>
              </w:rPr>
            </w:pPr>
          </w:p>
        </w:tc>
        <w:tc>
          <w:tcPr>
            <w:tcW w:w="6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119,071</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111,290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260" w:type="dxa"/>
            <w:vAlign w:val="bottom"/>
            <w:gridSpan w:val="2"/>
          </w:tcPr>
          <w:p>
            <w:pPr>
              <w:spacing w:after="0"/>
              <w:rPr>
                <w:sz w:val="20"/>
                <w:szCs w:val="20"/>
                <w:color w:val="auto"/>
              </w:rPr>
            </w:pPr>
            <w:r>
              <w:rPr>
                <w:rFonts w:ascii="Arial" w:cs="Arial" w:eastAsia="Arial" w:hAnsi="Arial"/>
                <w:sz w:val="18"/>
                <w:szCs w:val="18"/>
                <w:color w:val="auto"/>
              </w:rPr>
              <w:t>Total consolidated assets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$239,773</w:t>
            </w:r>
          </w:p>
        </w:tc>
        <w:tc>
          <w:tcPr>
            <w:tcW w:w="3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220,730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40" w:hanging="327"/>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rFonts w:ascii="Arial" w:cs="Arial" w:eastAsia="Arial" w:hAnsi="Arial"/>
          <w:sz w:val="18"/>
          <w:szCs w:val="18"/>
          <w:b w:val="1"/>
          <w:bCs w:val="1"/>
          <w:color w:val="auto"/>
        </w:rPr>
      </w:pPr>
    </w:p>
    <w:p>
      <w:pPr>
        <w:ind w:left="340" w:right="4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is currently subject to various legal proceedings, lawsuits, examinations by various tax authorities and claims that have arisen in the ordinary course of its businesses. Although the outcome of these legal proceedings, claims and examinations cannot be predicted with certainty, the Company does not believe that any of these matters will have a material adverse effect on its financial position or results of its operations.</w:t>
      </w:r>
    </w:p>
    <w:p>
      <w:pPr>
        <w:spacing w:after="0" w:line="142" w:lineRule="exact"/>
        <w:rPr>
          <w:rFonts w:ascii="Arial" w:cs="Arial" w:eastAsia="Arial" w:hAnsi="Arial"/>
          <w:sz w:val="18"/>
          <w:szCs w:val="18"/>
          <w:b w:val="1"/>
          <w:bCs w:val="1"/>
          <w:color w:val="auto"/>
        </w:rPr>
      </w:pPr>
    </w:p>
    <w:p>
      <w:pPr>
        <w:ind w:left="340" w:hanging="317"/>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Cohu products are generally sold with a 12-month to 24-month warranty period following sale or installation. Parts and labor are covered under the terms of the warranty agreement. The warranty provision is based on historical experience by product and configuration.</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three and six months ended June 30, 2004 and 2003 were as follows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6"/>
                <w:szCs w:val="16"/>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78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$ 3,479</w:t>
            </w:r>
          </w:p>
        </w:tc>
        <w:tc>
          <w:tcPr>
            <w:tcW w:w="62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$ 2,878</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20"/>
              <w:spacing w:after="0"/>
              <w:rPr>
                <w:sz w:val="20"/>
                <w:szCs w:val="20"/>
                <w:color w:val="auto"/>
              </w:rPr>
            </w:pPr>
            <w:r>
              <w:rPr>
                <w:rFonts w:ascii="Arial" w:cs="Arial" w:eastAsia="Arial" w:hAnsi="Arial"/>
                <w:sz w:val="18"/>
                <w:szCs w:val="18"/>
                <w:color w:val="auto"/>
              </w:rPr>
              <w:t>Warranty expense accruals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6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1,081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Warranty payments</w:t>
            </w:r>
          </w:p>
        </w:tc>
        <w:tc>
          <w:tcPr>
            <w:tcW w:w="6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w w:val="91"/>
              </w:rPr>
              <w:t>(1,255)</w:t>
            </w:r>
          </w:p>
        </w:tc>
        <w:tc>
          <w:tcPr>
            <w:tcW w:w="2180" w:type="dxa"/>
            <w:vAlign w:val="bottom"/>
            <w:gridSpan w:val="4"/>
            <w:shd w:val="clear" w:color="auto" w:fill="EEEEEE"/>
          </w:tcPr>
          <w:p>
            <w:pPr>
              <w:jc w:val="right"/>
              <w:ind w:right="58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37"/>
        </w:trPr>
        <w:tc>
          <w:tcPr>
            <w:tcW w:w="5800" w:type="dxa"/>
            <w:vAlign w:val="bottom"/>
            <w:gridSpan w:val="2"/>
          </w:tcPr>
          <w:p>
            <w:pPr>
              <w:spacing w:after="0"/>
              <w:rPr>
                <w:sz w:val="20"/>
                <w:szCs w:val="20"/>
                <w:color w:val="auto"/>
              </w:rPr>
            </w:pPr>
            <w:r>
              <w:rPr>
                <w:rFonts w:ascii="Arial" w:cs="Arial" w:eastAsia="Arial" w:hAnsi="Arial"/>
                <w:sz w:val="18"/>
                <w:szCs w:val="18"/>
                <w:color w:val="auto"/>
              </w:rPr>
              <w:t>Balance, March 31</w:t>
            </w:r>
          </w:p>
        </w:tc>
        <w:tc>
          <w:tcPr>
            <w:tcW w:w="620" w:type="dxa"/>
            <w:vAlign w:val="bottom"/>
          </w:tcPr>
          <w:p>
            <w:pPr>
              <w:spacing w:after="0"/>
              <w:rPr>
                <w:sz w:val="20"/>
                <w:szCs w:val="20"/>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3,630</w:t>
            </w:r>
          </w:p>
        </w:tc>
        <w:tc>
          <w:tcPr>
            <w:tcW w:w="62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7"/>
              </w:rPr>
              <w:t>2,887</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Warranty expense accruals</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1,702</w:t>
            </w:r>
          </w:p>
        </w:tc>
        <w:tc>
          <w:tcPr>
            <w:tcW w:w="62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1,308</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20"/>
              <w:spacing w:after="0"/>
              <w:rPr>
                <w:sz w:val="20"/>
                <w:szCs w:val="20"/>
                <w:color w:val="auto"/>
              </w:rPr>
            </w:pPr>
            <w:r>
              <w:rPr>
                <w:rFonts w:ascii="Arial" w:cs="Arial" w:eastAsia="Arial" w:hAnsi="Arial"/>
                <w:sz w:val="18"/>
                <w:szCs w:val="18"/>
                <w:color w:val="auto"/>
              </w:rPr>
              <w:t>Warranty payments</w:t>
            </w:r>
          </w:p>
        </w:tc>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(1,270)</w:t>
            </w:r>
          </w:p>
        </w:tc>
        <w:tc>
          <w:tcPr>
            <w:tcW w:w="2180" w:type="dxa"/>
            <w:vAlign w:val="bottom"/>
            <w:gridSpan w:val="4"/>
          </w:tcPr>
          <w:p>
            <w:pPr>
              <w:jc w:val="right"/>
              <w:ind w:right="58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Balance, June 30</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$ 4,062</w:t>
            </w:r>
          </w:p>
        </w:tc>
        <w:tc>
          <w:tcPr>
            <w:tcW w:w="62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$ 2,909</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7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480" w:type="dxa"/>
            <w:vAlign w:val="bottom"/>
            <w:tcBorders>
              <w:top w:val="single" w:sz="8" w:color="808080"/>
            </w:tcBorders>
            <w:shd w:val="clear" w:color="auto" w:fill="808080"/>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480" w:type="dxa"/>
            <w:vAlign w:val="bottom"/>
            <w:tcBorders>
              <w:top w:val="single" w:sz="8" w:color="808080"/>
            </w:tcBorders>
            <w:shd w:val="clear" w:color="auto" w:fill="808080"/>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40" w:right="120"/>
        <w:spacing w:after="0" w:line="257" w:lineRule="auto"/>
        <w:rPr>
          <w:sz w:val="20"/>
          <w:szCs w:val="20"/>
          <w:color w:val="auto"/>
        </w:rPr>
      </w:pPr>
      <w:r>
        <w:rPr>
          <w:rFonts w:ascii="Arial" w:cs="Arial" w:eastAsia="Arial" w:hAnsi="Arial"/>
          <w:sz w:val="18"/>
          <w:szCs w:val="18"/>
          <w:color w:val="auto"/>
        </w:rPr>
        <w:t>During the ordinary course of business, Cohu also provides standby letters of credit to certain parties as required. As of June 30, 2004, the maximum potential amount of future payments that Cohu could be required to make under these standby letters of credit is approximately $2.5 million. Cohu has not recorded any liability in connection with these guarantee arrangements beyond that required to appropriately account for the underlying transaction being guaranteed. Cohu does not believe, based on historical experience and information currently available, that it is probable that any amounts will be required to be paid under these arrangements.</w:t>
      </w:r>
    </w:p>
    <w:p>
      <w:pPr>
        <w:spacing w:after="0" w:line="184" w:lineRule="exact"/>
        <w:rPr>
          <w:sz w:val="20"/>
          <w:szCs w:val="20"/>
          <w:color w:val="auto"/>
        </w:rPr>
      </w:pPr>
    </w:p>
    <w:p>
      <w:pPr>
        <w:ind w:left="340" w:hanging="327"/>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rFonts w:ascii="Arial" w:cs="Arial" w:eastAsia="Arial" w:hAnsi="Arial"/>
          <w:sz w:val="18"/>
          <w:szCs w:val="18"/>
          <w:b w:val="1"/>
          <w:bCs w:val="1"/>
          <w:color w:val="auto"/>
        </w:rPr>
      </w:pPr>
    </w:p>
    <w:p>
      <w:pPr>
        <w:ind w:left="34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July 20, 2004, the Cohu Board of Directors declared a $0.05 per share cash dividend payable November 5, 2004 to stockholders of record on September 10, 2004.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2004</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“intend” and similar expressions are intended to identify such statements. Although the forward-looking statements in this Form 10-Q reflect the good faith judgment of our management, such statements are subject to various risks and uncertainties, including but not limited to those discussed herein and, in particular, under the caption “Trends, Risks and Uncertainties” that could cause actual results to differ materially from those projected.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Cohu’s primary business activity involves the development, manufacture, marketing, sale and servicing of test handling equipment for the global semiconductor industry. During the three-year period ended December 31, 2003, the semiconductor equipment industry experienced a severe business downturn. Our net sales in each of the last three years declined more than 50% from the record 2000 year. This decrease in revenue was generally comparable to most other companies in the semiconductor equipment industry, particularly the “back-end” semiconductor equipment companies that would be considered the closest to Cohu in terms of business cycles.</w:t>
      </w:r>
    </w:p>
    <w:p>
      <w:pPr>
        <w:spacing w:after="0" w:line="14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the six months ended June 30, 2004, Cohu’s semiconductor equipment business, as well as the semiconductor equipment industry, saw significantly improved order bookings and backlog, an indication that the severe three-year industry downturn had ended. Additionally, our operating results improved during the period in part due to improved sales product mix resulting in a higher gross margin.</w:t>
      </w:r>
    </w:p>
    <w:p>
      <w:pPr>
        <w:spacing w:after="0" w:line="14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operating results in the last three years have been impacted by charges to cost of sales related to excess and obsolete and lower of cost or market inventory issues. These charges totaled approximately $24.5 million during the three-year period ended December 31, 2003 (approximately $1.1 million, net, in the six months ended June 30, 2004) and were primarily the result of decreases in customer forecasts, competitive conditions in the test handler industry and, to a lesser extent, changes in our sales product mix as a result of new product introductions. Exposures related to inventories are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14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other operating costs consist of research and development (“R&amp;D”) and selling, general and administrative expenses (“SG&amp;A”). SG&amp;A has been relatively consistent during the last three years while our R&amp;D expense declined in 2003, in part as a result of the closure of our Columbus, Ohio engineering operation.</w:t>
      </w:r>
    </w:p>
    <w:p>
      <w:pPr>
        <w:spacing w:after="0" w:line="14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non-semiconductor equipment businesses have comprised approximately 20% of our revenues during the last three years. The operating results of these businesses have deteriorated over the last several years and they accounted for a significant portion of our loss from operations in 2003.</w:t>
      </w:r>
    </w:p>
    <w:p>
      <w:pPr>
        <w:spacing w:after="0" w:line="10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financial condition is very strong with significant cash and short-term investments and no long-term debt. Despite the severe downturn in the semiconductor equipment industry, during the three-year period ended December 31, 2003 we generated $30.7 million of net cash from operating activities and total cash and investments have increased from $92.6 million at December 31, 2000 to $115.6 million at June 30, 2004.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Cohu’s discussion and analysis of its financial condition and results of operations are based upon Cohu’s consolidated financial statements, which have been prepared in accordance with accounting principles generally accepted in the United States of America. The preparation of these financial statements requires Cohu to make estimates and judgments that affect the reported amounts of assets, liabilities, revenues and expenses, and related disclosure of contingent assets and liabilities. On an on-going basis, Cohu evaluates its estimates, including those related to bad debts, inventories, intangible assets, income taxes, warranty obligations and contingencies and litigation. Cohu bases its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in the Cohu Annual Report on Form 10-K for the year ended December 31, 2003 filed with the Securities and Exchange Commission, affect the significant judgments and estimates used in the preparation of its consolidated financial statements.</w:t>
      </w:r>
    </w:p>
    <w:p>
      <w:pPr>
        <w:spacing w:after="0" w:line="12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Cohu generally recognizes revenue upon shipment and title passage for established products (i.e., those that have previously satisfied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Cohu maintains an allowance for doubtful accounts for estimated losses resulting from the inability of its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Cohu’s customers deteriorates, resulting in an impairment of their ability to make payments, additional allowances may be required.</w:t>
      </w:r>
    </w:p>
    <w:p>
      <w:pPr>
        <w:spacing w:after="0" w:line="14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Cohu provides for the estimated costs of product warranties in the period sales are recognized. Cohu’s warranty obligation estimates are affected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historical 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w:t>
      </w:r>
    </w:p>
    <w:p>
      <w:pPr>
        <w:spacing w:after="0" w:line="10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Cohu records valuation reserves on its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or more favorable than those projected by management or if continued modifications to products are required to meet specifications or other customer requirements, changes to inventory reserves may be required.</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Cohu estimates income taxes based on the various jurisdictions where we conduct business. This requires us to estimate our actual current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a valuation allowance or increasing this allowance in an accounting period results in tax expense in the statement of income. Cohu must make significant judgments to determine the provision for income taxes, deferred tax assets and liabilities and any valuation allowance to be recorded against net deferred tax assets. Our net deferred tax asset balance as of December 31, 2003 was $3.1 million, net of a valuation allowance of $11.7 million. We recorded the valuation allowance in the fourth quarters of 2002 and 2003 as a result of our recent losses and to reflect uncertainties concerning our ability to generate future taxable income and our corresponding ability to utilize our deferred tax assets. The deferred tax assets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consist primarily of deductible temporary differences, tax credit and net operating loss carryforwards.</w:t>
      </w:r>
    </w:p>
    <w:p>
      <w:pPr>
        <w:spacing w:after="0" w:line="1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At June 30, 2004, intangible assets other than goodwill were evaluated for impairment using undiscounted cash flows expected to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use of the assets as required by FASB Statement No. 144 and we concluded there was no impairment loss. Cohu is required to assess goodwill impairment using the methodology prescribed by FASB Statement No. 142. Statement No. 142 requires that goodwill be tested for impairment on an annual basis and more frequently in certain circumstances. The required annual goodwill impairment test is performed as of October 1 of each year. Cohu did not recognize any goodwill impairment as a result of performing this annual test.</w:t>
      </w:r>
    </w:p>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Cohu is subject to certain contingencies that arise in the ordinary course of its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we assess the likelihood that future events will confirm the existence of a loss or an impairment of an asset. If a loss or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is probable, as defined in Statement No. 5 and the amount of the loss or impairment is reasonably estimable, we accrue a charge to operations in the period such conditions become known.</w:t>
      </w:r>
    </w:p>
    <w:p>
      <w:pPr>
        <w:spacing w:after="0" w:line="16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 xml:space="preserve">Recent Accounting Pronouncement: </w:t>
      </w:r>
      <w:r>
        <w:rPr>
          <w:rFonts w:ascii="Arial" w:cs="Arial" w:eastAsia="Arial" w:hAnsi="Arial"/>
          <w:sz w:val="16"/>
          <w:szCs w:val="16"/>
          <w:color w:val="auto"/>
        </w:rPr>
        <w:t>In March 2004, the FASB issued an exposure document entitled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Share-Based Payment — an amendment of Statements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No. 123 and 95 (Proposed Statement of Financial Accounting Standards)</w:t>
      </w:r>
      <w:r>
        <w:rPr>
          <w:rFonts w:ascii="Arial" w:cs="Arial" w:eastAsia="Arial" w:hAnsi="Arial"/>
          <w:sz w:val="16"/>
          <w:szCs w:val="16"/>
          <w:color w:val="auto"/>
        </w:rPr>
        <w:t>. The proposed Statement would eliminate the ability to account for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transactions using APB Opinion No. 25 and generally require instead that such transactions be accounted for using a fair-value-based method. This accounting, if approved, will result in significant compensation expense charges to our future results of operations. The proposed Statement, if adopted, would be applied to public entities prospectively for fiscal years beginning after December 15, 2004, as if all share-based compensation awards granted, modified, or settled after December 15, 1994, had been accounted for using the fair-value method of accounting.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as a percentage of net sales for the three and six month periods ended June 30.</w:t>
      </w:r>
    </w:p>
    <w:p>
      <w:pPr>
        <w:spacing w:after="0" w:line="3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434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6"/>
                <w:szCs w:val="16"/>
                <w:color w:val="auto"/>
              </w:rPr>
            </w:pPr>
          </w:p>
        </w:tc>
      </w:tr>
      <w:tr>
        <w:trPr>
          <w:trHeight w:val="53"/>
        </w:trPr>
        <w:tc>
          <w:tcPr>
            <w:tcW w:w="43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r>
      <w:tr>
        <w:trPr>
          <w:trHeight w:val="75"/>
        </w:trPr>
        <w:tc>
          <w:tcPr>
            <w:tcW w:w="4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r>
      <w:tr>
        <w:trPr>
          <w:trHeight w:val="216"/>
        </w:trPr>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78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100.0%</w:t>
            </w:r>
          </w:p>
        </w:tc>
        <w:tc>
          <w:tcPr>
            <w:tcW w:w="114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100.0%</w:t>
            </w:r>
          </w:p>
        </w:tc>
        <w:tc>
          <w:tcPr>
            <w:tcW w:w="114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100.0%</w:t>
            </w:r>
          </w:p>
        </w:tc>
        <w:tc>
          <w:tcPr>
            <w:tcW w:w="114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100.0%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Cost of sales</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55.8%</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65.8%</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57.0%</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66.2%</w:t>
            </w:r>
          </w:p>
        </w:tc>
      </w:tr>
      <w:tr>
        <w:trPr>
          <w:trHeight w:val="21"/>
        </w:trPr>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78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44.2%</w:t>
            </w:r>
          </w:p>
        </w:tc>
        <w:tc>
          <w:tcPr>
            <w:tcW w:w="114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34.2%</w:t>
            </w:r>
          </w:p>
        </w:tc>
        <w:tc>
          <w:tcPr>
            <w:tcW w:w="114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43.0%</w:t>
            </w:r>
          </w:p>
        </w:tc>
        <w:tc>
          <w:tcPr>
            <w:tcW w:w="114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33.8%</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13.9%</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17.3%</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15.3%</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19.8%</w:t>
            </w:r>
          </w:p>
        </w:tc>
      </w:tr>
      <w:tr>
        <w:trPr>
          <w:trHeight w:val="216"/>
        </w:trPr>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15.3%</w:t>
            </w:r>
          </w:p>
        </w:tc>
        <w:tc>
          <w:tcPr>
            <w:tcW w:w="114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18.8%</w:t>
            </w:r>
          </w:p>
        </w:tc>
        <w:tc>
          <w:tcPr>
            <w:tcW w:w="114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16.9%</w:t>
            </w:r>
          </w:p>
        </w:tc>
        <w:tc>
          <w:tcPr>
            <w:tcW w:w="114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18.9%</w:t>
            </w:r>
          </w:p>
        </w:tc>
      </w:tr>
      <w:tr>
        <w:trPr>
          <w:trHeight w:val="20"/>
        </w:trPr>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3"/>
        </w:trPr>
        <w:tc>
          <w:tcPr>
            <w:tcW w:w="43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10.8%</w:t>
            </w: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(4.9)%</w:t>
            </w:r>
          </w:p>
        </w:tc>
      </w:tr>
      <w:tr>
        <w:trPr>
          <w:trHeight w:val="61"/>
        </w:trPr>
        <w:tc>
          <w:tcPr>
            <w:tcW w:w="4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2004 Compared to Second Quarter 2003</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net sales increased 48% to $47.3 million in 2004, compared to net sales of $32.1 million in 2003. Sales of semiconductor test handling equipment in 2004 increased 54% from the 2003 period and accounted for 83% of consolidated net sales in 2004, versus 80% in 2003. Sales of television cameras and other equipment accounted for 11% of net sales in 2004 and increased 26% when compared to 2003, while the combined sales of metal detection and microwave equipment increased 15%.</w:t>
      </w:r>
    </w:p>
    <w:p>
      <w:pPr>
        <w:spacing w:after="0" w:line="16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At June 30, 2004, the Company had deferred revenue totaling approximately $22.2 million and deferred profit of $9.8 million. At December 31, 2003, the Company had deferred revenue totaling approximately $9.3 million and deferred profit of $4.1 million. The increase in deferred revenue and profit is primarily related to the deferral of revenue on certain new semiconductor test handlers and microwave communications equipment that have been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shipped and installed and are awaiting customer acceptance.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Gross margin as a percentage of net sales increased to 44.2% in 2004 from 34.2% in 2003, as a result of higher margins in the semiconductor equipment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business. Within the semiconductor equipment segment, margins increased in 2004, primarily as a result of changes in product mix, reduced charges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excess and obsolete inventory and increased business volume. Cohu computes the majority of its excess and obsolete inventory reserve requirements using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one-year inventory usage forecast. During 2004 and 2003, we recorded net charges to cost of sales of approximately $0.9 million and $2.5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for excess and obsolete inventory. While we believe our reserves for excess and obsolete inventory are adequate to cover our exposures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June 30, 2004, reductions in customer forecasts or continued modifications to products, including our newest handler Delta </w:t>
      </w:r>
      <w:r>
        <w:rPr>
          <w:rFonts w:ascii="Arial" w:cs="Arial" w:eastAsia="Arial" w:hAnsi="Arial"/>
          <w:sz w:val="16"/>
          <w:szCs w:val="16"/>
          <w:b w:val="1"/>
          <w:bCs w:val="1"/>
          <w:i w:val="1"/>
          <w:iCs w:val="1"/>
          <w:color w:val="auto"/>
        </w:rPr>
        <w:t>EDGE</w:t>
      </w:r>
      <w:r>
        <w:rPr>
          <w:rFonts w:ascii="Arial" w:cs="Arial" w:eastAsia="Arial" w:hAnsi="Arial"/>
          <w:sz w:val="16"/>
          <w:szCs w:val="16"/>
          <w:color w:val="auto"/>
        </w:rPr>
        <w:t>™, may require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to operations that could negatively impact our gross margin in future periods. Conversely, if our actual inventory usage is greater than our forecasted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usage, our gross margin may be favorably impacted in future periods.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2003, we recorded a charge to cost of sales of approximately $1.7 million as a result of inventory market valuation writedowns. In the quarter ended June 30, 2004, we sold certain of this inventory and our gross margin was favorably impacted by approximately $0.4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R&amp;D expense as a percentage of net sales was 13.9% in 2004, compared to 17.3% in 2003, increasing in absolute dollars from $5.6 million in 2003 to $6.6 million in 2004. The increase in R&amp;D was primarily the result of higher R&amp;D labor and material costs for product development in the semiconductor equipment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SG&amp;A expense as a percentage of net sales decreased to 15.3% in 2004, from 18.8% in 2003, increasing in absolute dollars from $6.0 million in 2003 to $7.2 million in 2004. The increase in SG&amp;A expense was primarily related to increased business volume and a provision for bad debt expense of $0.4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ind w:right="900"/>
        <w:spacing w:after="0" w:line="454" w:lineRule="auto"/>
        <w:rPr>
          <w:sz w:val="20"/>
          <w:szCs w:val="20"/>
          <w:color w:val="auto"/>
        </w:rPr>
      </w:pPr>
      <w:r>
        <w:rPr>
          <w:rFonts w:ascii="Arial" w:cs="Arial" w:eastAsia="Arial" w:hAnsi="Arial"/>
          <w:sz w:val="18"/>
          <w:szCs w:val="18"/>
          <w:color w:val="auto"/>
        </w:rPr>
        <w:t xml:space="preserve">Interest income was $0.3 million and $0.4 million in 2004 and 2003, respectively. The decrease in interest income was due to lower interest rates. </w:t>
      </w:r>
      <w:r>
        <w:rPr>
          <w:rFonts w:ascii="Arial" w:cs="Arial" w:eastAsia="Arial" w:hAnsi="Arial"/>
          <w:sz w:val="18"/>
          <w:szCs w:val="18"/>
          <w:b w:val="1"/>
          <w:bCs w:val="1"/>
          <w:i w:val="1"/>
          <w:iCs w:val="1"/>
          <w:color w:val="auto"/>
        </w:rPr>
        <w:t>Income Taxes</w:t>
      </w:r>
    </w:p>
    <w:p>
      <w:pPr>
        <w:spacing w:after="0" w:line="289" w:lineRule="auto"/>
        <w:rPr>
          <w:sz w:val="20"/>
          <w:szCs w:val="20"/>
          <w:color w:val="auto"/>
        </w:rPr>
      </w:pPr>
      <w:r>
        <w:rPr>
          <w:rFonts w:ascii="Arial" w:cs="Arial" w:eastAsia="Arial" w:hAnsi="Arial"/>
          <w:sz w:val="16"/>
          <w:szCs w:val="16"/>
          <w:color w:val="auto"/>
        </w:rPr>
        <w:t xml:space="preserve">The provision for income taxes expressed as a percentage of pre-tax income was 6.7% in 2004 and 21.1% in 2003. The provision for income taxes is based on the estimated effective tax rate for the entire year and in 2004 is lower than the U.S. federal statutory rate primarily due to the significant deferred tax valuation allowance recorded at December 31, 2003. The estimated effective tax rate is subject to adjustment in subsequent quarterly periods as the Company’s estimates of pretax income or loss for the year are increased or decreased. In accordance with FASB Statement No. 109, </w:t>
      </w:r>
      <w:r>
        <w:rPr>
          <w:rFonts w:ascii="Arial" w:cs="Arial" w:eastAsia="Arial" w:hAnsi="Arial"/>
          <w:sz w:val="16"/>
          <w:szCs w:val="16"/>
          <w:i w:val="1"/>
          <w:iCs w:val="1"/>
          <w:color w:val="auto"/>
        </w:rPr>
        <w:t>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net deferred tax assets are reduced by a valuation allowance, if based on all the available evidence, it is more likely than not that some or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assets will not be realized. A valuation allowance of $11,704,000 had been provided on deferred tax assets at December 31, 2003, primarily due to uncertainties of realizing net deferred tax assets in excess of income expected to be generated from future income and certain tax planning strategies. The Company determined that the valuation allowance was required based upon its recent losses, and the likelihood of generating sufficient additional taxable income in future years to obtain benefit from the reversal of temporary differences and net operating loss and tax credit carryforwards.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June 30, 2004, the Company reassessed the appropriateness of the valuation allowance. We concluded that,</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2004</w:t>
      </w:r>
    </w:p>
    <w:p>
      <w:pPr>
        <w:spacing w:after="0" w:line="18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despite the improvement in operating results that were significantly better than forecast, it would be premature to reverse the valuation allowance that existed at December 31, 2003 other than to the extent necessary to reduce current tax expense generated by 2004 income. The Company will continue to assess the appropriateness of the valuation allowance in the third and fourth quarters of 2004. The Company may adjust the allowance if, based on a careful assessment of business prospects and estimates of future income, the Company concludes that all or a portion of the allowance is no longer required. A reduction in the allowance would result in a corresponding credit to income tax expense.</w:t>
      </w:r>
    </w:p>
    <w:p>
      <w:pPr>
        <w:spacing w:after="0" w:line="13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IRS is currently conducting a routine examination of Cohu’s consolidated tax returns for the period 2000 through 2002. The Company expects the IRS examination to be completed in 2004. If the examination is concluded in 2004, any adjustments that result from the IRS examination will be reflected in the Company’s 2004 results of operations. The Company believes that such adjustments, if any, are adequately provided for in the consolidated financial statements. A favorable outcome from the examination would result in a credit to income tax expense in the quarter the examination is concluded.</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derived significant tax benefits from the research credit under Section 41 of the Internal Revenue Code and the Extraterritorial Income Exclusion (ETI). The research credit expired on June 30, 2004 and the ETI is likely to be repealed due to pressure from the World Trade Organization. If the ETI is repealed and replacement legislation is not enacted and/or the research credit is not extended beyond June 30, 2004, the Company’s future tax rate will be adversely impacted.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8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On April 10, 2003, Cohu announced that its Delta Design subsidiary was relocating its Littleton, Massachusetts operation to its headquarters facility in Poway, California. The consolidation was substantially complete by March 31, 2004. Cohu incurred charges of approximately $0.3 million in the second quarter of 2003 and $0.2 million in the first quarter of 2004, for severance and other related exit costs.</w:t>
      </w:r>
    </w:p>
    <w:p>
      <w:pPr>
        <w:spacing w:after="0" w:line="1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April 2003, Cohu’s Delta Design subsidiary completed the relocation of its Columbus, Ohio operations to its headquarters facility in Poway, California. The consolidation reduced costs without impacting the revenue generating activities of Delta Design. The Company recorded charges to operations in the quarter ended March 31, 2003, totaling $0.6 million for severance and one-time termination benefits and $0.1 million for contract termination costs primarily related to the leased facility. Exit-related costs charged to operations subsequent to the quarter ended March 31, 2003 were not significant.</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25, 2003, Cohu sold twelve acres of land in Poway, California held for future development for $8.8 million in net cash proceeds resulting in a pretax gain of approximately $7.9 million. Additionally, in the quarter ended June 30, 2003, the Company wrote off an equity investment in a privately-held company and recorded a $2.5 million charge to operating results as the investment was deemed impaired and such impairment was considered other than temporary, pursuant to APB No. 18.</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In 2003, Cohu through its Broadcast Microwave Services (BMS) subsidiary was awarded an $8.5 million contract from the United Arab Emirates</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(UAE) Armed Services to provide microwave communications equipment for a command center and infrastructure system for border security. The contract, which utilizes our most advanced microwave communications technology that has not previously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Cohu will recognize all revenue and related costs under this contract in the period the system is accepted by the customer. Through June 30, 2004, we had shipped inventory with a sales value of $4.8</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2004</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million and deferred costs of approximately $3.6 million resulting in deferred profit of approximately $1.2 million under the contract. In addition, at June 30, 2004 we had inventory to be delivered under the contract of approximately $1.8 million and accounts receivable of approximately $1.5 million. Cohu has also provided the customer with a standby letter of credit totaling approximately $2.5 million at June 30, 2004, that may be drawn upon if BMS does not fulfill the terms of the contract. We currently expect equipment and system installation to be completed in 2004. If BMS is unable to successfully complete the installation of the equipment and obtain customer acceptance of the system, the related inventory and receivables may need to be written off, the customer might seek a refund of the $3.2 million in payments made to BMS under the contract and our business, results of operations and financial condition would be materially impacted.</w:t>
      </w:r>
    </w:p>
    <w:p>
      <w:pPr>
        <w:spacing w:after="0" w:line="149" w:lineRule="exact"/>
        <w:rPr>
          <w:sz w:val="20"/>
          <w:szCs w:val="20"/>
          <w:color w:val="auto"/>
        </w:rPr>
      </w:pPr>
    </w:p>
    <w:p>
      <w:pPr>
        <w:ind w:right="1940"/>
        <w:spacing w:after="0" w:line="461" w:lineRule="auto"/>
        <w:rPr>
          <w:sz w:val="20"/>
          <w:szCs w:val="20"/>
          <w:color w:val="auto"/>
        </w:rPr>
      </w:pPr>
      <w:r>
        <w:rPr>
          <w:rFonts w:ascii="Arial" w:cs="Arial" w:eastAsia="Arial" w:hAnsi="Arial"/>
          <w:sz w:val="18"/>
          <w:szCs w:val="18"/>
          <w:color w:val="auto"/>
        </w:rPr>
        <w:t xml:space="preserve">As a result of the factors set forth above, our net income was $6.9 million in 2004, compared to net income of $4.1 million in 2003. </w:t>
      </w:r>
      <w:r>
        <w:rPr>
          <w:rFonts w:ascii="Arial" w:cs="Arial" w:eastAsia="Arial" w:hAnsi="Arial"/>
          <w:sz w:val="18"/>
          <w:szCs w:val="18"/>
          <w:b w:val="1"/>
          <w:bCs w:val="1"/>
          <w:i w:val="1"/>
          <w:iCs w:val="1"/>
          <w:color w:val="auto"/>
        </w:rPr>
        <w:t>Six Months Ended June 30, 2004 Compared to Six Months Ended June 30, 2003</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net sales increased 32% to $83.3 million in 2004, compared to net sales of $63.2 million in 2003. Sales of semiconductor test handling equipment in 2004 increased 38% from the 2003 period and accounted for 82% of consolidated net sales in 2004, versus 78% in 2003. Sales of television cameras and other equipment accounted for 12% of net sales in 2004 and increased 18% when compared to 2003, while the combined sales of metal detection and microwave equipment were comparable in the six month periods.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8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Gross margin as a percentage of net sales increased to 43.0% in 2004 from 33.8% in 2003, primarily as a result of higher margins in the semiconductor equipment business. Within the semiconductor equipment segment, margins increased in 2004, primarily as a result of changes in product mix, reduced charges for excess and obsolete inventory and increased business volume. Cohu computes the majority of its excess and obsolete inventory reserve requirements using a one-year inventory usage forecast. During 2004 and 2003 we recorded net charges to cost of sales of approximately $2.2 million and $3.0 million, respectively, for excess and obsolete inventory.</w:t>
      </w:r>
    </w:p>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six months ended June 30, 2004, our gross margin was favorably impacted by approximately $1.1 million, as a result of the sale of certain inventory that was written down in 2003.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R&amp;D expense as a percentage of net sales was 15.3% in 2004, compared to 19.8% in 2003, increasing in absolute dollars from $12.5 million in 2003 to $12.8 million in 2004. The increase in R&amp;D was primarily the result of higher R&amp;D labor and material costs for product development in the semiconductor equipment and television camera divisions, offset by a decrease in expenditures in the microwave communications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SG&amp;A expense as a percentage of net sales decreased to 16.9% in 2004, from 18.9% in 2003, increasing in absolute dollars from $11.9 million in 2003 to $14.1 million in 2004. The increase in SG&amp;A expense was primarily related to increased business volume.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was $1.0 million and $1.1 million in 2004 and 2003, respectively. The decrease in interest income was due to lower interest rates.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expressed as a percentage of pre-tax income was 9.1% in 2004 and 20.4% 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2004</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2003. The provision for income taxes is based on the estimated effective tax rate for the entire year and in 2004 is lower than the U.S. federal statutory rate primarily due to the significant deferred tax valuation allowance recorded at December 31, 2003.</w:t>
      </w:r>
    </w:p>
    <w:p>
      <w:pPr>
        <w:spacing w:after="0" w:line="130" w:lineRule="exact"/>
        <w:rPr>
          <w:sz w:val="20"/>
          <w:szCs w:val="20"/>
          <w:color w:val="auto"/>
        </w:rPr>
      </w:pPr>
    </w:p>
    <w:p>
      <w:pPr>
        <w:ind w:right="1880"/>
        <w:spacing w:after="0" w:line="461" w:lineRule="auto"/>
        <w:rPr>
          <w:sz w:val="20"/>
          <w:szCs w:val="20"/>
          <w:color w:val="auto"/>
        </w:rPr>
      </w:pPr>
      <w:r>
        <w:rPr>
          <w:rFonts w:ascii="Arial" w:cs="Arial" w:eastAsia="Arial" w:hAnsi="Arial"/>
          <w:sz w:val="18"/>
          <w:szCs w:val="18"/>
          <w:color w:val="auto"/>
        </w:rPr>
        <w:t xml:space="preserve">As a result of the factors set forth above, our net income was $9.0 million in 2004, compared to net income of $2.7 million in 2003. </w:t>
      </w:r>
      <w:r>
        <w:rPr>
          <w:rFonts w:ascii="Arial" w:cs="Arial" w:eastAsia="Arial" w:hAnsi="Arial"/>
          <w:sz w:val="18"/>
          <w:szCs w:val="18"/>
          <w:b w:val="1"/>
          <w:bCs w:val="1"/>
          <w:color w:val="auto"/>
        </w:rPr>
        <w:t>LIQUIDITY AND CAPITAL RESOURCES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net cash flows provided from operating activities in the first six months of 2004 totaled $1.0 million. The major components of cash flows provided by operating activities were net income of $9.0 million, offset by the net change in current assets and liabilities totaling $10.1 million, and depreciation and amortization of $2.0 million. Net cash used for investing activities included $7.9 million for the purchase of short-term investments, less sales and maturities, and purchases of property, plant and equipment and other assets of $1.4 million offset by a $9.0 million payment received on a note receivable. Cash used for financing activities included $1.7 million received from the issuance of stock upon the exercise of stock options offset by $2.1 million for the payment of dividends.</w:t>
      </w:r>
    </w:p>
    <w:p>
      <w:pPr>
        <w:spacing w:after="0" w:line="153"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In June 2004, the Company renewed its $5.0 million line of credit, which provides working capital. Approximately $2.5 million of the line of credit has been allocated to outstanding standby letters of credit, and the Company had approximately $2.5 million available for borrowing on June 30, 2004. We expect that we will continue to make capital expenditures to support our business and we anticipate that present working capital and available borrowings under the line of credit will be sufficient to meet our operating requirements for at least the next twelve-months.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ordinary course of business, Cohu provides standby letters of credit instruments to certain parties as required. As of June 30, 2004, the maximum potential amount of future payments that Cohu could be required to make under these standby letters of credit was approximately $2.5 million. Cohu has not recorded any liability in connection with these arrangements beyond that required to appropriately account for the underlying transaction being guaranteed. Cohu does not believe, based on historical experience and information currently available, that it is probable that any amounts will be required to be paid under these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throughout 2001, 2002 and 2003.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the years ended December 31, 2003, 2002 and 2001, we recorded pretax inventory-related charges of approximately $4.6 million, $4.1 million and $15.9 million, respectively, primarily as a result of changes in customer forecasts.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2004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8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rely on a limited number of customers for a substantial percentage of our net sales. In the year ended December 31, 2003, two customers of the semiconductor equipment segment accounted for 57% (53% in 2002, and 44% in 2001) of our net sales. During the past five years, the percentage of Cohu’s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9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If we are unable to reduce the cost of our existing products and successfully introduce new lower cost products we expect these competitive conditions to negatively impact our gross margin and operating results for the foreseeable future.</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our recently introduced Delta </w:t>
      </w:r>
      <w:r>
        <w:rPr>
          <w:rFonts w:ascii="Arial" w:cs="Arial" w:eastAsia="Arial" w:hAnsi="Arial"/>
          <w:sz w:val="17"/>
          <w:szCs w:val="17"/>
          <w:b w:val="1"/>
          <w:bCs w:val="1"/>
          <w:i w:val="1"/>
          <w:iCs w:val="1"/>
          <w:color w:val="auto"/>
        </w:rPr>
        <w:t>EDGE</w:t>
      </w:r>
      <w:r>
        <w:rPr>
          <w:rFonts w:ascii="Arial" w:cs="Arial" w:eastAsia="Arial" w:hAnsi="Arial"/>
          <w:sz w:val="17"/>
          <w:szCs w:val="17"/>
          <w:color w:val="auto"/>
        </w:rPr>
        <w:t>™ handler, may adversely impact sales or margins of existing products. In addition, the introduction of new products by Cohu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2004</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three-year period ended December 31, 2003. Future inventory write-offs and increased inventory reserve requirements could have a material adverse impact on our results of operations and financial condition.</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acceptance and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assembly, test and final manufacturing processes and IC package design changes. We believe that the rate of change in such processes and IC packages is accelerating. As a result of these changes and other factors, assessing the market potential and commercial viability of new IC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transition from product development to the manufacture of new semiconductor equipment is a difficult process and delays in product introductions and problems in manufacturing such equipment are common. We have in the past and continue to experience difficulties in manufacturing and volume production of our new test handlers including our latest product offering, the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r>
        <w:rPr>
          <w:rFonts w:ascii="Arial" w:cs="Arial" w:eastAsia="Arial" w:hAnsi="Arial"/>
          <w:sz w:val="18"/>
          <w:szCs w:val="18"/>
          <w:i w:val="1"/>
          <w:iCs w:val="1"/>
          <w:color w:val="auto"/>
        </w:rPr>
        <w:t>.</w:t>
      </w:r>
    </w:p>
    <w:p>
      <w:pPr>
        <w:spacing w:after="0" w:line="18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$14.2 million in cash. A significant portion of the purchase price was allocated to goodwill and other intangible assets. In the fourth quarter of 2002, Cohu invested $2.5 million in KryoTech, Inc. preferred stock, that was written off in June, 2003, and $1.7 million in intangible assets for certain technology.</w:t>
      </w:r>
    </w:p>
    <w:p>
      <w:pPr>
        <w:spacing w:after="0" w:line="13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Acquisitions and investments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and goodwill that could result in significant charges to operating results in future periods. In addition, such acquisitions or investments may result in immediate charges to operating results. Mergers, acquisitions and investments are inherently risky and the inability to effectively manage these risks could materially and adversely affect Cohu’s business, financial condition and results of operations.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2004</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taken remedial measures to address previous slowdowns in the semiconductor equipment industry that may affect our ability to be competitive.</w:t>
      </w:r>
    </w:p>
    <w:p>
      <w:pPr>
        <w:spacing w:after="0" w:line="21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the past, we have taken remedial measures to address the slowdown in the market for our products. In particular, we reduced our workforce, including reductions in September and October 2002 and January and March 2003, delayed salary increases, reduced senior executives’ pay, implemented furloughs, announced facility consolidations and reduced expense budgets. In January and April, 2003, we announced the consolidation of Delta Design’s Columbus, Ohio and Littleton, Massachusetts operations into our Poway, California facility. Each of these measures could have long-term effects on our business by reducing our pool of technical talent, decreasing or slowing improvements in our products and making it more difficult for us to respond to customers needs.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backlog at June 30, 2004, may not be a reliable indicator of revenues in future periods due to delayed delivery dates or customer requested changes to delivery schedules, order cancellations and delays in recognizing revenue due to accounting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19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Workforce reductions continued in the third and fourth quarter of 2002 and January and March, 2003. In January and April, 2003, we announced the consolidation of Delta Design’s Columbus, Ohio and Littleton, Massachusetts operations into our Poway, California facility. In 2004 we have increased our workforce, particularly in manufacturing, to meet increased demand.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Sales of gravity-feed IC test handlers used in DRAM testing represented a significant percentage of Cohu’s total</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2004</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Pick-and-place IC handlers used in DRAM applications account for a significant portion of the worldwide IC handler market and Cohu’s market share in the DRAM segment is negligible. Cohu’s share of the gravity-feed handler market for the last five years has also been negligible, and with the announced closure of our Littleton, Massachusetts operations, we no longer plan to sell gravity feed test handlers. Such handlers are used in numerous non DRAM applications and continue to represent a significant portion of the worldwide test handler market. Because we do not participate in the DRAM and/or gravity-feed market segments, our total available sales market is limited and as a result our business and results of operations may be negatively impacted.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Cohu has operations located in various parts of the world to support our sales and services to the global semiconductor industry. In the fourth quarter of 2003, we established a small manufacturing operation near Manila in the Philippines. Managing geographically dispersed operations presents difficult challenges associated with, among other things, organizational alignment and infrastructure, communications and information technology, inventory control, customer relationship management, terrorist threats and related security matters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Cohu relies on patent, copyright, trademark and trade secret laws to establish and maintain proprietary rights in our technology and products. Any of our proprietary rights may be challenged, invalidated or circumvented, and these rights may cease to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30"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During the year ended December 31, 2003, 61% of our total net sales were exported to foreign countries, including 72% of the sales in the semiconductor equipment segment. The majority of our export sales are made to destinations in Asia. Political or economic instability, particularly in Asia, may adversely impact the demand for capital equipment, including equipment of the type manufactured and marketed by Cohu. In addition, we face intense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2004</w:t>
      </w:r>
    </w:p>
    <w:p>
      <w:pPr>
        <w:spacing w:after="0" w:line="184"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 and are not profitable.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significant decline in the operating results of these businesses over the last several years with increasing losses and the future prospects for certain of these businesses remain uncertain. We may not be able to continue to compete successfully in these businesses.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our future operating results.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March 2004, the FASB issued an exposure document entitled </w:t>
      </w:r>
      <w:r>
        <w:rPr>
          <w:rFonts w:ascii="Arial" w:cs="Arial" w:eastAsia="Arial" w:hAnsi="Arial"/>
          <w:sz w:val="17"/>
          <w:szCs w:val="17"/>
          <w:i w:val="1"/>
          <w:iCs w:val="1"/>
          <w:color w:val="auto"/>
        </w:rPr>
        <w:t>Share-Based Payment — an amendment of Statements No. 123 and 95 (Proposed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of Financial Accounting Standards)</w:t>
      </w:r>
      <w:r>
        <w:rPr>
          <w:rFonts w:ascii="Arial" w:cs="Arial" w:eastAsia="Arial" w:hAnsi="Arial"/>
          <w:sz w:val="17"/>
          <w:szCs w:val="17"/>
          <w:color w:val="auto"/>
        </w:rPr>
        <w:t>. The proposed Statement would eliminate the ability to account for share-based compensation transactions using APB</w:t>
      </w:r>
      <w:r>
        <w:rPr>
          <w:rFonts w:ascii="Arial" w:cs="Arial" w:eastAsia="Arial" w:hAnsi="Arial"/>
          <w:sz w:val="17"/>
          <w:szCs w:val="17"/>
          <w:i w:val="1"/>
          <w:iCs w:val="1"/>
          <w:color w:val="auto"/>
        </w:rPr>
        <w:t xml:space="preserve"> </w:t>
      </w:r>
      <w:r>
        <w:rPr>
          <w:rFonts w:ascii="Arial" w:cs="Arial" w:eastAsia="Arial" w:hAnsi="Arial"/>
          <w:sz w:val="17"/>
          <w:szCs w:val="17"/>
          <w:color w:val="auto"/>
        </w:rPr>
        <w:t>Opinion No. 25 and generally require instead that such transactions be accounted for using a fair-value-based method. This accounting, if approved, will result in significant compensation expense charges to our future results of operations. The proposed Statement, if adopted, would be applied to public entities prospectively for fiscal years beginning after December 15, 2004, as if all share-based compensation awards granted, modified, or settled after December 15, 1994, had been accounted for using the fair-value method of accounting.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$30.65 to $9.78. The price of our stock may be more volatile than other companies due to, among other factors, the unpredictable and cyclical nature of the semiconductor industry, our significant customer concentration, intense competition in the IC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proposed changes in securities laws and regulations are likely to increase our costs.</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Sarbanes-Oxley Act of 2002 (“SOX”) that became law in July 2002 requires changes in some of our corporate governance and securities disclosure or compliance practices. The SEC has promulgated new rules on a variety of subjects and Nasdaq has issued revisions to its requirements for companies that are Nasdaq-listed. In June 2003 the SEC adopted certain rules as directed by Section 404 of SOX. These rules require that publicly held companies, including Cohu, include in their annual report to shareholders a report of management on the company’s internal control over financial reporting. Our independent auditors will be required to attest to management’s assessment of internal controls over financial reporting. Cohu will be required to comply with this new requirement in its annual report for the year ending December 31, 2004. If our financial reporting controls are not deemed effective, there will be an adverse impact on our reputation that could negatively impact our stock price.</w:t>
      </w:r>
    </w:p>
    <w:p>
      <w:pPr>
        <w:spacing w:after="0" w:line="13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also expect these developments to increase our legal and accounting compliance costs, and to make some activities more difficult, such as stockholder approval of new stock option plans. We also expect these developments to make it more difficult and expensive for us to obtain director and officer liability insurance, and we may be required to accept reduced coverage or incur substantially higher costs to obtain coverage. These developments could make it more difficult for us to attract and retain qualified members of our board of directors, or qualified executive officers. We are presently evaluating and monitoring regulatory developments and cannot estimate the timing or magnitude of additional costs we may incur as a result.</w:t>
      </w:r>
    </w:p>
    <w:p>
      <w:pPr>
        <w:spacing w:after="0" w:line="1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outbreak of SARS and bird flu in Asia and geopolitical instability caused by terrorist attacks and threats may adversely impact our operations and sales.</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Asian sales and service headquarters is located in Singapore and the majority of our sales are made to destinations in Asia. In addition, we recently organized a business in the Philippines to fabricate certain component parts used in our semiconductor test handlers. Our operations and sales in this region may be adversely impacted by Severe Acute Respiratory Syndrome, or SARS, or the outbreak of Asian bird flu, if our business or the businesses of our customers are disrupted by travel restrictions or the illness and quarantine of employees. Furthermore, Cohu’s Broadcast Microwave Services subsidiary is currently involved in a significant contract with the United Arab Emirates. Continued terrorist attacks or threats in this region may cause geopolitical instability that may have an adverse effect on our ability to successfully satisfy our delivery and installation requirements under the agreement, which would materially impact our business, results of operations and financial condition.</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2003 Annual Report on Form 10-K, that could cause actual results to differ materially from those projected or forecasted. Cohu undertakes no obligation to update the information, including the forward-looking statements, in this Form 10-Q.</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At June 30, 2004 our investment portfolio includes fixed-income securities with a fair value of approximately $108.3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Foreign currency exchange risk.</w:t>
      </w:r>
    </w:p>
    <w:p>
      <w:pPr>
        <w:spacing w:after="0" w:line="202"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16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15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last fiscal quarter, there have been no changes in the Company’s internal control over financial reporting that have materially affected, or are reasonably likely to materially affect, the Company’s internal control over financial reporting.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Cohu Annual Meeting of Stockholders was held on May 11, 2004. At the meeting the following directors were elected:</w:t>
      </w:r>
    </w:p>
    <w:p>
      <w:pPr>
        <w:spacing w:after="0" w:line="200" w:lineRule="exact"/>
        <w:rPr>
          <w:sz w:val="20"/>
          <w:szCs w:val="20"/>
          <w:color w:val="auto"/>
        </w:rPr>
      </w:pP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Number of Common Shares Voted</w:t>
            </w:r>
          </w:p>
        </w:tc>
      </w:tr>
      <w:tr>
        <w:trPr>
          <w:trHeight w:val="53"/>
        </w:trPr>
        <w:tc>
          <w:tcPr>
            <w:tcW w:w="4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4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380" w:type="dxa"/>
            <w:vAlign w:val="bottom"/>
            <w:tcBorders>
              <w:bottom w:val="single" w:sz="8" w:color="808080"/>
            </w:tcBorders>
          </w:tcPr>
          <w:p>
            <w:pPr>
              <w:spacing w:after="0"/>
              <w:rPr>
                <w:sz w:val="4"/>
                <w:szCs w:val="4"/>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740" w:type="dxa"/>
            <w:vAlign w:val="bottom"/>
          </w:tcPr>
          <w:p>
            <w:pPr>
              <w:jc w:val="center"/>
              <w:ind w:left="876"/>
              <w:spacing w:after="0"/>
              <w:rPr>
                <w:sz w:val="20"/>
                <w:szCs w:val="20"/>
                <w:color w:val="auto"/>
              </w:rPr>
            </w:pPr>
            <w:r>
              <w:rPr>
                <w:rFonts w:ascii="Arial" w:cs="Arial" w:eastAsia="Arial" w:hAnsi="Arial"/>
                <w:sz w:val="14"/>
                <w:szCs w:val="14"/>
                <w:b w:val="1"/>
                <w:bCs w:val="1"/>
                <w:color w:val="auto"/>
                <w:w w:val="97"/>
              </w:rPr>
              <w:t>For</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8"/>
              </w:rPr>
              <w:t>Withhold Authority</w:t>
            </w:r>
          </w:p>
        </w:tc>
      </w:tr>
      <w:tr>
        <w:trPr>
          <w:trHeight w:val="53"/>
        </w:trPr>
        <w:tc>
          <w:tcPr>
            <w:tcW w:w="466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74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2380" w:type="dxa"/>
            <w:vAlign w:val="bottom"/>
            <w:tcBorders>
              <w:bottom w:val="single" w:sz="8" w:color="808080"/>
            </w:tcBorders>
          </w:tcPr>
          <w:p>
            <w:pPr>
              <w:spacing w:after="0"/>
              <w:rPr>
                <w:sz w:val="4"/>
                <w:szCs w:val="4"/>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8"/>
                <w:szCs w:val="18"/>
                <w:color w:val="auto"/>
              </w:rPr>
              <w:t>James W. Barnes</w:t>
            </w:r>
          </w:p>
        </w:tc>
        <w:tc>
          <w:tcPr>
            <w:tcW w:w="1740" w:type="dxa"/>
            <w:vAlign w:val="bottom"/>
          </w:tcPr>
          <w:p>
            <w:pPr>
              <w:jc w:val="center"/>
              <w:ind w:left="856"/>
              <w:spacing w:after="0"/>
              <w:rPr>
                <w:sz w:val="20"/>
                <w:szCs w:val="20"/>
                <w:color w:val="auto"/>
              </w:rPr>
            </w:pPr>
            <w:r>
              <w:rPr>
                <w:rFonts w:ascii="Arial" w:cs="Arial" w:eastAsia="Arial" w:hAnsi="Arial"/>
                <w:sz w:val="18"/>
                <w:szCs w:val="18"/>
                <w:color w:val="auto"/>
                <w:w w:val="88"/>
              </w:rPr>
              <w:t>15,734,051</w:t>
            </w:r>
          </w:p>
        </w:tc>
        <w:tc>
          <w:tcPr>
            <w:tcW w:w="3880" w:type="dxa"/>
            <w:vAlign w:val="bottom"/>
            <w:gridSpan w:val="3"/>
          </w:tcPr>
          <w:p>
            <w:pPr>
              <w:jc w:val="center"/>
              <w:ind w:left="1396"/>
              <w:spacing w:after="0"/>
              <w:rPr>
                <w:sz w:val="20"/>
                <w:szCs w:val="20"/>
                <w:color w:val="auto"/>
              </w:rPr>
            </w:pPr>
            <w:r>
              <w:rPr>
                <w:rFonts w:ascii="Arial" w:cs="Arial" w:eastAsia="Arial" w:hAnsi="Arial"/>
                <w:sz w:val="18"/>
                <w:szCs w:val="18"/>
                <w:color w:val="auto"/>
                <w:w w:val="89"/>
              </w:rPr>
              <w:t>3,790,531</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James A. Donahue</w:t>
            </w:r>
          </w:p>
        </w:tc>
        <w:tc>
          <w:tcPr>
            <w:tcW w:w="1740" w:type="dxa"/>
            <w:vAlign w:val="bottom"/>
          </w:tcPr>
          <w:p>
            <w:pPr>
              <w:jc w:val="center"/>
              <w:ind w:left="856"/>
              <w:spacing w:after="0"/>
              <w:rPr>
                <w:sz w:val="20"/>
                <w:szCs w:val="20"/>
                <w:color w:val="auto"/>
              </w:rPr>
            </w:pPr>
            <w:r>
              <w:rPr>
                <w:rFonts w:ascii="Arial" w:cs="Arial" w:eastAsia="Arial" w:hAnsi="Arial"/>
                <w:sz w:val="18"/>
                <w:szCs w:val="18"/>
                <w:color w:val="auto"/>
                <w:w w:val="88"/>
              </w:rPr>
              <w:t>15,746,416</w:t>
            </w:r>
          </w:p>
        </w:tc>
        <w:tc>
          <w:tcPr>
            <w:tcW w:w="3880" w:type="dxa"/>
            <w:vAlign w:val="bottom"/>
            <w:gridSpan w:val="3"/>
          </w:tcPr>
          <w:p>
            <w:pPr>
              <w:jc w:val="center"/>
              <w:ind w:left="1396"/>
              <w:spacing w:after="0"/>
              <w:rPr>
                <w:sz w:val="20"/>
                <w:szCs w:val="20"/>
                <w:color w:val="auto"/>
              </w:rPr>
            </w:pPr>
            <w:r>
              <w:rPr>
                <w:rFonts w:ascii="Arial" w:cs="Arial" w:eastAsia="Arial" w:hAnsi="Arial"/>
                <w:sz w:val="18"/>
                <w:szCs w:val="18"/>
                <w:color w:val="auto"/>
                <w:w w:val="89"/>
              </w:rPr>
              <w:t>3,778,166</w:t>
            </w: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remaining directors continuing in office until 2005 or 2006 are Harry L. Casari, Robert L. Ciardella, Harold Harrigian and Charles A. Schwan.</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addition, the stockholders approved the following proposals: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0" w:type="dxa"/>
            <w:vAlign w:val="bottom"/>
            <w:gridSpan w:val="4"/>
          </w:tcPr>
          <w:p>
            <w:pPr>
              <w:ind w:left="520"/>
              <w:spacing w:after="0"/>
              <w:rPr>
                <w:sz w:val="20"/>
                <w:szCs w:val="20"/>
                <w:color w:val="auto"/>
              </w:rPr>
            </w:pPr>
            <w:r>
              <w:rPr>
                <w:rFonts w:ascii="Arial" w:cs="Arial" w:eastAsia="Arial" w:hAnsi="Arial"/>
                <w:sz w:val="14"/>
                <w:szCs w:val="14"/>
                <w:b w:val="1"/>
                <w:bCs w:val="1"/>
                <w:color w:val="auto"/>
              </w:rPr>
              <w:t>Number of Common Shares Voted</w:t>
            </w: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53"/>
        </w:trPr>
        <w:tc>
          <w:tcPr>
            <w:tcW w:w="3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7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r>
      <w:tr>
        <w:trPr>
          <w:trHeight w:val="238"/>
        </w:trPr>
        <w:tc>
          <w:tcPr>
            <w:tcW w:w="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ind w:right="559"/>
              <w:spacing w:after="0"/>
              <w:rPr>
                <w:sz w:val="20"/>
                <w:szCs w:val="20"/>
                <w:color w:val="auto"/>
              </w:rPr>
            </w:pPr>
            <w:r>
              <w:rPr>
                <w:rFonts w:ascii="Arial" w:cs="Arial" w:eastAsia="Arial" w:hAnsi="Arial"/>
                <w:sz w:val="14"/>
                <w:szCs w:val="14"/>
                <w:b w:val="1"/>
                <w:bCs w:val="1"/>
                <w:color w:val="auto"/>
              </w:rPr>
              <w:t>Broker</w:t>
            </w:r>
          </w:p>
        </w:tc>
        <w:tc>
          <w:tcPr>
            <w:tcW w:w="280" w:type="dxa"/>
            <w:vAlign w:val="bottom"/>
          </w:tcPr>
          <w:p>
            <w:pPr>
              <w:spacing w:after="0"/>
              <w:rPr>
                <w:sz w:val="20"/>
                <w:szCs w:val="20"/>
                <w:color w:val="auto"/>
              </w:rPr>
            </w:pPr>
          </w:p>
        </w:tc>
      </w:tr>
      <w:tr>
        <w:trPr>
          <w:trHeight w:val="53"/>
        </w:trPr>
        <w:tc>
          <w:tcPr>
            <w:tcW w:w="3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r>
      <w:tr>
        <w:trPr>
          <w:trHeight w:val="238"/>
        </w:trPr>
        <w:tc>
          <w:tcPr>
            <w:tcW w:w="30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Proposals</w:t>
            </w:r>
          </w:p>
        </w:tc>
        <w:tc>
          <w:tcPr>
            <w:tcW w:w="1940" w:type="dxa"/>
            <w:vAlign w:val="bottom"/>
          </w:tcPr>
          <w:p>
            <w:pPr>
              <w:jc w:val="right"/>
              <w:ind w:right="776"/>
              <w:spacing w:after="0"/>
              <w:rPr>
                <w:sz w:val="20"/>
                <w:szCs w:val="20"/>
                <w:color w:val="auto"/>
              </w:rPr>
            </w:pPr>
            <w:r>
              <w:rPr>
                <w:rFonts w:ascii="Arial" w:cs="Arial" w:eastAsia="Arial" w:hAnsi="Arial"/>
                <w:sz w:val="14"/>
                <w:szCs w:val="14"/>
                <w:b w:val="1"/>
                <w:bCs w:val="1"/>
                <w:color w:val="auto"/>
              </w:rPr>
              <w:t>For</w:t>
            </w:r>
          </w:p>
        </w:tc>
        <w:tc>
          <w:tcPr>
            <w:tcW w:w="400" w:type="dxa"/>
            <w:vAlign w:val="bottom"/>
          </w:tcPr>
          <w:p>
            <w:pPr>
              <w:spacing w:after="0"/>
              <w:rPr>
                <w:sz w:val="20"/>
                <w:szCs w:val="20"/>
                <w:color w:val="auto"/>
              </w:rPr>
            </w:pPr>
          </w:p>
        </w:tc>
        <w:tc>
          <w:tcPr>
            <w:tcW w:w="1700" w:type="dxa"/>
            <w:vAlign w:val="bottom"/>
          </w:tcPr>
          <w:p>
            <w:pPr>
              <w:jc w:val="right"/>
              <w:ind w:right="548"/>
              <w:spacing w:after="0"/>
              <w:rPr>
                <w:sz w:val="20"/>
                <w:szCs w:val="20"/>
                <w:color w:val="auto"/>
              </w:rPr>
            </w:pPr>
            <w:r>
              <w:rPr>
                <w:rFonts w:ascii="Arial" w:cs="Arial" w:eastAsia="Arial" w:hAnsi="Arial"/>
                <w:sz w:val="14"/>
                <w:szCs w:val="14"/>
                <w:b w:val="1"/>
                <w:bCs w:val="1"/>
                <w:color w:val="auto"/>
              </w:rPr>
              <w:t>Against</w:t>
            </w:r>
          </w:p>
        </w:tc>
        <w:tc>
          <w:tcPr>
            <w:tcW w:w="420" w:type="dxa"/>
            <w:vAlign w:val="bottom"/>
          </w:tcPr>
          <w:p>
            <w:pPr>
              <w:spacing w:after="0"/>
              <w:rPr>
                <w:sz w:val="20"/>
                <w:szCs w:val="20"/>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Abstain</w:t>
            </w:r>
          </w:p>
        </w:tc>
        <w:tc>
          <w:tcPr>
            <w:tcW w:w="1720" w:type="dxa"/>
            <w:vAlign w:val="bottom"/>
          </w:tcPr>
          <w:p>
            <w:pPr>
              <w:jc w:val="right"/>
              <w:ind w:right="479"/>
              <w:spacing w:after="0"/>
              <w:rPr>
                <w:sz w:val="20"/>
                <w:szCs w:val="20"/>
                <w:color w:val="auto"/>
              </w:rPr>
            </w:pPr>
            <w:r>
              <w:rPr>
                <w:rFonts w:ascii="Arial" w:cs="Arial" w:eastAsia="Arial" w:hAnsi="Arial"/>
                <w:sz w:val="14"/>
                <w:szCs w:val="14"/>
                <w:b w:val="1"/>
                <w:bCs w:val="1"/>
                <w:color w:val="auto"/>
              </w:rPr>
              <w:t>Non-Votes</w:t>
            </w:r>
          </w:p>
        </w:tc>
        <w:tc>
          <w:tcPr>
            <w:tcW w:w="280" w:type="dxa"/>
            <w:vAlign w:val="bottom"/>
          </w:tcPr>
          <w:p>
            <w:pPr>
              <w:spacing w:after="0"/>
              <w:rPr>
                <w:sz w:val="20"/>
                <w:szCs w:val="20"/>
                <w:color w:val="auto"/>
              </w:rPr>
            </w:pPr>
          </w:p>
        </w:tc>
      </w:tr>
      <w:tr>
        <w:trPr>
          <w:trHeight w:val="53"/>
        </w:trPr>
        <w:tc>
          <w:tcPr>
            <w:tcW w:w="300" w:type="dxa"/>
            <w:vAlign w:val="bottom"/>
          </w:tcPr>
          <w:p>
            <w:pPr>
              <w:spacing w:after="0"/>
              <w:rPr>
                <w:sz w:val="4"/>
                <w:szCs w:val="4"/>
                <w:color w:val="auto"/>
              </w:rPr>
            </w:pPr>
          </w:p>
        </w:tc>
        <w:tc>
          <w:tcPr>
            <w:tcW w:w="258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194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170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r>
      <w:tr>
        <w:trPr>
          <w:trHeight w:val="276"/>
        </w:trPr>
        <w:tc>
          <w:tcPr>
            <w:tcW w:w="30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To approve an amendment to the</w:t>
            </w:r>
          </w:p>
        </w:tc>
        <w:tc>
          <w:tcPr>
            <w:tcW w:w="1940" w:type="dxa"/>
            <w:vAlign w:val="bottom"/>
          </w:tcPr>
          <w:p>
            <w:pPr>
              <w:jc w:val="right"/>
              <w:ind w:right="496"/>
              <w:spacing w:after="0"/>
              <w:rPr>
                <w:sz w:val="20"/>
                <w:szCs w:val="20"/>
                <w:color w:val="auto"/>
              </w:rPr>
            </w:pPr>
            <w:r>
              <w:rPr>
                <w:rFonts w:ascii="Arial" w:cs="Arial" w:eastAsia="Arial" w:hAnsi="Arial"/>
                <w:sz w:val="18"/>
                <w:szCs w:val="18"/>
                <w:color w:val="auto"/>
              </w:rPr>
              <w:t>8,452,917</w:t>
            </w:r>
          </w:p>
        </w:tc>
        <w:tc>
          <w:tcPr>
            <w:tcW w:w="2100" w:type="dxa"/>
            <w:vAlign w:val="bottom"/>
            <w:gridSpan w:val="2"/>
          </w:tcPr>
          <w:p>
            <w:pPr>
              <w:jc w:val="right"/>
              <w:ind w:right="408"/>
              <w:spacing w:after="0"/>
              <w:rPr>
                <w:sz w:val="20"/>
                <w:szCs w:val="20"/>
                <w:color w:val="auto"/>
              </w:rPr>
            </w:pPr>
            <w:r>
              <w:rPr>
                <w:rFonts w:ascii="Arial" w:cs="Arial" w:eastAsia="Arial" w:hAnsi="Arial"/>
                <w:sz w:val="18"/>
                <w:szCs w:val="18"/>
                <w:color w:val="auto"/>
              </w:rPr>
              <w:t>6,453,227</w:t>
            </w:r>
          </w:p>
        </w:tc>
        <w:tc>
          <w:tcPr>
            <w:tcW w:w="168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258,544</w:t>
            </w:r>
          </w:p>
        </w:tc>
        <w:tc>
          <w:tcPr>
            <w:tcW w:w="420" w:type="dxa"/>
            <w:vAlign w:val="bottom"/>
          </w:tcPr>
          <w:p>
            <w:pPr>
              <w:spacing w:after="0"/>
              <w:rPr>
                <w:sz w:val="24"/>
                <w:szCs w:val="24"/>
                <w:color w:val="auto"/>
              </w:rPr>
            </w:pPr>
          </w:p>
        </w:tc>
        <w:tc>
          <w:tcPr>
            <w:tcW w:w="1720" w:type="dxa"/>
            <w:vAlign w:val="bottom"/>
          </w:tcPr>
          <w:p>
            <w:pPr>
              <w:jc w:val="right"/>
              <w:ind w:right="419"/>
              <w:spacing w:after="0"/>
              <w:rPr>
                <w:sz w:val="20"/>
                <w:szCs w:val="20"/>
                <w:color w:val="auto"/>
              </w:rPr>
            </w:pPr>
            <w:r>
              <w:rPr>
                <w:rFonts w:ascii="Arial" w:cs="Arial" w:eastAsia="Arial" w:hAnsi="Arial"/>
                <w:sz w:val="18"/>
                <w:szCs w:val="18"/>
                <w:color w:val="auto"/>
              </w:rPr>
              <w:t>4,359,894</w:t>
            </w:r>
          </w:p>
        </w:tc>
        <w:tc>
          <w:tcPr>
            <w:tcW w:w="28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Cohu 1998 Stock Option Plan,</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increasing the shares of stock</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subject to the Plan by 1,000,000.</w:t>
            </w: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18"/>
        </w:trPr>
        <w:tc>
          <w:tcPr>
            <w:tcW w:w="30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To ratify the appointment of Ernst</w:t>
            </w:r>
          </w:p>
        </w:tc>
        <w:tc>
          <w:tcPr>
            <w:tcW w:w="1940" w:type="dxa"/>
            <w:vAlign w:val="bottom"/>
          </w:tcPr>
          <w:p>
            <w:pPr>
              <w:jc w:val="right"/>
              <w:ind w:right="496"/>
              <w:spacing w:after="0"/>
              <w:rPr>
                <w:sz w:val="20"/>
                <w:szCs w:val="20"/>
                <w:color w:val="auto"/>
              </w:rPr>
            </w:pPr>
            <w:r>
              <w:rPr>
                <w:rFonts w:ascii="Arial" w:cs="Arial" w:eastAsia="Arial" w:hAnsi="Arial"/>
                <w:sz w:val="18"/>
                <w:szCs w:val="18"/>
                <w:color w:val="auto"/>
              </w:rPr>
              <w:t>18,820,601</w:t>
            </w:r>
          </w:p>
        </w:tc>
        <w:tc>
          <w:tcPr>
            <w:tcW w:w="2100" w:type="dxa"/>
            <w:vAlign w:val="bottom"/>
            <w:gridSpan w:val="2"/>
          </w:tcPr>
          <w:p>
            <w:pPr>
              <w:jc w:val="right"/>
              <w:ind w:right="408"/>
              <w:spacing w:after="0"/>
              <w:rPr>
                <w:sz w:val="20"/>
                <w:szCs w:val="20"/>
                <w:color w:val="auto"/>
              </w:rPr>
            </w:pPr>
            <w:r>
              <w:rPr>
                <w:rFonts w:ascii="Arial" w:cs="Arial" w:eastAsia="Arial" w:hAnsi="Arial"/>
                <w:sz w:val="18"/>
                <w:szCs w:val="18"/>
                <w:color w:val="auto"/>
              </w:rPr>
              <w:t>351,111</w:t>
            </w:r>
          </w:p>
        </w:tc>
        <w:tc>
          <w:tcPr>
            <w:tcW w:w="168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352,870</w:t>
            </w:r>
          </w:p>
        </w:tc>
        <w:tc>
          <w:tcPr>
            <w:tcW w:w="420" w:type="dxa"/>
            <w:vAlign w:val="bottom"/>
          </w:tcPr>
          <w:p>
            <w:pPr>
              <w:spacing w:after="0"/>
              <w:rPr>
                <w:sz w:val="24"/>
                <w:szCs w:val="24"/>
                <w:color w:val="auto"/>
              </w:rPr>
            </w:pPr>
          </w:p>
        </w:tc>
        <w:tc>
          <w:tcPr>
            <w:tcW w:w="1720" w:type="dxa"/>
            <w:vAlign w:val="bottom"/>
          </w:tcPr>
          <w:p>
            <w:pPr>
              <w:jc w:val="right"/>
              <w:ind w:right="419"/>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&amp; Young LLP as Cohu’s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independent auditors for 2004.</w:t>
            </w: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00" w:type="dxa"/>
            <w:vAlign w:val="bottom"/>
            <w:gridSpan w:val="2"/>
          </w:tcPr>
          <w:p>
            <w:pPr>
              <w:jc w:val="right"/>
              <w:ind w:right="1448"/>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41" w:lineRule="exact"/>
        <w:rPr>
          <w:sz w:val="20"/>
          <w:szCs w:val="20"/>
          <w:color w:val="auto"/>
        </w:rPr>
      </w:pPr>
    </w:p>
    <w:p>
      <w:pPr>
        <w:ind w:left="1180" w:right="880" w:hanging="683"/>
        <w:spacing w:after="0" w:line="277" w:lineRule="auto"/>
        <w:tabs>
          <w:tab w:leader="none" w:pos="1160" w:val="left"/>
        </w:tabs>
        <w:rPr>
          <w:sz w:val="20"/>
          <w:szCs w:val="20"/>
          <w:color w:val="auto"/>
        </w:rPr>
      </w:pPr>
      <w:r>
        <w:rPr>
          <w:rFonts w:ascii="Arial" w:cs="Arial" w:eastAsia="Arial" w:hAnsi="Arial"/>
          <w:sz w:val="18"/>
          <w:szCs w:val="18"/>
          <w:color w:val="auto"/>
        </w:rPr>
        <w:t>3.1</w:t>
        <w:tab/>
        <w:t>- Amended and Restated Certificate of Incorporation of Cohu, Inc. incorporated herein by reference to Exhibit 3.1(a) from the Cohu, Inc. Form 10-Q for the quarterly period ended June 30, 1999</w:t>
      </w:r>
    </w:p>
    <w:p>
      <w:pPr>
        <w:spacing w:after="0" w:line="170" w:lineRule="exact"/>
        <w:rPr>
          <w:sz w:val="20"/>
          <w:szCs w:val="20"/>
          <w:color w:val="auto"/>
        </w:rPr>
      </w:pPr>
    </w:p>
    <w:p>
      <w:pPr>
        <w:ind w:left="1420" w:right="640" w:hanging="683"/>
        <w:spacing w:after="0" w:line="277" w:lineRule="auto"/>
        <w:tabs>
          <w:tab w:leader="none" w:pos="1400" w:val="left"/>
        </w:tabs>
        <w:rPr>
          <w:sz w:val="20"/>
          <w:szCs w:val="20"/>
          <w:color w:val="auto"/>
        </w:rPr>
      </w:pPr>
      <w:r>
        <w:rPr>
          <w:rFonts w:ascii="Arial" w:cs="Arial" w:eastAsia="Arial" w:hAnsi="Arial"/>
          <w:sz w:val="18"/>
          <w:szCs w:val="18"/>
          <w:color w:val="auto"/>
        </w:rPr>
        <w:t>3.1(a) -</w:t>
        <w:tab/>
        <w:t>Certificate of Amendment of Amended and Restated Certificate of Incorporation of Cohu, Inc. incorporated herein by reference from the Cohu, Inc. Form S-8 filed June 30, 2000, Exhibit 4.1(a)</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4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9560" w:type="dxa"/>
            <w:vAlign w:val="bottom"/>
          </w:tcPr>
          <w:p>
            <w:pPr>
              <w:ind w:left="100"/>
              <w:spacing w:after="0"/>
              <w:rPr>
                <w:sz w:val="20"/>
                <w:szCs w:val="20"/>
                <w:color w:val="auto"/>
              </w:rPr>
            </w:pPr>
            <w:r>
              <w:rPr>
                <w:rFonts w:ascii="Arial" w:cs="Arial" w:eastAsia="Arial" w:hAnsi="Arial"/>
                <w:sz w:val="18"/>
                <w:szCs w:val="18"/>
                <w:color w:val="auto"/>
                <w:w w:val="95"/>
              </w:rPr>
              <w:t>-  Amended and Restated Bylaws of Cohu, Inc. incorporated herein by reference to Exhibit 3.2 from the Cohu, Inc. Report on</w:t>
            </w:r>
          </w:p>
        </w:tc>
      </w:tr>
      <w:tr>
        <w:trPr>
          <w:trHeight w:val="230"/>
        </w:trPr>
        <w:tc>
          <w:tcPr>
            <w:tcW w:w="440" w:type="dxa"/>
            <w:vAlign w:val="bottom"/>
          </w:tcPr>
          <w:p>
            <w:pPr>
              <w:spacing w:after="0"/>
              <w:rPr>
                <w:sz w:val="20"/>
                <w:szCs w:val="20"/>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Form 8-K filed with the Securities and Exchange Commission on December 12, 1996</w:t>
            </w:r>
          </w:p>
        </w:tc>
      </w:tr>
      <w:tr>
        <w:trPr>
          <w:trHeight w:val="418"/>
        </w:trPr>
        <w:tc>
          <w:tcPr>
            <w:tcW w:w="4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9560" w:type="dxa"/>
            <w:vAlign w:val="bottom"/>
          </w:tcPr>
          <w:p>
            <w:pPr>
              <w:ind w:left="100"/>
              <w:spacing w:after="0"/>
              <w:rPr>
                <w:sz w:val="20"/>
                <w:szCs w:val="20"/>
                <w:color w:val="auto"/>
              </w:rPr>
            </w:pPr>
            <w:r>
              <w:rPr>
                <w:rFonts w:ascii="Arial" w:cs="Arial" w:eastAsia="Arial" w:hAnsi="Arial"/>
                <w:sz w:val="18"/>
                <w:szCs w:val="18"/>
                <w:color w:val="auto"/>
                <w:w w:val="91"/>
              </w:rPr>
              <w:t>-  Rights Agreement dated November 15, 1996, between Cohu, Inc. and ChaseMellon Shareholder Services, L.L.C., incorporated</w:t>
            </w:r>
          </w:p>
        </w:tc>
      </w:tr>
      <w:tr>
        <w:trPr>
          <w:trHeight w:val="230"/>
        </w:trPr>
        <w:tc>
          <w:tcPr>
            <w:tcW w:w="440" w:type="dxa"/>
            <w:vAlign w:val="bottom"/>
          </w:tcPr>
          <w:p>
            <w:pPr>
              <w:spacing w:after="0"/>
              <w:rPr>
                <w:sz w:val="20"/>
                <w:szCs w:val="20"/>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herein by reference from the Cohu, Inc. Report on Form 8-K filed December 12, 1996, Exhibit 4.1</w:t>
            </w:r>
          </w:p>
        </w:tc>
      </w:tr>
      <w:tr>
        <w:trPr>
          <w:trHeight w:val="432"/>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10.1</w:t>
            </w:r>
          </w:p>
        </w:tc>
        <w:tc>
          <w:tcPr>
            <w:tcW w:w="9560" w:type="dxa"/>
            <w:vAlign w:val="bottom"/>
          </w:tcPr>
          <w:p>
            <w:pPr>
              <w:ind w:left="100"/>
              <w:spacing w:after="0"/>
              <w:rPr>
                <w:sz w:val="20"/>
                <w:szCs w:val="20"/>
                <w:color w:val="auto"/>
              </w:rPr>
            </w:pPr>
            <w:r>
              <w:rPr>
                <w:rFonts w:ascii="Arial" w:cs="Arial" w:eastAsia="Arial" w:hAnsi="Arial"/>
                <w:sz w:val="18"/>
                <w:szCs w:val="18"/>
                <w:color w:val="auto"/>
              </w:rPr>
              <w:t>-  Loan Agreement dated June 28, 2004 between Cohu, Inc. and Bank of America, N.A.</w:t>
            </w:r>
          </w:p>
        </w:tc>
      </w:tr>
      <w:tr>
        <w:trPr>
          <w:trHeight w:val="418"/>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10.2</w:t>
            </w:r>
          </w:p>
        </w:tc>
        <w:tc>
          <w:tcPr>
            <w:tcW w:w="9560" w:type="dxa"/>
            <w:vAlign w:val="bottom"/>
          </w:tcPr>
          <w:p>
            <w:pPr>
              <w:ind w:left="100"/>
              <w:spacing w:after="0"/>
              <w:rPr>
                <w:sz w:val="20"/>
                <w:szCs w:val="20"/>
                <w:color w:val="auto"/>
              </w:rPr>
            </w:pPr>
            <w:r>
              <w:rPr>
                <w:rFonts w:ascii="Arial" w:cs="Arial" w:eastAsia="Arial" w:hAnsi="Arial"/>
                <w:sz w:val="18"/>
                <w:szCs w:val="18"/>
                <w:color w:val="auto"/>
                <w:w w:val="91"/>
              </w:rPr>
              <w:t>-  Cohu, Inc. 1998 Stock Option Plan (as amended), incorporated herein by reference from the Cohu Proxy Statement for the 2004</w:t>
            </w:r>
          </w:p>
        </w:tc>
      </w:tr>
      <w:tr>
        <w:trPr>
          <w:trHeight w:val="230"/>
        </w:trPr>
        <w:tc>
          <w:tcPr>
            <w:tcW w:w="440" w:type="dxa"/>
            <w:vAlign w:val="bottom"/>
          </w:tcPr>
          <w:p>
            <w:pPr>
              <w:spacing w:after="0"/>
              <w:rPr>
                <w:sz w:val="20"/>
                <w:szCs w:val="20"/>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Annual Meeting of Stockholders</w:t>
            </w:r>
          </w:p>
        </w:tc>
      </w:tr>
      <w:tr>
        <w:trPr>
          <w:trHeight w:val="432"/>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31.1</w:t>
            </w:r>
          </w:p>
        </w:tc>
        <w:tc>
          <w:tcPr>
            <w:tcW w:w="9560" w:type="dxa"/>
            <w:vAlign w:val="bottom"/>
          </w:tcPr>
          <w:p>
            <w:pPr>
              <w:ind w:left="100"/>
              <w:spacing w:after="0"/>
              <w:rPr>
                <w:sz w:val="20"/>
                <w:szCs w:val="20"/>
                <w:color w:val="auto"/>
              </w:rPr>
            </w:pPr>
            <w:r>
              <w:rPr>
                <w:rFonts w:ascii="Arial" w:cs="Arial" w:eastAsia="Arial" w:hAnsi="Arial"/>
                <w:sz w:val="18"/>
                <w:szCs w:val="18"/>
                <w:color w:val="auto"/>
              </w:rPr>
              <w:t>-  Certification pursuant to Section 302(a) of the Sarbanes-Oxley Act of 2002</w:t>
            </w:r>
          </w:p>
        </w:tc>
      </w:tr>
      <w:tr>
        <w:trPr>
          <w:trHeight w:val="432"/>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31.2</w:t>
            </w:r>
          </w:p>
        </w:tc>
        <w:tc>
          <w:tcPr>
            <w:tcW w:w="9560" w:type="dxa"/>
            <w:vAlign w:val="bottom"/>
          </w:tcPr>
          <w:p>
            <w:pPr>
              <w:ind w:left="100"/>
              <w:spacing w:after="0"/>
              <w:rPr>
                <w:sz w:val="20"/>
                <w:szCs w:val="20"/>
                <w:color w:val="auto"/>
              </w:rPr>
            </w:pPr>
            <w:r>
              <w:rPr>
                <w:rFonts w:ascii="Arial" w:cs="Arial" w:eastAsia="Arial" w:hAnsi="Arial"/>
                <w:sz w:val="18"/>
                <w:szCs w:val="18"/>
                <w:color w:val="auto"/>
              </w:rPr>
              <w:t>-  Certification pursuant to Section 302(a) of the Sarbanes-Oxley Act of 2002</w:t>
            </w:r>
          </w:p>
        </w:tc>
      </w:tr>
      <w:tr>
        <w:trPr>
          <w:trHeight w:val="432"/>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32.1</w:t>
            </w:r>
          </w:p>
        </w:tc>
        <w:tc>
          <w:tcPr>
            <w:tcW w:w="9560" w:type="dxa"/>
            <w:vAlign w:val="bottom"/>
          </w:tcPr>
          <w:p>
            <w:pPr>
              <w:ind w:left="100"/>
              <w:spacing w:after="0"/>
              <w:rPr>
                <w:sz w:val="20"/>
                <w:szCs w:val="20"/>
                <w:color w:val="auto"/>
              </w:rPr>
            </w:pPr>
            <w:r>
              <w:rPr>
                <w:rFonts w:ascii="Arial" w:cs="Arial" w:eastAsia="Arial" w:hAnsi="Arial"/>
                <w:sz w:val="18"/>
                <w:szCs w:val="18"/>
                <w:color w:val="auto"/>
              </w:rPr>
              <w:t>-  Certification of Chief Executive Officer pursuant to Section 906 of the Sarbanes-Oxley Act of 2002</w:t>
            </w:r>
          </w:p>
        </w:tc>
      </w:tr>
      <w:tr>
        <w:trPr>
          <w:trHeight w:val="432"/>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32.2</w:t>
            </w:r>
          </w:p>
        </w:tc>
        <w:tc>
          <w:tcPr>
            <w:tcW w:w="9560" w:type="dxa"/>
            <w:vAlign w:val="bottom"/>
          </w:tcPr>
          <w:p>
            <w:pPr>
              <w:ind w:left="100"/>
              <w:spacing w:after="0"/>
              <w:rPr>
                <w:sz w:val="20"/>
                <w:szCs w:val="20"/>
                <w:color w:val="auto"/>
              </w:rPr>
            </w:pPr>
            <w:r>
              <w:rPr>
                <w:rFonts w:ascii="Arial" w:cs="Arial" w:eastAsia="Arial" w:hAnsi="Arial"/>
                <w:sz w:val="18"/>
                <w:szCs w:val="18"/>
                <w:color w:val="auto"/>
              </w:rPr>
              <w:t>-  Certification of Chief Financial Officer pursuant to Section 906 of the Sarbanes-Oxley Act of 2002</w:t>
            </w:r>
          </w:p>
        </w:tc>
      </w:tr>
    </w:tbl>
    <w:p>
      <w:pPr>
        <w:spacing w:after="0" w:line="202" w:lineRule="exact"/>
        <w:rPr>
          <w:sz w:val="20"/>
          <w:szCs w:val="20"/>
          <w:color w:val="auto"/>
        </w:rPr>
      </w:pPr>
    </w:p>
    <w:p>
      <w:pPr>
        <w:ind w:left="800" w:hanging="326"/>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Reports on Form 8-K: The Company filed a report on Form 8-K with the Securities and Exchange Commission on April 22, 2004. The Form 8-K included the Cohu, Inc. First Quarter 2004 Earnings Release, dated April 21, 2004.</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35502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0"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60" w:val="left"/>
          <w:tab w:leader="none" w:pos="5800" w:val="left"/>
        </w:tabs>
        <w:rPr>
          <w:sz w:val="20"/>
          <w:szCs w:val="20"/>
          <w:color w:val="auto"/>
        </w:rPr>
      </w:pPr>
      <w:r>
        <w:rPr>
          <w:rFonts w:ascii="Arial" w:cs="Arial" w:eastAsia="Arial" w:hAnsi="Arial"/>
          <w:sz w:val="18"/>
          <w:szCs w:val="18"/>
          <w:color w:val="auto"/>
        </w:rPr>
        <w:t>Date:</w:t>
        <w:tab/>
        <w:t>July 26, 2004</w:t>
      </w:r>
      <w:r>
        <w:rPr>
          <w:sz w:val="20"/>
          <w:szCs w:val="20"/>
          <w:color w:val="auto"/>
        </w:rPr>
        <w:tab/>
      </w:r>
      <w:r>
        <w:rPr>
          <w:rFonts w:ascii="Arial" w:cs="Arial" w:eastAsia="Arial" w:hAnsi="Arial"/>
          <w:sz w:val="16"/>
          <w:szCs w:val="16"/>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3550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spacing w:after="0"/>
        <w:tabs>
          <w:tab w:leader="none" w:pos="560" w:val="left"/>
          <w:tab w:leader="none" w:pos="5800" w:val="left"/>
        </w:tabs>
        <w:rPr>
          <w:sz w:val="20"/>
          <w:szCs w:val="20"/>
          <w:color w:val="auto"/>
        </w:rPr>
      </w:pPr>
      <w:r>
        <w:rPr>
          <w:rFonts w:ascii="Arial" w:cs="Arial" w:eastAsia="Arial" w:hAnsi="Arial"/>
          <w:sz w:val="18"/>
          <w:szCs w:val="18"/>
          <w:color w:val="auto"/>
        </w:rPr>
        <w:t>Date:</w:t>
        <w:tab/>
        <w:t>July 26, 2004</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3550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Finance &amp; Chief Financial Officer</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569"/>
        </w:trPr>
        <w:tc>
          <w:tcPr>
            <w:tcW w:w="1340" w:type="dxa"/>
            <w:vAlign w:val="bottom"/>
          </w:tcPr>
          <w:p>
            <w:pPr>
              <w:jc w:val="right"/>
              <w:ind w:right="232"/>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24"/>
                <w:szCs w:val="24"/>
                <w:color w:val="auto"/>
              </w:rPr>
            </w:pPr>
          </w:p>
        </w:tc>
        <w:tc>
          <w:tcPr>
            <w:tcW w:w="9960" w:type="dxa"/>
            <w:vAlign w:val="bottom"/>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13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9960" w:type="dxa"/>
            <w:vAlign w:val="bottom"/>
            <w:tcBorders>
              <w:bottom w:val="single" w:sz="8" w:color="808080"/>
            </w:tcBorders>
          </w:tcPr>
          <w:p>
            <w:pPr>
              <w:spacing w:after="0"/>
              <w:rPr>
                <w:sz w:val="4"/>
                <w:szCs w:val="4"/>
                <w:color w:val="auto"/>
              </w:rPr>
            </w:pPr>
          </w:p>
        </w:tc>
      </w:tr>
      <w:tr>
        <w:trPr>
          <w:trHeight w:val="276"/>
        </w:trPr>
        <w:tc>
          <w:tcPr>
            <w:tcW w:w="1340" w:type="dxa"/>
            <w:vAlign w:val="bottom"/>
          </w:tcPr>
          <w:p>
            <w:pPr>
              <w:jc w:val="right"/>
              <w:ind w:right="4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3"/>
              </w:rPr>
              <w:t>Amended and Restated Certificate of Incorporation of Cohu, Inc. incorporated herein by reference to Exhibit 3.1(a) from the Cohu, Inc.</w:t>
            </w:r>
          </w:p>
        </w:tc>
      </w:tr>
      <w:tr>
        <w:trPr>
          <w:trHeight w:val="230"/>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1340" w:type="dxa"/>
            <w:vAlign w:val="bottom"/>
          </w:tcPr>
          <w:p>
            <w:pPr>
              <w:jc w:val="right"/>
              <w:ind w:right="272"/>
              <w:spacing w:after="0"/>
              <w:rPr>
                <w:sz w:val="20"/>
                <w:szCs w:val="20"/>
                <w:color w:val="auto"/>
              </w:rPr>
            </w:pPr>
            <w:r>
              <w:rPr>
                <w:rFonts w:ascii="Arial" w:cs="Arial" w:eastAsia="Arial" w:hAnsi="Arial"/>
                <w:sz w:val="18"/>
                <w:szCs w:val="18"/>
                <w:color w:val="auto"/>
              </w:rPr>
              <w:t>3.1(a)</w:t>
            </w:r>
          </w:p>
        </w:tc>
        <w:tc>
          <w:tcPr>
            <w:tcW w:w="12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2"/>
              </w:rPr>
              <w:t>Certificate of Amendment of Amended and Restated Certificate of Incorporation of Cohu, Inc. incorporated herein by reference from the</w:t>
            </w:r>
          </w:p>
        </w:tc>
      </w:tr>
      <w:tr>
        <w:trPr>
          <w:trHeight w:val="230"/>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Cohu, Inc. Form S-8 filed June 30, 2000, Exhibit 4.1(a)</w:t>
            </w:r>
          </w:p>
        </w:tc>
      </w:tr>
      <w:tr>
        <w:trPr>
          <w:trHeight w:val="418"/>
        </w:trPr>
        <w:tc>
          <w:tcPr>
            <w:tcW w:w="1340" w:type="dxa"/>
            <w:vAlign w:val="bottom"/>
          </w:tcPr>
          <w:p>
            <w:pPr>
              <w:jc w:val="right"/>
              <w:ind w:right="47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4"/>
              </w:rPr>
              <w:t>Amended and Restated Bylaws of Cohu, Inc. incorporated herein by reference to Exhibit 3.2 from the Cohu, Inc. Report on Form 8-K</w:t>
            </w:r>
          </w:p>
        </w:tc>
      </w:tr>
      <w:tr>
        <w:trPr>
          <w:trHeight w:val="230"/>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December 12, 1996</w:t>
            </w:r>
          </w:p>
        </w:tc>
      </w:tr>
      <w:tr>
        <w:trPr>
          <w:trHeight w:val="418"/>
        </w:trPr>
        <w:tc>
          <w:tcPr>
            <w:tcW w:w="1340" w:type="dxa"/>
            <w:vAlign w:val="bottom"/>
          </w:tcPr>
          <w:p>
            <w:pPr>
              <w:jc w:val="right"/>
              <w:ind w:right="47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1"/>
              </w:rPr>
              <w:t>Rights Agreement dated November 15, 1996, between Cohu, Inc. and ChaseMellon Shareholder Services, L.L.C., incorporated herein by</w:t>
            </w:r>
          </w:p>
        </w:tc>
      </w:tr>
      <w:tr>
        <w:trPr>
          <w:trHeight w:val="230"/>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reference from the Cohu, Inc. Report on Form 8-K filed December 12, 1996, Exhibit 4.1</w:t>
            </w:r>
          </w:p>
        </w:tc>
      </w:tr>
      <w:tr>
        <w:trPr>
          <w:trHeight w:val="432"/>
        </w:trPr>
        <w:tc>
          <w:tcPr>
            <w:tcW w:w="1340" w:type="dxa"/>
            <w:vAlign w:val="bottom"/>
          </w:tcPr>
          <w:p>
            <w:pPr>
              <w:jc w:val="right"/>
              <w:ind w:right="47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Loan Agreement dated June 28, 2004 between Cohu, Inc. and Bank of America, N.A.</w:t>
            </w:r>
          </w:p>
        </w:tc>
      </w:tr>
      <w:tr>
        <w:trPr>
          <w:trHeight w:val="418"/>
        </w:trPr>
        <w:tc>
          <w:tcPr>
            <w:tcW w:w="1340" w:type="dxa"/>
            <w:vAlign w:val="bottom"/>
          </w:tcPr>
          <w:p>
            <w:pPr>
              <w:jc w:val="right"/>
              <w:ind w:right="47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1"/>
              </w:rPr>
              <w:t>Cohu, Inc. 1998 Stock Option Plan (as amended), incorporated herein by reference from the Cohu Proxy Statement for the 2004 Annual</w:t>
            </w:r>
          </w:p>
        </w:tc>
      </w:tr>
      <w:tr>
        <w:trPr>
          <w:trHeight w:val="230"/>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Meeting of Stockholders</w:t>
            </w:r>
          </w:p>
        </w:tc>
      </w:tr>
      <w:tr>
        <w:trPr>
          <w:trHeight w:val="432"/>
        </w:trPr>
        <w:tc>
          <w:tcPr>
            <w:tcW w:w="1340" w:type="dxa"/>
            <w:vAlign w:val="bottom"/>
          </w:tcPr>
          <w:p>
            <w:pPr>
              <w:jc w:val="right"/>
              <w:ind w:right="47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340" w:type="dxa"/>
            <w:vAlign w:val="bottom"/>
          </w:tcPr>
          <w:p>
            <w:pPr>
              <w:jc w:val="right"/>
              <w:ind w:right="47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340" w:type="dxa"/>
            <w:vAlign w:val="bottom"/>
          </w:tcPr>
          <w:p>
            <w:pPr>
              <w:jc w:val="right"/>
              <w:ind w:right="472"/>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340" w:type="dxa"/>
            <w:vAlign w:val="bottom"/>
          </w:tcPr>
          <w:p>
            <w:pPr>
              <w:jc w:val="right"/>
              <w:ind w:right="472"/>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ectPr>
          <w:pgSz w:w="11900" w:h="16838" w:orient="portrait"/>
          <w:cols w:equalWidth="0" w:num="1">
            <w:col w:w="11420"/>
          </w:cols>
          <w:pgMar w:left="240" w:top="419" w:right="239" w:bottom="1440" w:gutter="0" w:footer="0" w:header="0"/>
        </w:sectPr>
      </w:pPr>
    </w:p>
    <w:bookmarkStart w:id="30" w:name="page31"/>
    <w:bookmarkEnd w:id="30"/>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LOAN AGREEMENT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Agreement dated as of June 28, 2004, is between Bank of America, N.A. (the "Bank") and Cohu, Inc. (the "Borrower").</w:t>
      </w:r>
    </w:p>
    <w:p>
      <w:pPr>
        <w:spacing w:after="0" w:line="208" w:lineRule="exact"/>
        <w:rPr>
          <w:sz w:val="20"/>
          <w:szCs w:val="20"/>
          <w:color w:val="auto"/>
        </w:rPr>
      </w:pPr>
    </w:p>
    <w:p>
      <w:pPr>
        <w:ind w:right="4619" w:firstLine="8"/>
        <w:spacing w:after="0" w:line="470"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FACILITY NO. 1: LINE OF CREDIT AMOUNT AND TERMS 1.1 Line of Credit Amount.</w:t>
      </w:r>
    </w:p>
    <w:p>
      <w:pPr>
        <w:spacing w:after="0" w:line="12" w:lineRule="exact"/>
        <w:rPr>
          <w:sz w:val="20"/>
          <w:szCs w:val="20"/>
          <w:color w:val="auto"/>
        </w:rPr>
      </w:pPr>
    </w:p>
    <w:p>
      <w:pPr>
        <w:ind w:left="640" w:right="2099" w:hanging="632"/>
        <w:spacing w:after="0" w:line="237"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availability period described below, the Bank will provide a line of credit to the Borrower. The amount of the line of credit (the "Facility No. 1 Commitment") is Five Million and 00/100 Dollars ($5,000,000.00).</w:t>
      </w:r>
    </w:p>
    <w:p>
      <w:pPr>
        <w:spacing w:after="0" w:line="207"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is a revolving line of credit. During the availability period, the Borrower may repay principal amounts and reborrow them.</w:t>
      </w:r>
    </w:p>
    <w:p>
      <w:pPr>
        <w:spacing w:after="0" w:line="208"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not to permit the principal balance outstanding to exceed the Facility No. 1 Commitment. If the Borrower exceeds this limit, the Borrower will immediately pay the excess to the Bank upon the Bank's demand.</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1.2 Availability Period. The line of credit is available between the date of this Agreement and July 1, 2005, or such earlier date as the availability may terminate as provided in this Agreement (the "Facility No. 1 Expiration Date").</w:t>
      </w:r>
    </w:p>
    <w:p>
      <w:pPr>
        <w:spacing w:after="0" w:line="17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Repayment Terms.</w:t>
      </w:r>
    </w:p>
    <w:p>
      <w:pPr>
        <w:spacing w:after="0" w:line="207" w:lineRule="exact"/>
        <w:rPr>
          <w:sz w:val="20"/>
          <w:szCs w:val="20"/>
          <w:color w:val="auto"/>
        </w:rPr>
      </w:pPr>
    </w:p>
    <w:p>
      <w:pPr>
        <w:ind w:left="640" w:right="1999" w:hanging="632"/>
        <w:spacing w:after="0" w:line="236"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pay interest on July 1, 2004, and then on the same day of each month thereafter until payment in full of any principal outstanding under this facility.</w:t>
      </w:r>
    </w:p>
    <w:p>
      <w:pPr>
        <w:spacing w:after="0" w:line="208" w:lineRule="exact"/>
        <w:rPr>
          <w:rFonts w:ascii="Courier New" w:cs="Courier New" w:eastAsia="Courier New" w:hAnsi="Courier New"/>
          <w:sz w:val="18"/>
          <w:szCs w:val="18"/>
          <w:color w:val="auto"/>
        </w:rPr>
      </w:pPr>
    </w:p>
    <w:p>
      <w:pPr>
        <w:ind w:left="640" w:right="1999" w:hanging="632"/>
        <w:spacing w:after="0" w:line="236"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repay in full any principal, interest or other charges outstanding under this facility no later than the Facility No. 1 Expiration Date.</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Interest Rate.</w:t>
      </w:r>
    </w:p>
    <w:p>
      <w:pPr>
        <w:spacing w:after="0" w:line="201" w:lineRule="exact"/>
        <w:rPr>
          <w:sz w:val="20"/>
          <w:szCs w:val="20"/>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rate is a rate per year equal to the Bank's Prime Rate.</w:t>
      </w:r>
    </w:p>
    <w:p>
      <w:pPr>
        <w:spacing w:after="0" w:line="206"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Prime Rate is the rate of interest publicly announced from time to time by the Bank as its Prime Rate. The Prime Rate is set by the Bank based on various factors, including the Bank's costs and desired return, general economic conditions and other factors, and is used as a reference point for pricing some loans. The Bank may price loans to its customers at, above, or below the Prime Rate. Any change in the Prime Rate shall take effect at the opening of business on the day specified in the public announcement of a change in the Bank's Prime Rate.</w:t>
      </w:r>
    </w:p>
    <w:p>
      <w:pPr>
        <w:spacing w:after="0" w:line="20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Letters of Credit.</w:t>
      </w:r>
    </w:p>
    <w:p>
      <w:pPr>
        <w:spacing w:after="0" w:line="207" w:lineRule="exact"/>
        <w:rPr>
          <w:sz w:val="20"/>
          <w:szCs w:val="20"/>
          <w:color w:val="auto"/>
        </w:rPr>
      </w:pPr>
    </w:p>
    <w:p>
      <w:pPr>
        <w:ind w:left="640" w:right="1999" w:hanging="632"/>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availability period, at the request of the Borrower, the Bank will issue:</w:t>
      </w:r>
    </w:p>
    <w:p>
      <w:pPr>
        <w:spacing w:after="0" w:line="208" w:lineRule="exact"/>
        <w:rPr>
          <w:rFonts w:ascii="Courier New" w:cs="Courier New" w:eastAsia="Courier New" w:hAnsi="Courier New"/>
          <w:sz w:val="18"/>
          <w:szCs w:val="18"/>
          <w:color w:val="auto"/>
        </w:rPr>
      </w:pPr>
    </w:p>
    <w:p>
      <w:pPr>
        <w:ind w:left="1280" w:right="1879" w:hanging="640"/>
        <w:spacing w:after="0" w:line="268" w:lineRule="auto"/>
        <w:tabs>
          <w:tab w:leader="none" w:pos="12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letters of credit with a maximum maturity of one hundred eighty (180) days but not to extend more than one hundred eighty</w:t>
      </w:r>
    </w:p>
    <w:p>
      <w:pPr>
        <w:ind w:left="1280" w:right="2099" w:hanging="8"/>
        <w:spacing w:after="0" w:line="290" w:lineRule="auto"/>
        <w:tabs>
          <w:tab w:leader="none" w:pos="1912"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beyond the Facility No. 1 Expiration Date. Each commercial letter of credit will require drafts payable at sight.</w:t>
      </w:r>
    </w:p>
    <w:p>
      <w:pPr>
        <w:spacing w:after="0" w:line="169" w:lineRule="exact"/>
        <w:rPr>
          <w:rFonts w:ascii="Courier New" w:cs="Courier New" w:eastAsia="Courier New" w:hAnsi="Courier New"/>
          <w:sz w:val="16"/>
          <w:szCs w:val="16"/>
          <w:color w:val="auto"/>
        </w:rPr>
      </w:pPr>
    </w:p>
    <w:p>
      <w:pPr>
        <w:ind w:left="1280" w:right="1999" w:hanging="640"/>
        <w:spacing w:after="0" w:line="279" w:lineRule="auto"/>
        <w:tabs>
          <w:tab w:leader="none" w:pos="12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standby letters of credit with a maximum maturity of three hundred sixty-five (365) days but not to extend more than three hundred sixty-five (365) days beyond the Facility No. 1 Expiration Date.</w:t>
      </w:r>
    </w:p>
    <w:p>
      <w:pPr>
        <w:spacing w:after="0" w:line="178" w:lineRule="exact"/>
        <w:rPr>
          <w:rFonts w:ascii="Courier New" w:cs="Courier New" w:eastAsia="Courier New" w:hAnsi="Courier New"/>
          <w:sz w:val="16"/>
          <w:szCs w:val="16"/>
          <w:color w:val="auto"/>
        </w:rPr>
      </w:pPr>
    </w:p>
    <w:p>
      <w:pPr>
        <w:ind w:left="640" w:right="1999" w:hanging="632"/>
        <w:spacing w:after="0" w:line="237"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calculating the principal amount outstanding under the Facility No. 1 Commitment, the calculation shall include the amount of any letters of credit outstanding, including amounts drawn on any letters of credit and not yet reimbursed.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Loan Agreement v.6</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537" w:gutter="0" w:footer="0" w:header="0"/>
        </w:sectPr>
      </w:pPr>
    </w:p>
    <w:bookmarkStart w:id="31" w:name="page32"/>
    <w:bookmarkEnd w:id="31"/>
    <w:p>
      <w:pPr>
        <w:ind w:left="640" w:right="23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letters of credit are outstanding from the Bank for the account of the Borrower:</w:t>
      </w:r>
    </w:p>
    <w:p>
      <w:pPr>
        <w:sectPr>
          <w:pgSz w:w="11900" w:h="16838" w:orient="portrait"/>
          <w:cols w:equalWidth="0" w:num="1">
            <w:col w:w="10219"/>
          </w:cols>
          <w:pgMar w:left="240" w:top="723" w:right="1440"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Letter of Credit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723" w:right="1440" w:bottom="97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3055074</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3055075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$1,690,055.80</w:t>
      </w:r>
    </w:p>
    <w:p>
      <w:pPr>
        <w:spacing w:after="0" w:line="2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845,027.90</w:t>
      </w:r>
    </w:p>
    <w:p>
      <w:pPr>
        <w:spacing w:after="0" w:line="200" w:lineRule="exact"/>
        <w:rPr>
          <w:sz w:val="20"/>
          <w:szCs w:val="20"/>
          <w:color w:val="auto"/>
        </w:rPr>
      </w:pPr>
    </w:p>
    <w:p>
      <w:pPr>
        <w:sectPr>
          <w:pgSz w:w="11900" w:h="16838" w:orient="portrait"/>
          <w:cols w:equalWidth="0" w:num="2">
            <w:col w:w="2660" w:space="720"/>
            <w:col w:w="6839"/>
          </w:cols>
          <w:pgMar w:left="240" w:top="723" w:right="1440" w:bottom="970" w:gutter="0" w:footer="0" w:header="0"/>
          <w:type w:val="continuous"/>
        </w:sectPr>
      </w:pPr>
    </w:p>
    <w:p>
      <w:pPr>
        <w:spacing w:after="0" w:line="22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of the date of this Agreement, these letters of credit shall be deemed to be outstanding under this Agreement, and shall be subject to all the terms and conditions stated in this Agreement.</w:t>
      </w:r>
    </w:p>
    <w:p>
      <w:pPr>
        <w:spacing w:after="0" w:line="203"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w:t>
      </w:r>
    </w:p>
    <w:p>
      <w:pPr>
        <w:spacing w:after="0" w:line="206" w:lineRule="exact"/>
        <w:rPr>
          <w:rFonts w:ascii="Courier New" w:cs="Courier New" w:eastAsia="Courier New" w:hAnsi="Courier New"/>
          <w:sz w:val="18"/>
          <w:szCs w:val="18"/>
          <w:color w:val="auto"/>
        </w:rPr>
      </w:pPr>
    </w:p>
    <w:p>
      <w:pPr>
        <w:ind w:left="1280" w:right="2199" w:hanging="640"/>
        <w:spacing w:after="0" w:line="237" w:lineRule="auto"/>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sum drawn under a letter of credit may, at the option of the Bank, be added to the principal amount outstanding under this Agreement. The amount will bear interest and be due as described elsewhere in this Agreement.</w:t>
      </w:r>
    </w:p>
    <w:p>
      <w:pPr>
        <w:spacing w:after="0" w:line="207" w:lineRule="exact"/>
        <w:rPr>
          <w:rFonts w:ascii="Courier New" w:cs="Courier New" w:eastAsia="Courier New" w:hAnsi="Courier New"/>
          <w:sz w:val="18"/>
          <w:szCs w:val="18"/>
          <w:color w:val="auto"/>
        </w:rPr>
      </w:pPr>
    </w:p>
    <w:p>
      <w:pPr>
        <w:ind w:left="1280" w:right="2099" w:hanging="640"/>
        <w:spacing w:after="0" w:line="290" w:lineRule="auto"/>
        <w:tabs>
          <w:tab w:leader="none" w:pos="12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default under this Agreement, to immediately prepay and make the Bank whole for any outstanding letters of credit.</w:t>
      </w:r>
    </w:p>
    <w:p>
      <w:pPr>
        <w:spacing w:after="0" w:line="169" w:lineRule="exact"/>
        <w:rPr>
          <w:rFonts w:ascii="Courier New" w:cs="Courier New" w:eastAsia="Courier New" w:hAnsi="Courier New"/>
          <w:sz w:val="16"/>
          <w:szCs w:val="16"/>
          <w:color w:val="auto"/>
        </w:rPr>
      </w:pPr>
    </w:p>
    <w:p>
      <w:pPr>
        <w:ind w:left="1280" w:right="1999" w:hanging="640"/>
        <w:spacing w:after="0" w:line="237" w:lineRule="auto"/>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any letter of credit and any amendment to a letter of credit is subject to the Bank's written approval and must be in form and content satisfactory to the Bank and in favor of a beneficiary acceptable to the Bank.</w:t>
      </w:r>
    </w:p>
    <w:p>
      <w:pPr>
        <w:spacing w:after="0" w:line="207"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sign the Bank's form Application and Agreement for Commercial Letter of Credit or Application and Agreement for Standby Letter of Credit, as applicable.</w:t>
      </w:r>
    </w:p>
    <w:p>
      <w:pPr>
        <w:spacing w:after="0" w:line="208" w:lineRule="exact"/>
        <w:rPr>
          <w:rFonts w:ascii="Courier New" w:cs="Courier New" w:eastAsia="Courier New" w:hAnsi="Courier New"/>
          <w:sz w:val="18"/>
          <w:szCs w:val="18"/>
          <w:color w:val="auto"/>
        </w:rPr>
      </w:pPr>
    </w:p>
    <w:p>
      <w:pPr>
        <w:ind w:left="1280" w:right="2199" w:hanging="640"/>
        <w:spacing w:after="0" w:line="236" w:lineRule="auto"/>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any issuance and/or other fees that the Bank notifies the Borrower will be charged for issuing and processing letters of credit for the Borrower.</w:t>
      </w:r>
    </w:p>
    <w:p>
      <w:pPr>
        <w:spacing w:after="0" w:line="208" w:lineRule="exact"/>
        <w:rPr>
          <w:rFonts w:ascii="Courier New" w:cs="Courier New" w:eastAsia="Courier New" w:hAnsi="Courier New"/>
          <w:sz w:val="18"/>
          <w:szCs w:val="18"/>
          <w:color w:val="auto"/>
        </w:rPr>
      </w:pPr>
    </w:p>
    <w:p>
      <w:pPr>
        <w:ind w:left="1280" w:right="1999" w:hanging="640"/>
        <w:spacing w:after="0" w:line="235" w:lineRule="auto"/>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allow the Bank to automatically charge its checking account for applicable fees, discounts, and other charges.</w:t>
      </w:r>
    </w:p>
    <w:p>
      <w:pPr>
        <w:spacing w:after="0" w:line="208" w:lineRule="exact"/>
        <w:rPr>
          <w:sz w:val="20"/>
          <w:szCs w:val="20"/>
          <w:color w:val="auto"/>
        </w:rPr>
      </w:pPr>
    </w:p>
    <w:p>
      <w:pPr>
        <w:ind w:right="7779" w:firstLine="8"/>
        <w:spacing w:after="0" w:line="470"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EXPENSES 2.1 Fees.</w:t>
      </w:r>
    </w:p>
    <w:p>
      <w:pPr>
        <w:spacing w:after="0" w:line="12" w:lineRule="exact"/>
        <w:rPr>
          <w:sz w:val="20"/>
          <w:szCs w:val="20"/>
          <w:color w:val="auto"/>
        </w:rPr>
      </w:pPr>
    </w:p>
    <w:p>
      <w:pPr>
        <w:ind w:left="640" w:right="1779" w:hanging="632"/>
        <w:spacing w:after="0" w:line="237"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Unused Commitment Fee. The Borrower agrees to pay a fee on any difference between the Facility No. 1 Commitment and the amount of credit it actually uses, determined by the average of the daily amount of credit outstanding during the specified period. The fee will be calculated at 0.125% per year. The calculation of credit outstanding shall not include the undrawn amount of letters of credit.</w:t>
      </w:r>
    </w:p>
    <w:p>
      <w:pPr>
        <w:spacing w:after="0" w:line="209" w:lineRule="exact"/>
        <w:rPr>
          <w:rFonts w:ascii="Courier New" w:cs="Courier New" w:eastAsia="Courier New" w:hAnsi="Courier New"/>
          <w:sz w:val="18"/>
          <w:szCs w:val="18"/>
          <w:color w:val="auto"/>
        </w:rPr>
      </w:pPr>
    </w:p>
    <w:p>
      <w:pPr>
        <w:ind w:left="6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fee is due on June 30, 2004, payable on the 10th day of the following month, and on the same day of each following quarter until the expiration of the availability period.</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2.2 Expenses. The Borrower agrees to immediately repay the Bank for expenses that include, but are not limited to, filing, recording and search fees, appraisal fees, title report fees, and documentation fees.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Reimbursement Costs.</w:t>
      </w:r>
    </w:p>
    <w:p>
      <w:pPr>
        <w:spacing w:after="0" w:line="207" w:lineRule="exact"/>
        <w:rPr>
          <w:sz w:val="20"/>
          <w:szCs w:val="20"/>
          <w:color w:val="auto"/>
        </w:rPr>
      </w:pPr>
    </w:p>
    <w:p>
      <w:pPr>
        <w:ind w:left="640" w:right="1779" w:hanging="632"/>
        <w:spacing w:after="0" w:line="237"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to reimburse the Bank for any expenses it incurs in the preparation of this Agreement and any agreement or instrument required by this Agreement. Expenses include, but are not limited to, reasonable attorneys' fees, including any allocated costs of the Bank's in-house counsel to the extent permitted by applicable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Loan Agreement v.6</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970" w:gutter="0" w:footer="0" w:header="0"/>
          <w:type w:val="continuous"/>
        </w:sectPr>
      </w:pPr>
    </w:p>
    <w:bookmarkStart w:id="32" w:name="page33"/>
    <w:bookmarkEnd w:id="32"/>
    <w:p>
      <w:pPr>
        <w:ind w:right="6099" w:firstLine="8"/>
        <w:spacing w:after="0" w:line="470"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DISBURSEMENTS, PAYMENTS AND COSTS 3.1 Disbursements and Payments.</w:t>
      </w:r>
    </w:p>
    <w:p>
      <w:pPr>
        <w:spacing w:after="0" w:line="12" w:lineRule="exact"/>
        <w:rPr>
          <w:sz w:val="20"/>
          <w:szCs w:val="20"/>
          <w:color w:val="auto"/>
        </w:rPr>
      </w:pPr>
    </w:p>
    <w:p>
      <w:pPr>
        <w:ind w:left="640" w:right="1879" w:hanging="632"/>
        <w:spacing w:after="0" w:line="237"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payment by the Borrower will be made in U.S. Dollars and immediately available funds by direct debit to a deposit account as specified below or, for payments not required to be made by direct debit, by mail to the address shown on the Borrower's statement or at one of the Bank's banking centers in the United States.</w:t>
      </w:r>
    </w:p>
    <w:p>
      <w:pPr>
        <w:spacing w:after="0" w:line="208" w:lineRule="exact"/>
        <w:rPr>
          <w:rFonts w:ascii="Courier New" w:cs="Courier New" w:eastAsia="Courier New" w:hAnsi="Courier New"/>
          <w:sz w:val="18"/>
          <w:szCs w:val="18"/>
          <w:color w:val="auto"/>
        </w:rPr>
      </w:pPr>
    </w:p>
    <w:p>
      <w:pPr>
        <w:ind w:left="640" w:right="1999" w:hanging="632"/>
        <w:spacing w:after="0" w:line="279" w:lineRule="auto"/>
        <w:tabs>
          <w:tab w:leader="none" w:pos="6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disbursement by the Bank and each payment by the Borrower will be evidenced by records kept by the Bank. In addition, the Bank may, at its discretion, require the Borrower to sign one or more promissory notes.</w:t>
      </w:r>
    </w:p>
    <w:p>
      <w:pPr>
        <w:spacing w:after="0" w:line="17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Telephone and Telefax Authorization.</w:t>
      </w:r>
    </w:p>
    <w:p>
      <w:pPr>
        <w:spacing w:after="0" w:line="207" w:lineRule="exact"/>
        <w:rPr>
          <w:sz w:val="20"/>
          <w:szCs w:val="20"/>
          <w:color w:val="auto"/>
        </w:rPr>
      </w:pPr>
    </w:p>
    <w:p>
      <w:pPr>
        <w:ind w:left="640" w:right="1779" w:hanging="632"/>
        <w:spacing w:after="0" w:line="237"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honor telephone or telefax instructions for advances or repayments and telefax requests for the issuance of letters of credit given, or purported to be given, by any one of the individuals authorized to sign loan agreements on behalf of the Borrower, or any other individual designated by any one of such authorized signers.</w:t>
      </w:r>
    </w:p>
    <w:p>
      <w:pPr>
        <w:spacing w:after="0" w:line="208" w:lineRule="exact"/>
        <w:rPr>
          <w:rFonts w:ascii="Courier New" w:cs="Courier New" w:eastAsia="Courier New" w:hAnsi="Courier New"/>
          <w:sz w:val="18"/>
          <w:szCs w:val="18"/>
          <w:color w:val="auto"/>
        </w:rPr>
      </w:pPr>
    </w:p>
    <w:p>
      <w:pPr>
        <w:ind w:left="640" w:right="2319" w:hanging="632"/>
        <w:spacing w:after="0" w:line="237"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Advances will be deposited in and repayments will be withdrawn from account number 14505-50312 owned by the Borrower or such other of the Borrower's accounts with the Bank as designated in writing by the Borrower.</w:t>
      </w:r>
    </w:p>
    <w:p>
      <w:pPr>
        <w:spacing w:after="0" w:line="207"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indemnify and hold the Bank harmless from all liability, loss, and costs in connection with any act resulting from telephone or telefax instructions the Bank reasonably believes are made by any individual authorized by the Borrower to give such instructions. This paragraph will survive this Agreement's termination, and will benefit the Bank and its officers, employees, and agents.</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Direct Debit (Pre-Billing).</w:t>
      </w:r>
    </w:p>
    <w:p>
      <w:pPr>
        <w:spacing w:after="0" w:line="201" w:lineRule="exact"/>
        <w:rPr>
          <w:sz w:val="20"/>
          <w:szCs w:val="20"/>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that the Bank will debit deposit account number</w:t>
      </w:r>
    </w:p>
    <w:p>
      <w:pPr>
        <w:spacing w:after="0" w:line="4"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14505-50312 owned by the Borrower or such other of the Borrower's accounts with the Bank as designated in writing by the Borrower (the "Designated Account") on the date each payment of principal and interest and any fees from the Borrower becomes due (the "Due Date").</w:t>
      </w:r>
    </w:p>
    <w:p>
      <w:pPr>
        <w:spacing w:after="0" w:line="207"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each Due Date, the Bank will mail to the Borrower a statement of the amounts that will be due on that Due Date (the "Billed Amount"). The bill will be mailed a specified number of calendar days prior to the Due Date, which number of days will be mutually agreed from time to time by the Bank and the Borrower. The calculations in the bill will be made on the assumption that no new extensions of credit or payments will be made between the date of the billing statement and the Due Date, and that there will be no changes in the applicable interest rate.</w:t>
      </w:r>
    </w:p>
    <w:p>
      <w:pPr>
        <w:spacing w:after="0" w:line="212" w:lineRule="exact"/>
        <w:rPr>
          <w:rFonts w:ascii="Courier New" w:cs="Courier New" w:eastAsia="Courier New" w:hAnsi="Courier New"/>
          <w:sz w:val="18"/>
          <w:szCs w:val="18"/>
          <w:color w:val="auto"/>
        </w:rPr>
      </w:pPr>
    </w:p>
    <w:p>
      <w:pPr>
        <w:ind w:left="640" w:right="1999" w:hanging="632"/>
        <w:spacing w:after="0" w:line="275" w:lineRule="auto"/>
        <w:tabs>
          <w:tab w:leader="none" w:pos="6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will debit the Designated Account for the Billed Amount, regardless of the actual amount due on that date (the "Accrued Amount"). If the Billed Amount debited to the Designated Account differs from the Accrued Amount, the discrepancy will be treated as follows:</w:t>
      </w:r>
    </w:p>
    <w:p>
      <w:pPr>
        <w:spacing w:after="0" w:line="182"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Billed Amount is less than the Accrued Amount, the Billed Amount for the following Due Date will be increased by the amount of the discrepancy. The Borrower will not be in default by reason of any such discrepancy.</w:t>
      </w:r>
    </w:p>
    <w:p>
      <w:pPr>
        <w:spacing w:after="0" w:line="207"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Billed Amount is more than the Accrued Amount, the Billed Amount for the following Due Date will be decreased by the amount of the discrepancy.</w:t>
      </w:r>
    </w:p>
    <w:p>
      <w:pPr>
        <w:spacing w:after="0" w:line="209"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Regardless of any such discrepancy, interest will continue to accrue based on the actual amount of principal outstanding without compounding. The Bank will not pay the Borrower interest on any overpayment.</w:t>
      </w:r>
    </w:p>
    <w:p>
      <w:pPr>
        <w:spacing w:after="0" w:line="209" w:lineRule="exact"/>
        <w:rPr>
          <w:sz w:val="20"/>
          <w:szCs w:val="20"/>
          <w:color w:val="auto"/>
        </w:rPr>
      </w:pPr>
    </w:p>
    <w:p>
      <w:pPr>
        <w:ind w:left="640" w:right="1999" w:hanging="632"/>
        <w:spacing w:after="0" w:line="237"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maintain sufficient funds in the Designated Account to cover each debit. If there are insufficient funds in the Designated Account on the date the Bank enters any debit authorized by this Agreement, the Bank may reverse the debit.</w:t>
      </w:r>
    </w:p>
    <w:p>
      <w:pPr>
        <w:spacing w:after="0" w:line="207" w:lineRule="exact"/>
        <w:rPr>
          <w:rFonts w:ascii="Courier New" w:cs="Courier New" w:eastAsia="Courier New" w:hAnsi="Courier New"/>
          <w:sz w:val="18"/>
          <w:szCs w:val="18"/>
          <w:color w:val="auto"/>
        </w:rPr>
      </w:pPr>
    </w:p>
    <w:p>
      <w:pPr>
        <w:ind w:left="640" w:right="1879" w:hanging="632"/>
        <w:spacing w:after="0" w:line="275" w:lineRule="auto"/>
        <w:tabs>
          <w:tab w:leader="none" w:pos="6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terminate this direct debit arrangement at any time by sending written notice to the Bank at the address specified at the end of this Agreement. If the Borrower terminates this arrangement, then the principal amount outstanding under this Agreement will at the option of</w:t>
      </w:r>
    </w:p>
    <w:p>
      <w:pPr>
        <w:sectPr>
          <w:pgSz w:w="11900" w:h="16838" w:orient="portrait"/>
          <w:cols w:equalWidth="0" w:num="1">
            <w:col w:w="10219"/>
          </w:cols>
          <w:pgMar w:left="240" w:top="723" w:right="1440" w:bottom="0" w:gutter="0" w:footer="0" w:header="0"/>
        </w:sectPr>
      </w:pPr>
    </w:p>
    <w:bookmarkStart w:id="33" w:name="page34"/>
    <w:bookmarkEnd w:id="33"/>
    <w:p>
      <w:pPr>
        <w:ind w:left="640" w:right="2099"/>
        <w:spacing w:after="0" w:line="236" w:lineRule="auto"/>
        <w:rPr>
          <w:sz w:val="20"/>
          <w:szCs w:val="20"/>
          <w:color w:val="auto"/>
        </w:rPr>
      </w:pPr>
      <w:r>
        <w:rPr>
          <w:rFonts w:ascii="Courier New" w:cs="Courier New" w:eastAsia="Courier New" w:hAnsi="Courier New"/>
          <w:sz w:val="18"/>
          <w:szCs w:val="18"/>
          <w:color w:val="auto"/>
        </w:rPr>
        <w:t>the Bank bear interest at a rate per annum which is 0.5 percentage point(s) higher than the rate of interest otherwise provided under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Loan Agreement v.6</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2" w:right="1440" w:bottom="1440" w:gutter="0" w:footer="0" w:header="0"/>
        </w:sectPr>
      </w:pPr>
    </w:p>
    <w:bookmarkStart w:id="34" w:name="page35"/>
    <w:bookmarkEnd w:id="34"/>
    <w:p>
      <w:pPr>
        <w:ind w:right="1779"/>
        <w:spacing w:after="0" w:line="271" w:lineRule="auto"/>
        <w:rPr>
          <w:sz w:val="20"/>
          <w:szCs w:val="20"/>
          <w:color w:val="auto"/>
        </w:rPr>
      </w:pPr>
      <w:r>
        <w:rPr>
          <w:rFonts w:ascii="Courier New" w:cs="Courier New" w:eastAsia="Courier New" w:hAnsi="Courier New"/>
          <w:sz w:val="16"/>
          <w:szCs w:val="16"/>
          <w:color w:val="auto"/>
        </w:rPr>
        <w:t>3.4 Banking Days. Unless otherwise provided in this Agreement, a banking day is a day other than a Saturday, Sunday or other day on which commercial banks are authorized to close, or are in fact closed, in the state where the Bank's lending office is located, and, if such day relates to amounts bearing interest at an offshore rate (if any), means any such day on which dealings in dollar deposits are conducted among banks in the offshore dollar interbank market. All payments and disbursements which would be due on a day which is not a banking day will be due on the next banking day. All payments received on a day which is not a banking day will be applied to the credit on the next banking day.</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3.5 Interest Calculation. Except as otherwise stated in this Agreement, all interest and fees, if any, will be computed on the basis of a 360-day year and the actual number of days elapsed. This results in more interest or a higher fee than if a 365-day year is used. Installments of principal which are not paid when due under this Agreement shall continue to bear interest until paid.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3.6 Default Rate. Upon the occurrence of any default under this Agreement, all amounts outstanding under this Agreement, including any interest, fees, or costs which are not paid when due, will at the option of the Bank bear interest at a rate which is 2.0 percentage point(s) higher than the rate of interest otherwise provided under this Agreement. This may result in compounding of interest. This will not constitute a waiver of any default.</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3.7 Interest Compounding. At the Bank's sole option in each instance, any interest, fees, or costs which are not paid when due under this Agreement shall bear interest from the due date at the Bank's Prime Rate plus 1.0 percentage point(s). This may result in compounding of interest.</w:t>
      </w:r>
    </w:p>
    <w:p>
      <w:pPr>
        <w:spacing w:after="0" w:line="202" w:lineRule="exact"/>
        <w:rPr>
          <w:sz w:val="20"/>
          <w:szCs w:val="20"/>
          <w:color w:val="auto"/>
        </w:rPr>
      </w:pPr>
    </w:p>
    <w:p>
      <w:pPr>
        <w:ind w:left="640" w:hanging="632"/>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Before the Bank is required to extend any credit to the Borrower under this Agreement, it must receive any documents and other items it may reasonably require, in form and content acceptable to the Bank, including any items specifically listed below.</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4.1 Authorizations. If the Borrower or any guarantor is anything other than a natural person, evidence that the execution, delivery and performance by the Borrower and/or such guarantor of this Agreement and any instrument or agreement required under this Agreement have been duly authorized.</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4.2 Governing Documents. If required by the Bank, a copy of the Borrower's organizational documents.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4.3 Payment of Fees. Payment of all fees and other amounts due and owing to the Bank, including without limitation payment of all accrued and unpaid expenses incurred by the Bank as required by the paragraph entitled "Reimbursement Costs."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4.4 Good Standing. Certificates of good standing for the Borrower from its state of formation and from any other state in which the Borrower is required to qualify to conduct its business.</w:t>
      </w:r>
    </w:p>
    <w:p>
      <w:pPr>
        <w:spacing w:after="0" w:line="203" w:lineRule="exact"/>
        <w:rPr>
          <w:sz w:val="20"/>
          <w:szCs w:val="20"/>
          <w:color w:val="auto"/>
        </w:rPr>
      </w:pPr>
    </w:p>
    <w:p>
      <w:pPr>
        <w:ind w:left="640" w:hanging="632"/>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When the Borrower signs this Agreement, and until the Bank is repaid in full, the Borrower makes the following representations and warranties. Each request for an extension of credit constitutes a renewal of these representations and warranties as of the date of the request: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5.1 Formation. If the Borrower is anything other than a natural person, it is duly formed and existing under the laws of the state or other jurisdiction where organized.</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5.2 Authorization. This Agreement, and any instrument or agreement required hereunder, are within the Borrower's powers, have been duly authorized, and do not conflict with any of its organizational papers.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5.3 Enforceable Agreement. This Agreement is a legal, valid and binding agreement of the Borrower, enforceable against the Borrower in accordance with its terms, and any instrument or agreement required hereunder, when executed and delivered, will be similarly legal, valid, binding and enforceable.</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5.4 Good Standing. In each state in which the Borrower does business, it is properly licensed, in good standing, and, where required, in compliance with fictitious name statutes.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Loan Agreement v.6</w:t>
      </w:r>
    </w:p>
    <w:p>
      <w:pPr>
        <w:sectPr>
          <w:pgSz w:w="11900" w:h="16838" w:orient="portrait"/>
          <w:cols w:equalWidth="0" w:num="1">
            <w:col w:w="10219"/>
          </w:cols>
          <w:pgMar w:left="240" w:top="723" w:right="1440" w:bottom="0" w:gutter="0" w:footer="0" w:header="0"/>
        </w:sectPr>
      </w:pPr>
    </w:p>
    <w:bookmarkStart w:id="35" w:name="page36"/>
    <w:bookmarkEnd w:id="35"/>
    <w:p>
      <w:pPr>
        <w:ind w:left="29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36" w:name="page37"/>
    <w:bookmarkEnd w:id="36"/>
    <w:p>
      <w:pPr>
        <w:ind w:right="1779"/>
        <w:spacing w:after="0" w:line="235" w:lineRule="auto"/>
        <w:rPr>
          <w:sz w:val="20"/>
          <w:szCs w:val="20"/>
          <w:color w:val="auto"/>
        </w:rPr>
      </w:pPr>
      <w:r>
        <w:rPr>
          <w:rFonts w:ascii="Courier New" w:cs="Courier New" w:eastAsia="Courier New" w:hAnsi="Courier New"/>
          <w:sz w:val="18"/>
          <w:szCs w:val="18"/>
          <w:color w:val="auto"/>
        </w:rPr>
        <w:t>5.5 No Conflicts. This Agreement does not conflict with any law, agreement, or obligation by which the Borrower is bound.</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5.6 Financial Information. All financial and other information that has been or will be supplied to the Bank is sufficiently complete to give the Bank accurate knowledge of the Borrower's (and any guarantor's) financial condition, including all material contingent liabilities. Since the date of the most recent financial statement provided to the Bank, there has been no material adverse change in the business condition (financial or otherwise), operations, properties or prospects of the Borrower (or any guarantor). If the Borrower is comprised of the trustees of a trust, the foregoing representations shall also pertain to the trustor(s) of the trust.</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5.7 Lawsuits. There is no lawsuit, tax claim or other dispute pending or threatened against the Borrower which, if lost, would impair the Borrower's financial condition or ability to repay the loan, except as have been disclosed in writing to the Bank.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5.8 Permits, Franchises. The Borrower possesses all permits, memberships, franchises, contracts and licenses required and all trademark rights, trade name rights, patent rights, copyrights and fictitious name rights necessary to enable it to conduct the business in which it is now engaged.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5.9 Other Obligations. The Borrower is not in default on any obligation for borrowed money, any purchase money obligation or any other material lease, commitment, contract, instrument or obligation, except as have been disclosed in writing to the Bank.</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5.10 Tax Matters. The Borrower has no knowledge of any pending assessments or adjustments of its income tax for any year and all taxes due have been paid, except as have been disclosed in writing to the Bank.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5.11 No Event of Default. There is no event which is, or with notice or lapse of time or both would be, a default under this Agreement.</w:t>
      </w:r>
    </w:p>
    <w:p>
      <w:pPr>
        <w:spacing w:after="0" w:line="208" w:lineRule="exact"/>
        <w:rPr>
          <w:sz w:val="20"/>
          <w:szCs w:val="20"/>
          <w:color w:val="auto"/>
        </w:rPr>
      </w:pPr>
    </w:p>
    <w:p>
      <w:pPr>
        <w:jc w:val="both"/>
        <w:ind w:right="2519"/>
        <w:spacing w:after="0" w:line="290" w:lineRule="auto"/>
        <w:rPr>
          <w:sz w:val="20"/>
          <w:szCs w:val="20"/>
          <w:color w:val="auto"/>
        </w:rPr>
      </w:pPr>
      <w:r>
        <w:rPr>
          <w:rFonts w:ascii="Courier New" w:cs="Courier New" w:eastAsia="Courier New" w:hAnsi="Courier New"/>
          <w:sz w:val="16"/>
          <w:szCs w:val="16"/>
          <w:color w:val="auto"/>
        </w:rPr>
        <w:t>5.12 Insurance. The Borrower has obtained, and maintained in effect, the insurance coverage required in the "Covenants" section of this Agreement.</w:t>
      </w:r>
    </w:p>
    <w:p>
      <w:pPr>
        <w:spacing w:after="0" w:line="164" w:lineRule="exact"/>
        <w:rPr>
          <w:sz w:val="20"/>
          <w:szCs w:val="20"/>
          <w:color w:val="auto"/>
        </w:rPr>
      </w:pP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Borrower agrees, so long as credit is available under this Agreement and until the Bank is repaid in full:</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Use of Proceeds.</w:t>
      </w:r>
    </w:p>
    <w:p>
      <w:pPr>
        <w:spacing w:after="0" w:line="201" w:lineRule="exact"/>
        <w:rPr>
          <w:sz w:val="20"/>
          <w:szCs w:val="20"/>
          <w:color w:val="auto"/>
        </w:rPr>
      </w:pPr>
    </w:p>
    <w:p>
      <w:pPr>
        <w:ind w:left="640" w:hanging="632"/>
        <w:spacing w:after="0"/>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the proceeds of Facility No. 1 only for working capital.</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6.2 Financial Information. To provide the following financial information and statements in form and content acceptable to the Bank, and such additional information as requested by the Bank from time to time:</w:t>
      </w:r>
    </w:p>
    <w:p>
      <w:pPr>
        <w:spacing w:after="0" w:line="209" w:lineRule="exact"/>
        <w:rPr>
          <w:sz w:val="20"/>
          <w:szCs w:val="20"/>
          <w:color w:val="auto"/>
        </w:rPr>
      </w:pPr>
    </w:p>
    <w:p>
      <w:pPr>
        <w:ind w:left="640" w:right="1999" w:hanging="632"/>
        <w:spacing w:after="0" w:line="237"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ninety (90) days of the fiscal year end, the annual financial statements of the Borrower. These financial statements must be audited (with an opinion satisfactory to the Bank) by a Certified Public Accountant acceptable to the Bank. The statements shall be prepared on a consolidated basis.</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forty-five (45) days of the period's end (including the last period in each fiscal year), quarterly financial statements of the Borrower, certified and dated by an authorized financial officer. These financial statements may be company-prepared. The statements shall be prepared on a consolidated basis.</w:t>
      </w:r>
    </w:p>
    <w:p>
      <w:pPr>
        <w:spacing w:after="0" w:line="208" w:lineRule="exact"/>
        <w:rPr>
          <w:rFonts w:ascii="Courier New" w:cs="Courier New" w:eastAsia="Courier New" w:hAnsi="Courier New"/>
          <w:sz w:val="18"/>
          <w:szCs w:val="18"/>
          <w:color w:val="auto"/>
        </w:rPr>
      </w:pPr>
    </w:p>
    <w:p>
      <w:pPr>
        <w:ind w:left="640" w:right="1999" w:hanging="632"/>
        <w:spacing w:after="0" w:line="236"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the Form 10-K Annual Report and Form 10-Q Quarterly Report for the Borrower concurrent with the date of filing with the Securities and Exchange Commission.</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6.3 Tangible Net Worth. To maintain on a consolidated basis Tangible Net Worth equal to at least One Hundred Sixty Million Dollars ($160,000,000).</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"Tangible Net Worth" means the value of total assets (including leaseholds and leasehold improvements and reserves against assets but excluding goodwill, patents, trademarks, trade names, organization expense, unamortized debt discount and expense, capitalized or deferred research and development costs, deferred marketing expenses, and other like intangibles, and monies due from affiliates, officers, directors, employees, shareholders, members or managers) less</w:t>
      </w:r>
    </w:p>
    <w:p>
      <w:pPr>
        <w:sectPr>
          <w:pgSz w:w="11900" w:h="16838" w:orient="portrait"/>
          <w:cols w:equalWidth="0" w:num="1">
            <w:col w:w="10219"/>
          </w:cols>
          <w:pgMar w:left="240" w:top="723"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Standard Loan Agreement v.6</w:t>
      </w: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36" w:right="1440" w:bottom="1440" w:gutter="0" w:footer="0" w:header="0"/>
        </w:sectPr>
      </w:pPr>
    </w:p>
    <w:bookmarkStart w:id="38" w:name="page39"/>
    <w:bookmarkEnd w:id="38"/>
    <w:p>
      <w:pPr>
        <w:ind w:right="2319"/>
        <w:spacing w:after="0" w:line="290" w:lineRule="auto"/>
        <w:rPr>
          <w:sz w:val="20"/>
          <w:szCs w:val="20"/>
          <w:color w:val="auto"/>
        </w:rPr>
      </w:pPr>
      <w:r>
        <w:rPr>
          <w:rFonts w:ascii="Courier New" w:cs="Courier New" w:eastAsia="Courier New" w:hAnsi="Courier New"/>
          <w:sz w:val="16"/>
          <w:szCs w:val="16"/>
          <w:color w:val="auto"/>
        </w:rPr>
        <w:t>total liabilities, including but not limited to accrued and deferred income taxes, but excluding the non-current portion of Subordinated Liabilities.</w:t>
      </w:r>
    </w:p>
    <w:p>
      <w:pPr>
        <w:spacing w:after="0" w:line="17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"Subordinated Liabilities" means liabilities subordinated to the Borrower's obligations to the Bank in a manner acceptable to the Bank in its sole discretion.</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6.4 Unencumbered Liquid Assets. To hold on a consolidated basis Unencumbered Liquid Assets having an aggregate market value of not less than Fifty Million Dollars ($50,000,0000).</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the purposes of this Agreement, "Unencumbered Liquid Assets" shall mean the following assets owned by the Borrower (excluding assets of any retirement plan) which (i) are not the subject of any lien, pledge, security interest or other arrangement with any creditor to have its claim satisfied out of the assets (or proceeds thereof) prior to the general creditors of the Borrower, and (ii) may be converted to cash within five (5) days: (a) Cash or cash equivalents held in the United States; (b) United States Treasury or governmental agency obligations which constitute full faith and credit of the United States of America; (c) Commercial paper rated P-1 or A1 by Moody's or S&amp;P, respectively; (d) Medium and long-term securities rated investment grade by one of the rating agencies described in (c) above; (e) Eligible Stocks ; (f) Mutual funds quoted in The Wall Street Journal which invest primarily in the assets described in (a) - (e) above. For purposes of this Agreement, "Eligible Stocks" means any common or preferred stock which (i) is not subject to statutory or contractual restrictions on sales, (ii) is traded on a U.S. national stock exchange or included in the National Market tier of NASDAQ and (iii) has, as of the close of trading on the applicable exchange (excluding after hours trading), a per share price of at least $15.</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6.5 Limitation On Losses. Not to incur on a consolidated basis a net loss before taxes and extraordinary items in excess of Seven Million Five Hundred Thousand Dollars ($7,500,000) in any annual accounting period.</w:t>
      </w:r>
    </w:p>
    <w:p>
      <w:pPr>
        <w:spacing w:after="0" w:line="209"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6.6 Capital Expenditures. Not to spend or incur obligations (including the total amount of any capital leases) to acquire fixed assets for more than Seven Million Five Hundred Thousand Dollars ($7,500,000) in any single fiscal year.</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6.7 Other Debts. Not to have outstanding or incur any direct or contingent liabilities or lease obligations (other than those to the Bank), or become liable for the liabilities of others, without the Bank's written consent. This does not prohibit:</w:t>
      </w:r>
    </w:p>
    <w:p>
      <w:pPr>
        <w:spacing w:after="0" w:line="202" w:lineRule="exact"/>
        <w:rPr>
          <w:sz w:val="20"/>
          <w:szCs w:val="20"/>
          <w:color w:val="auto"/>
        </w:rPr>
      </w:pPr>
    </w:p>
    <w:p>
      <w:pPr>
        <w:ind w:left="640" w:hanging="632"/>
        <w:spacing w:after="0"/>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goods, supplies, or merchandise on normal trade credit.</w:t>
      </w:r>
    </w:p>
    <w:p>
      <w:pPr>
        <w:spacing w:after="0" w:line="20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Endorsing negotiable instruments received in the usual course of business.</w:t>
      </w:r>
    </w:p>
    <w:p>
      <w:pPr>
        <w:spacing w:after="0" w:line="218"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surety bonds in the usual course of business.</w:t>
      </w:r>
    </w:p>
    <w:p>
      <w:pPr>
        <w:spacing w:after="0" w:line="206" w:lineRule="exact"/>
        <w:rPr>
          <w:rFonts w:ascii="Courier New" w:cs="Courier New" w:eastAsia="Courier New" w:hAnsi="Courier New"/>
          <w:sz w:val="18"/>
          <w:szCs w:val="18"/>
          <w:color w:val="auto"/>
        </w:rPr>
      </w:pPr>
    </w:p>
    <w:p>
      <w:pPr>
        <w:ind w:left="640" w:right="1999" w:hanging="632"/>
        <w:spacing w:after="0" w:line="235" w:lineRule="auto"/>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lines of credit and leases in existence on the date of this Agreement disclosed in writing to the Bank.</w:t>
      </w:r>
    </w:p>
    <w:p>
      <w:pPr>
        <w:spacing w:after="0" w:line="208" w:lineRule="exact"/>
        <w:rPr>
          <w:rFonts w:ascii="Courier New" w:cs="Courier New" w:eastAsia="Courier New" w:hAnsi="Courier New"/>
          <w:sz w:val="18"/>
          <w:szCs w:val="18"/>
          <w:color w:val="auto"/>
        </w:rPr>
      </w:pPr>
    </w:p>
    <w:p>
      <w:pPr>
        <w:ind w:left="640" w:right="1879" w:hanging="632"/>
        <w:spacing w:after="0" w:line="236" w:lineRule="auto"/>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debts and lease obligations for business purposes which do not exceed a total principal amount of One Million Dollars ($1,000,000) outstanding at any one time.</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6.8 Other Liens. Not to create, assume, or allow any security interest or lien (including judicial liens) on property the Borrower now or later owns, except:</w:t>
      </w:r>
    </w:p>
    <w:p>
      <w:pPr>
        <w:spacing w:after="0" w:line="203" w:lineRule="exact"/>
        <w:rPr>
          <w:sz w:val="20"/>
          <w:szCs w:val="20"/>
          <w:color w:val="auto"/>
        </w:rPr>
      </w:pPr>
    </w:p>
    <w:p>
      <w:pPr>
        <w:ind w:left="640" w:hanging="632"/>
        <w:spacing w:after="0"/>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and security interests in favor of the Bank.</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not yet due.</w:t>
      </w:r>
    </w:p>
    <w:p>
      <w:pPr>
        <w:spacing w:after="0" w:line="206"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outstanding on the date of this Agreement disclosed in writing to the Bank.</w:t>
      </w:r>
    </w:p>
    <w:p>
      <w:pPr>
        <w:spacing w:after="0" w:line="208"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purchase money security interests in assets acquired after the date of this Agreement, if the total principal amount of debts secured by such liens does not exceed One Million Dollars ($1,000,000) at any one time.</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6.9</w:t>
      </w:r>
      <w:r>
        <w:rPr>
          <w:sz w:val="20"/>
          <w:szCs w:val="20"/>
          <w:color w:val="auto"/>
        </w:rPr>
        <w:tab/>
      </w:r>
      <w:r>
        <w:rPr>
          <w:rFonts w:ascii="Courier New" w:cs="Courier New" w:eastAsia="Courier New" w:hAnsi="Courier New"/>
          <w:sz w:val="16"/>
          <w:szCs w:val="16"/>
          <w:color w:val="auto"/>
        </w:rPr>
        <w:t>Maintenance of Assets.</w:t>
      </w:r>
    </w:p>
    <w:p>
      <w:pPr>
        <w:spacing w:after="0" w:line="207" w:lineRule="exact"/>
        <w:rPr>
          <w:sz w:val="20"/>
          <w:szCs w:val="20"/>
          <w:color w:val="auto"/>
        </w:rPr>
      </w:pPr>
    </w:p>
    <w:p>
      <w:pPr>
        <w:ind w:left="640" w:right="1999" w:hanging="632"/>
        <w:spacing w:after="0" w:line="236" w:lineRule="auto"/>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sell, assign, lease, transfer or otherwise dispose of any part of the Borrower's business or the Borrower's assets except in the ordinary course of the Borrower's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Loan Agreement v.6</w:t>
      </w:r>
    </w:p>
    <w:p>
      <w:pPr>
        <w:sectPr>
          <w:pgSz w:w="11900" w:h="16838" w:orient="portrait"/>
          <w:cols w:equalWidth="0" w:num="1">
            <w:col w:w="10219"/>
          </w:cols>
          <w:pgMar w:left="240" w:top="723" w:right="1440" w:bottom="0" w:gutter="0" w:footer="0" w:header="0"/>
        </w:sectPr>
      </w:pPr>
    </w:p>
    <w:bookmarkStart w:id="39" w:name="page40"/>
    <w:bookmarkEnd w:id="39"/>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44" w:right="1440" w:bottom="1440" w:gutter="0" w:footer="0" w:header="0"/>
        </w:sectPr>
      </w:pPr>
    </w:p>
    <w:bookmarkStart w:id="40" w:name="page41"/>
    <w:bookmarkEnd w:id="40"/>
    <w:p>
      <w:pPr>
        <w:ind w:left="640" w:right="2099" w:hanging="632"/>
        <w:spacing w:after="0" w:line="290" w:lineRule="auto"/>
        <w:tabs>
          <w:tab w:leader="none" w:pos="6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to sell, assign, lease, transfer or otherwise dispose of any assets for less than fair market value, or enter into any agreement to do so.</w:t>
      </w:r>
    </w:p>
    <w:p>
      <w:pPr>
        <w:spacing w:after="0" w:line="169" w:lineRule="exact"/>
        <w:rPr>
          <w:rFonts w:ascii="Courier New" w:cs="Courier New" w:eastAsia="Courier New" w:hAnsi="Courier New"/>
          <w:sz w:val="16"/>
          <w:szCs w:val="16"/>
          <w:color w:val="auto"/>
        </w:rPr>
      </w:pPr>
    </w:p>
    <w:p>
      <w:pPr>
        <w:ind w:left="640" w:right="2199" w:hanging="632"/>
        <w:spacing w:after="0" w:line="235" w:lineRule="auto"/>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enter into any sale and leaseback agreement covering any of its fixed assets.</w:t>
      </w:r>
    </w:p>
    <w:p>
      <w:pPr>
        <w:spacing w:after="0" w:line="208" w:lineRule="exact"/>
        <w:rPr>
          <w:rFonts w:ascii="Courier New" w:cs="Courier New" w:eastAsia="Courier New" w:hAnsi="Courier New"/>
          <w:sz w:val="18"/>
          <w:szCs w:val="18"/>
          <w:color w:val="auto"/>
        </w:rPr>
      </w:pPr>
    </w:p>
    <w:p>
      <w:pPr>
        <w:ind w:left="640" w:right="2519" w:hanging="632"/>
        <w:spacing w:after="0" w:line="235" w:lineRule="auto"/>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maintain and preserve all rights, privileges, and franchises the Borrower now has.</w:t>
      </w:r>
    </w:p>
    <w:p>
      <w:pPr>
        <w:spacing w:after="0" w:line="208"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any repairs, renewals, or replacements to keep the Borrower's properties in good working condition.</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6.10</w:t>
      </w:r>
      <w:r>
        <w:rPr>
          <w:sz w:val="20"/>
          <w:szCs w:val="20"/>
          <w:color w:val="auto"/>
        </w:rPr>
        <w:tab/>
      </w:r>
      <w:r>
        <w:rPr>
          <w:rFonts w:ascii="Courier New" w:cs="Courier New" w:eastAsia="Courier New" w:hAnsi="Courier New"/>
          <w:sz w:val="16"/>
          <w:szCs w:val="16"/>
          <w:color w:val="auto"/>
        </w:rPr>
        <w:t>Additional Negative Covenants. Not to, without the Bank's written consent:</w:t>
      </w:r>
    </w:p>
    <w:p>
      <w:pPr>
        <w:spacing w:after="0" w:line="207" w:lineRule="exact"/>
        <w:rPr>
          <w:sz w:val="20"/>
          <w:szCs w:val="20"/>
          <w:color w:val="auto"/>
        </w:rPr>
      </w:pPr>
    </w:p>
    <w:p>
      <w:pPr>
        <w:jc w:val="both"/>
        <w:ind w:left="640" w:right="2099" w:hanging="632"/>
        <w:spacing w:after="0" w:line="236" w:lineRule="auto"/>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consolidation, merger, or other combination, or become a partner in a partnership, a member of a joint venture, or a member of a limited liability company.</w:t>
      </w:r>
    </w:p>
    <w:p>
      <w:pPr>
        <w:spacing w:after="0" w:line="208" w:lineRule="exact"/>
        <w:rPr>
          <w:rFonts w:ascii="Courier New" w:cs="Courier New" w:eastAsia="Courier New" w:hAnsi="Courier New"/>
          <w:sz w:val="18"/>
          <w:szCs w:val="18"/>
          <w:color w:val="auto"/>
        </w:rPr>
      </w:pPr>
    </w:p>
    <w:p>
      <w:pPr>
        <w:ind w:left="640" w:right="2199" w:hanging="632"/>
        <w:spacing w:after="0" w:line="236" w:lineRule="auto"/>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or purchase a business or its assets for a consideration, including assumption of direct or contingent debt, in excess of Twenty Million Dollars ($20,000,000) in the aggregate.</w:t>
      </w:r>
    </w:p>
    <w:p>
      <w:pPr>
        <w:spacing w:after="0" w:line="208" w:lineRule="exact"/>
        <w:rPr>
          <w:rFonts w:ascii="Courier New" w:cs="Courier New" w:eastAsia="Courier New" w:hAnsi="Courier New"/>
          <w:sz w:val="18"/>
          <w:szCs w:val="18"/>
          <w:color w:val="auto"/>
        </w:rPr>
      </w:pPr>
    </w:p>
    <w:p>
      <w:pPr>
        <w:ind w:left="640" w:right="2619" w:hanging="632"/>
        <w:spacing w:after="0" w:line="235" w:lineRule="auto"/>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business activities substantially different from the Borrower's present business.</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Liquidate or dissolve the Borrower's business.</w:t>
      </w:r>
    </w:p>
    <w:p>
      <w:pPr>
        <w:spacing w:after="0" w:line="206" w:lineRule="exact"/>
        <w:rPr>
          <w:rFonts w:ascii="Courier New" w:cs="Courier New" w:eastAsia="Courier New" w:hAnsi="Courier New"/>
          <w:sz w:val="18"/>
          <w:szCs w:val="18"/>
          <w:color w:val="auto"/>
        </w:rPr>
      </w:pPr>
    </w:p>
    <w:p>
      <w:pPr>
        <w:ind w:left="640" w:right="1779" w:hanging="632"/>
        <w:spacing w:after="0" w:line="235" w:lineRule="auto"/>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Voluntarily suspend the Borrower's business for more than five (5) days in any 30-day period.</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6.11 Bank as Principal Depository. To maintain the Bank as its principal depository bank, including for the maintenance of business, cash management, operating and administrative deposit accounts.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6.12</w:t>
      </w:r>
      <w:r>
        <w:rPr>
          <w:sz w:val="20"/>
          <w:szCs w:val="20"/>
          <w:color w:val="auto"/>
        </w:rPr>
        <w:tab/>
      </w:r>
      <w:r>
        <w:rPr>
          <w:rFonts w:ascii="Courier New" w:cs="Courier New" w:eastAsia="Courier New" w:hAnsi="Courier New"/>
          <w:sz w:val="16"/>
          <w:szCs w:val="16"/>
          <w:color w:val="auto"/>
        </w:rPr>
        <w:t>Notices to Bank. To promptly notify the Bank in writing of:</w:t>
      </w:r>
    </w:p>
    <w:p>
      <w:pPr>
        <w:spacing w:after="0" w:line="207" w:lineRule="exact"/>
        <w:rPr>
          <w:sz w:val="20"/>
          <w:szCs w:val="20"/>
          <w:color w:val="auto"/>
        </w:rPr>
      </w:pPr>
    </w:p>
    <w:p>
      <w:pPr>
        <w:ind w:left="640" w:right="1999" w:hanging="632"/>
        <w:spacing w:after="0" w:line="236"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lawsuit over Five Million and 00/100 Dollars ($5,000,000.00) against the Borrower (or any guarantor or, if the Borrower is comprised of the trustees of a trust, any trustor).</w:t>
      </w:r>
    </w:p>
    <w:p>
      <w:pPr>
        <w:spacing w:after="0" w:line="208" w:lineRule="exact"/>
        <w:rPr>
          <w:rFonts w:ascii="Courier New" w:cs="Courier New" w:eastAsia="Courier New" w:hAnsi="Courier New"/>
          <w:sz w:val="18"/>
          <w:szCs w:val="18"/>
          <w:color w:val="auto"/>
        </w:rPr>
      </w:pPr>
    </w:p>
    <w:p>
      <w:pPr>
        <w:jc w:val="both"/>
        <w:ind w:left="640" w:right="2619" w:hanging="632"/>
        <w:spacing w:after="0" w:line="236"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substantial dispute between any governmental authority and the Borrower (or any guarantor or, if the Borrower is comprised of the trustees of a trust, any trustor).</w:t>
      </w:r>
    </w:p>
    <w:p>
      <w:pPr>
        <w:spacing w:after="0" w:line="208" w:lineRule="exact"/>
        <w:rPr>
          <w:rFonts w:ascii="Courier New" w:cs="Courier New" w:eastAsia="Courier New" w:hAnsi="Courier New"/>
          <w:sz w:val="18"/>
          <w:szCs w:val="18"/>
          <w:color w:val="auto"/>
        </w:rPr>
      </w:pPr>
    </w:p>
    <w:p>
      <w:pPr>
        <w:ind w:left="640" w:right="1779" w:hanging="632"/>
        <w:spacing w:after="0" w:line="235"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of default under this Agreement, or any event which, with notice or lapse of time or both, would constitute an event of default.</w:t>
      </w:r>
    </w:p>
    <w:p>
      <w:pPr>
        <w:spacing w:after="0" w:line="208"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adverse change in the Borrower's (or any guarantor's, or, if the Borrower is comprised of the trustees of a trust, any trustor's) business condition (financial or otherwise), operations, properties or prospects, or ability to repay the credit.</w:t>
      </w:r>
    </w:p>
    <w:p>
      <w:pPr>
        <w:spacing w:after="0" w:line="207" w:lineRule="exact"/>
        <w:rPr>
          <w:rFonts w:ascii="Courier New" w:cs="Courier New" w:eastAsia="Courier New" w:hAnsi="Courier New"/>
          <w:sz w:val="18"/>
          <w:szCs w:val="18"/>
          <w:color w:val="auto"/>
        </w:rPr>
      </w:pPr>
    </w:p>
    <w:p>
      <w:pPr>
        <w:ind w:left="640" w:right="1879" w:hanging="632"/>
        <w:spacing w:after="0" w:line="236"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Borrower's name, legal structure, place of business, or chief executive office if the Borrower has more than one place of business.</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actual contingent liabilities of the Borrower (or any guarantor or, if the Borrower is comprised of the trustees of a trust, any trustor), and any such contingent liabilities which are reasonably foreseeable, where such liabilities are in excess of One Million and 00/100 Dollars ($1,000,000.00) in the aggregate.</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6.13</w:t>
      </w:r>
      <w:r>
        <w:rPr>
          <w:sz w:val="20"/>
          <w:szCs w:val="20"/>
          <w:color w:val="auto"/>
        </w:rPr>
        <w:tab/>
      </w:r>
      <w:r>
        <w:rPr>
          <w:rFonts w:ascii="Courier New" w:cs="Courier New" w:eastAsia="Courier New" w:hAnsi="Courier New"/>
          <w:sz w:val="16"/>
          <w:szCs w:val="16"/>
          <w:color w:val="auto"/>
        </w:rPr>
        <w:t>Insurance.</w:t>
      </w:r>
    </w:p>
    <w:p>
      <w:pPr>
        <w:spacing w:after="0" w:line="207" w:lineRule="exact"/>
        <w:rPr>
          <w:sz w:val="20"/>
          <w:szCs w:val="20"/>
          <w:color w:val="auto"/>
        </w:rPr>
      </w:pPr>
    </w:p>
    <w:p>
      <w:pPr>
        <w:ind w:left="640" w:right="2319" w:hanging="632"/>
        <w:spacing w:after="0" w:line="235" w:lineRule="auto"/>
        <w:tabs>
          <w:tab w:leader="none" w:pos="6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Business Insurance. To maintain insurance as is usual for the business it is in.</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6.14 Compliance with Laws. To comply with the laws (including any fictitious or trade name statute), regulations, and orders of any government body with authority over the Borrower's business.</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6.15 ERISA Plans. Promptly during each year, to pay and cause any subsidiaries to pay contributions adequate to meet at least the minimum funding standards under ERISA with respect to each and every Plan; file each annual report required to be filed pursuant to ERISA in connection with each Plan for each year; and notify the Bank within ten (10) days of the occurrence of any Reportable Event that might constitute grounds for termination of any capital Plan by the Pension Benefit Guaranty Corporation or for the appointment by the</w:t>
      </w:r>
    </w:p>
    <w:p>
      <w:pPr>
        <w:sectPr>
          <w:pgSz w:w="11900" w:h="16838" w:orient="portrait"/>
          <w:cols w:equalWidth="0" w:num="1">
            <w:col w:w="10219"/>
          </w:cols>
          <w:pgMar w:left="240" w:top="723" w:right="1440"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appropriate United States District Court of a trustee to</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Loan Agreement v.6</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42" w:name="page43"/>
    <w:bookmarkEnd w:id="42"/>
    <w:p>
      <w:pPr>
        <w:ind w:right="1779"/>
        <w:spacing w:after="0" w:line="236" w:lineRule="auto"/>
        <w:rPr>
          <w:sz w:val="20"/>
          <w:szCs w:val="20"/>
          <w:color w:val="auto"/>
        </w:rPr>
      </w:pPr>
      <w:r>
        <w:rPr>
          <w:rFonts w:ascii="Courier New" w:cs="Courier New" w:eastAsia="Courier New" w:hAnsi="Courier New"/>
          <w:sz w:val="18"/>
          <w:szCs w:val="18"/>
          <w:color w:val="auto"/>
        </w:rPr>
        <w:t>administer any Plan. "ERISA" means the Employee Retirement Income Security Act of 1974, as amended from time to time. Capitalized terms in this paragraph shall have the meanings defined within ERISA.</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6.16</w:t>
      </w:r>
      <w:r>
        <w:rPr>
          <w:sz w:val="20"/>
          <w:szCs w:val="20"/>
          <w:color w:val="auto"/>
        </w:rPr>
        <w:tab/>
      </w:r>
      <w:r>
        <w:rPr>
          <w:rFonts w:ascii="Courier New" w:cs="Courier New" w:eastAsia="Courier New" w:hAnsi="Courier New"/>
          <w:sz w:val="16"/>
          <w:szCs w:val="16"/>
          <w:color w:val="auto"/>
        </w:rPr>
        <w:t>Books and Records. To maintain adequate books and records.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6.17 Audits. To allow the Bank and its agents to inspect the Borrower's properties and examine, audit, and make copies of books and records at any reasonable time. If any of the Borrower's properties, books or records are in the possession of a third party, the Borrower authorizes that third party to permit the Bank or its agents to have access to perform inspections or audits and to respond to the Bank's requests for information concerning such properties, books and records.</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6.18 Cooperation. To take any action reasonably requested by the Bank to carry out the intent of this Agreement.</w:t>
      </w:r>
    </w:p>
    <w:p>
      <w:pPr>
        <w:spacing w:after="0" w:line="203" w:lineRule="exact"/>
        <w:rPr>
          <w:sz w:val="20"/>
          <w:szCs w:val="20"/>
          <w:color w:val="auto"/>
        </w:rPr>
      </w:pPr>
    </w:p>
    <w:p>
      <w:pPr>
        <w:ind w:left="640" w:hanging="632"/>
        <w:spacing w:after="0"/>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HAZARDOUS SUBSTANCES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7.1 Indemnity Regarding Hazardous Substances. The Borrower will indemnify and hold harmless the Bank from any loss or liability the Bank incurs in connection with or as a result of this Agreement, which directly or indirectly arises out of the use, generation, manufacture, production, storage, release, threatened release, discharge, disposal or presence of a hazardous substance. This indemnity will apply whether the hazardous substance is on, under or about the Borrower's property or operations or property leased to the Borrower. The indemnity includes but is not limited to attorneys' fees (including the reasonable estimate of the allocated cost of in-house counsel and staff). The indemnity extends to the Bank, its parent, subsidiaries and all of their directors, officers, employees, agents, successors, attorneys and assigns.</w:t>
      </w:r>
    </w:p>
    <w:p>
      <w:pPr>
        <w:spacing w:after="0" w:line="18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7.2 Definition of Hazardous Substances. "Hazardous substances" means any substance, material or waste that is or becomes designated or regulated as "toxic," "hazardous," "pollutant," or "contaminant" or a similar designation or regulation under any federal, state or local law (whether under common law, statute, regulation or otherwise) or judicial or administrative interpretation of such, including without limitation petroleum or natural gas. This indemnity will survive repayment of the Borrower's obligations to the Bank.</w:t>
      </w:r>
    </w:p>
    <w:p>
      <w:pPr>
        <w:spacing w:after="0" w:line="182" w:lineRule="exact"/>
        <w:rPr>
          <w:sz w:val="20"/>
          <w:szCs w:val="20"/>
          <w:color w:val="auto"/>
        </w:rPr>
      </w:pPr>
    </w:p>
    <w:p>
      <w:pPr>
        <w:ind w:left="640" w:hanging="632"/>
        <w:spacing w:after="0"/>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AND REMEDIES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If any of the following events of default occurs, the Bank may do one or more of the following: declare the Borrower in default, stop making any additional credit available to the Borrower, and require the Borrower to repay its entire debt immediately and without prior notice. If an event which, with notice or the passage of time, will constitute an event of default has occurred and is continuing, the Bank has no obligation to make advances or extend additional credit under this Agreement. In addition, if any event of default occurs, the Bank shall have all rights, powers and remedies available under any instruments and agreements required by or executed in connection with this Agreement, as well as all rights and remedies available at law or in equity. If an event of default occurs under the paragraph entitled "Bankruptcy," below, with respect to the Borrower, then the entire debt outstanding under this Agreement will automatically be due immediately.</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8.1 Failure to Pay. The Borrower fails to make a payment under this Agreement when due.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8.2 Other Bank Agreements. Any default occurs under any other agreement the Borrower (or any Obligor) or any of the Borrower's related entities or affiliates has with the Bank or any affiliate of the Bank. For purposes of this Agreement, "Obligor" shall mean any guarantor, any party pledging collateral to the Bank, or, if the Borrower is comprised of the trustees of a trust, any trustor.</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8.3 Cross-default. Any default occurs under any agreement in connection with any credit the Borrower (or any Obligor) or any of the Borrower's related entities or affiliates has obtained from anyone else or which the Borrower (or any Obligor) or any of the Borrower's related entities or affiliates has guaranteed.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8.4 False Information. The Borrower or any Obligor has given the Bank false or misleading information or representations.</w:t>
      </w:r>
    </w:p>
    <w:p>
      <w:pPr>
        <w:spacing w:after="0" w:line="20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8.5 Bankruptcy. The Borrower, any Obligor, or any general partner of the Borrower or of any Obligor files a bankruptcy petition, a bankruptcy petition is filed against any of the foregoing parties, or the Borrower, any Obligor, or any general partner of the Borrower or of any Obligor makes a general assignment for</w:t>
      </w:r>
    </w:p>
    <w:p>
      <w:pPr>
        <w:sectPr>
          <w:pgSz w:w="11900" w:h="16838" w:orient="portrait"/>
          <w:cols w:equalWidth="0" w:num="1">
            <w:col w:w="10219"/>
          </w:cols>
          <w:pgMar w:left="240" w:top="723"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the benefit of creditors.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Loan Agreement v.6</w:t>
      </w: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36" w:right="1440" w:bottom="1440" w:gutter="0" w:footer="0" w:header="0"/>
        </w:sectPr>
      </w:pPr>
    </w:p>
    <w:bookmarkStart w:id="44" w:name="page45"/>
    <w:bookmarkEnd w:id="44"/>
    <w:p>
      <w:pPr>
        <w:ind w:right="1999"/>
        <w:spacing w:after="0" w:line="237" w:lineRule="auto"/>
        <w:rPr>
          <w:sz w:val="20"/>
          <w:szCs w:val="20"/>
          <w:color w:val="auto"/>
        </w:rPr>
      </w:pPr>
      <w:r>
        <w:rPr>
          <w:rFonts w:ascii="Courier New" w:cs="Courier New" w:eastAsia="Courier New" w:hAnsi="Courier New"/>
          <w:sz w:val="18"/>
          <w:szCs w:val="18"/>
          <w:color w:val="auto"/>
        </w:rPr>
        <w:t>8.6 Receivers. A receiver or similar official is appointed for a substantial portion of the Borrower's or any Obligor's business, or the business is terminated, or, if any Obligor is anything other than a natural person, such Obligor is liquidated or dissolved.</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8.7 Judgments. Any judgments or arbitration awards are entered against the Borrower or any Obligor, or the Borrower or any Obligor enters into any settlement agreements with respect to any litigation or arbitration, in an aggregate amount of Two Million and 00/100 Dollars ($2,000,000.00) or more in excess of any insurance coverage.</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8.8 Material Adverse Change. A material adverse change occurs, or is reasonably likely to occur, in the Borrower's (or any Obligor's) business condition (financial or otherwise), operations, properties or prospects, or ability to repay the credit.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8.9 Government Action. Any government authority takes action that the Bank believes materially adversely affects the Borrower's or any Obligor's financial condition or ability to repay.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8.10 Default under Related Documents. Any default occurs under any guaranty, subordination agreement, security agreement, deed of trust, mortgage, or other document required by or delivered in connection with this Agreement or any such document is no longer in effect, or any guarantor purports to revoke or disavow the guaranty.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8.11 ERISA Plans. Any one or more of the following events occurs with respect to a Plan of the Borrower subject to Title IV of ERISA, provided such event or events could reasonably be expected, in the judgment of the Bank, to subject the Borrower to any tax, penalty or liability (or any combination of the foregoing) which, in the aggregate, could have a material adverse effect on the financial condition of the Borrower:</w:t>
      </w:r>
    </w:p>
    <w:p>
      <w:pPr>
        <w:spacing w:after="0" w:line="210" w:lineRule="exact"/>
        <w:rPr>
          <w:sz w:val="20"/>
          <w:szCs w:val="20"/>
          <w:color w:val="auto"/>
        </w:rPr>
      </w:pPr>
    </w:p>
    <w:p>
      <w:pPr>
        <w:ind w:left="640" w:right="1779" w:hanging="632"/>
        <w:spacing w:after="0" w:line="235" w:lineRule="auto"/>
        <w:tabs>
          <w:tab w:leader="none" w:pos="6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reportable event shall occur under Section 4043(c) of ERISA with respect to a Plan.</w:t>
      </w:r>
    </w:p>
    <w:p>
      <w:pPr>
        <w:spacing w:after="0" w:line="208" w:lineRule="exact"/>
        <w:rPr>
          <w:rFonts w:ascii="Courier New" w:cs="Courier New" w:eastAsia="Courier New" w:hAnsi="Courier New"/>
          <w:sz w:val="18"/>
          <w:szCs w:val="18"/>
          <w:color w:val="auto"/>
        </w:rPr>
      </w:pPr>
    </w:p>
    <w:p>
      <w:pPr>
        <w:ind w:left="640" w:right="1779" w:hanging="632"/>
        <w:spacing w:after="0" w:line="236" w:lineRule="auto"/>
        <w:tabs>
          <w:tab w:leader="none" w:pos="6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Plan termination (or commencement of proceedings to terminate a Plan) or the full or partial withdrawal from a Plan by the Borrower or any ERISA Affiliate.</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8.12 Other Breach Under Agreement. A default occurs under any other term or condition of this Agreement not specifically referred to in this Article. This includes any failure or anticipated failure by the Borrower (or any other party named in the Covenants section) to comply with the financial covenants set forth in this Agreement, whether such failure is evidenced by financial statements delivered to the Bank or is otherwise known to the Borrower or the Bank.</w:t>
      </w:r>
    </w:p>
    <w:p>
      <w:pPr>
        <w:spacing w:after="0" w:line="180" w:lineRule="exact"/>
        <w:rPr>
          <w:sz w:val="20"/>
          <w:szCs w:val="20"/>
          <w:color w:val="auto"/>
        </w:rPr>
      </w:pPr>
    </w:p>
    <w:p>
      <w:pPr>
        <w:ind w:left="640" w:hanging="632"/>
        <w:spacing w:after="0"/>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ENFORCING THIS AGREEMENT; MISCELLANEOUS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9.1 GAAP. Except as otherwise stated in this Agreement, all financial information provided to the Bank and all financial covenants will be made under generally accepted accounting principles, consistently applied.</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California Law. This Agreement is governed by California state law.</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9.3 Successors and Assigns. This Agreement is binding on the Borrower's and the Bank's successors and assignees. The Borrower agrees that it may not assign this Agreement without the Bank's prior consent. The Bank may sell participations in or assign this loan, and may exchange financial information about the Borrower with actual or potential participants or assignees. If a participation is sold or the loan is assigned, the purchaser will have the right of set-off against the Borrower.</w:t>
      </w:r>
    </w:p>
    <w:p>
      <w:pPr>
        <w:spacing w:after="0" w:line="20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Arbitration and Waiver of Jury Trial</w:t>
      </w:r>
    </w:p>
    <w:p>
      <w:pPr>
        <w:spacing w:after="0" w:line="207" w:lineRule="exact"/>
        <w:rPr>
          <w:sz w:val="20"/>
          <w:szCs w:val="20"/>
          <w:color w:val="auto"/>
        </w:rPr>
      </w:pPr>
    </w:p>
    <w:p>
      <w:pPr>
        <w:ind w:left="640" w:right="1779" w:hanging="632"/>
        <w:spacing w:after="0" w:line="271" w:lineRule="auto"/>
        <w:tabs>
          <w:tab w:leader="none" w:pos="6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paragraph concerns the resolution of any controversies or claims between the parties, whether arising in contract, tort or by statute, including but not limited to controversies or claims that arise out of or relate to: (i) this agreement (including any renewals, extensions or modifications); or (ii) any document related to this agreement (collectively a "Claim"). For the purposes of this arbitration provision only, the term "parties" shall include any parent corporation, subsidiary or affiliate of the Bank involved in the servicing, management or administration of any obligation described or evidenced by this agreement.</w:t>
      </w:r>
    </w:p>
    <w:p>
      <w:pPr>
        <w:spacing w:after="0" w:line="183" w:lineRule="exact"/>
        <w:rPr>
          <w:rFonts w:ascii="Courier New" w:cs="Courier New" w:eastAsia="Courier New" w:hAnsi="Courier New"/>
          <w:sz w:val="16"/>
          <w:szCs w:val="16"/>
          <w:color w:val="auto"/>
        </w:rPr>
      </w:pPr>
    </w:p>
    <w:p>
      <w:pPr>
        <w:ind w:left="640" w:right="1779" w:hanging="632"/>
        <w:spacing w:after="0" w:line="279" w:lineRule="auto"/>
        <w:tabs>
          <w:tab w:leader="none" w:pos="6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any party to this agreement, any Claim shall be resolved by binding arbitration in accordance with the Federal Arbitration Act (Title 9, U. S. Code) (the "Act"). The Act will apply even though this</w:t>
      </w:r>
    </w:p>
    <w:p>
      <w:pPr>
        <w:sectPr>
          <w:pgSz w:w="11900" w:h="16838" w:orient="portrait"/>
          <w:cols w:equalWidth="0" w:num="1">
            <w:col w:w="10219"/>
          </w:cols>
          <w:pgMar w:left="240" w:top="723" w:right="1440" w:bottom="0" w:gutter="0" w:footer="0" w:header="0"/>
        </w:sectPr>
      </w:pPr>
    </w:p>
    <w:bookmarkStart w:id="45" w:name="page46"/>
    <w:bookmarkEnd w:id="45"/>
    <w:p>
      <w:pPr>
        <w:ind w:left="640"/>
        <w:spacing w:after="0"/>
        <w:rPr>
          <w:sz w:val="20"/>
          <w:szCs w:val="20"/>
          <w:color w:val="auto"/>
        </w:rPr>
      </w:pPr>
      <w:r>
        <w:rPr>
          <w:rFonts w:ascii="Courier New" w:cs="Courier New" w:eastAsia="Courier New" w:hAnsi="Courier New"/>
          <w:sz w:val="16"/>
          <w:szCs w:val="16"/>
          <w:color w:val="auto"/>
        </w:rPr>
        <w:t>agreement provides that it is governed by the law of a specified state.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Loan Agreement v.6</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1440" w:gutter="0" w:footer="0" w:header="0"/>
        </w:sectPr>
      </w:pPr>
    </w:p>
    <w:bookmarkStart w:id="46" w:name="page47"/>
    <w:bookmarkEnd w:id="46"/>
    <w:p>
      <w:pPr>
        <w:ind w:left="640" w:right="1779" w:hanging="632"/>
        <w:spacing w:after="0" w:line="275" w:lineRule="auto"/>
        <w:tabs>
          <w:tab w:leader="none" w:pos="6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proceedings will be determined in accordance with the Act, the applicable rules and procedures for the arbitration of disputes of JAMS or any successor thereof ("JAMS"), and the terms of this paragraph. In the event of any inconsistency, the terms of this paragraph shall control.</w:t>
      </w:r>
    </w:p>
    <w:p>
      <w:pPr>
        <w:spacing w:after="0" w:line="182" w:lineRule="exact"/>
        <w:rPr>
          <w:rFonts w:ascii="Courier New" w:cs="Courier New" w:eastAsia="Courier New" w:hAnsi="Courier New"/>
          <w:sz w:val="16"/>
          <w:szCs w:val="16"/>
          <w:color w:val="auto"/>
        </w:rPr>
      </w:pPr>
    </w:p>
    <w:p>
      <w:pPr>
        <w:ind w:left="640" w:right="1779" w:hanging="632"/>
        <w:spacing w:after="0" w:line="270" w:lineRule="auto"/>
        <w:tabs>
          <w:tab w:leader="none" w:pos="6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arbitration shall be administered by JAMS and conducted, unless otherwise required by law, in any U. S. state where real or tangible personal property collateral for this credit is located or if there is no such collateral, in the state specified in the governing law section of this agreement. All Claims shall be determined by one arbitrator; however, if Claims exceed Five Million Dollars ($5,000,000), upon the request of any party, the Claims shall be decided by three arbitrators. All arbitration hearings shall commence within ninety (90) days of the demand for arbitration and close within ninety (90) days of commencement and the award of the arbitrator(s) shall be issued within thirty (30) days of the close of the hearing. However, the arbitrator(s), upon a showing of good cause, may extend the commencement of the hearing for up to an additional sixty (60) days. The arbitrator(s) shall provide a concise written statement of reasons for the award. The arbitration award may be submitted to any court having jurisdiction to be confirmed and enforced.</w:t>
      </w:r>
    </w:p>
    <w:p>
      <w:pPr>
        <w:spacing w:after="0" w:line="386" w:lineRule="exact"/>
        <w:rPr>
          <w:rFonts w:ascii="Courier New" w:cs="Courier New" w:eastAsia="Courier New" w:hAnsi="Courier New"/>
          <w:sz w:val="16"/>
          <w:szCs w:val="16"/>
          <w:color w:val="auto"/>
        </w:rPr>
      </w:pPr>
    </w:p>
    <w:p>
      <w:pPr>
        <w:ind w:left="640" w:right="1779" w:hanging="632"/>
        <w:spacing w:after="0" w:line="272" w:lineRule="auto"/>
        <w:tabs>
          <w:tab w:leader="none" w:pos="6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arbitrator(s) will have the authority to decide whether any Claim is barred by the statute of limitations and, if so, to dismiss the arbitration on that basis. For purposes of the application of the statute of limitations, the service on JAMS under applicable JAMS rules of a notice of Claim is the equivalent of the filing of a lawsuit. Any dispute concerning this arbitration provision or whether a Claim is arbitrable shall be determined by the arbitrator(s). The arbitrator(s) shall have the power to award legal fees pursuant to the terms of this agreement.</w:t>
      </w:r>
    </w:p>
    <w:p>
      <w:pPr>
        <w:spacing w:after="0" w:line="385" w:lineRule="exact"/>
        <w:rPr>
          <w:rFonts w:ascii="Courier New" w:cs="Courier New" w:eastAsia="Courier New" w:hAnsi="Courier New"/>
          <w:sz w:val="16"/>
          <w:szCs w:val="16"/>
          <w:color w:val="auto"/>
        </w:rPr>
      </w:pPr>
    </w:p>
    <w:p>
      <w:pPr>
        <w:ind w:left="640" w:right="1779" w:hanging="632"/>
        <w:spacing w:after="0" w:line="237" w:lineRule="auto"/>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paragraph does not limit the right of any party to: (i) exercise self-help remedies, such as but not limited to, setoff; (ii) initiate judicial or non-judicial foreclosure against any real or personal property collateral; (iii) exercise any judicial or power of sale rights, or (iv) act in a court of law to obtain an interim remedy, such as but not limited to, injunctive relief, writ of possession or appointment of a receiver, or additional or supplementary remedies.</w:t>
      </w:r>
    </w:p>
    <w:p>
      <w:pPr>
        <w:spacing w:after="0" w:line="211" w:lineRule="exact"/>
        <w:rPr>
          <w:rFonts w:ascii="Courier New" w:cs="Courier New" w:eastAsia="Courier New" w:hAnsi="Courier New"/>
          <w:sz w:val="18"/>
          <w:szCs w:val="18"/>
          <w:color w:val="auto"/>
        </w:rPr>
      </w:pPr>
    </w:p>
    <w:p>
      <w:pPr>
        <w:ind w:left="640" w:right="1779" w:hanging="632"/>
        <w:spacing w:after="0" w:line="238" w:lineRule="auto"/>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 described above will not apply if the Claim, at the time of the proposed submission to arbitration, arises from or relates to an obligation to the Bank secured by real property. In this case, all of the parties to this agreement must consent to submission of the Claim to arbitration. If both parties do not consent to arbitration, the Claim will be resolved as follows: The parties will designate a referee (or a panel of referees) selected under the auspices of JAMS in the same manner as arbitrators are selected in JAMS administered proceedings. The designated referee(s) will be appointed by a court as provided in California Code of Civil Procedure Section 638 and the following related sections. The referee (or presiding referee of the panel) will be an active attorney or a retired judge. The award that results from the decision of the referee(s) will be entered as a judgment in the court that appointed the referee, in accordance with the provisions of California Code of Civil Procedure Sections 644 and 645.</w:t>
      </w:r>
    </w:p>
    <w:p>
      <w:pPr>
        <w:spacing w:after="0" w:line="208" w:lineRule="exact"/>
        <w:rPr>
          <w:rFonts w:ascii="Courier New" w:cs="Courier New" w:eastAsia="Courier New" w:hAnsi="Courier New"/>
          <w:sz w:val="18"/>
          <w:szCs w:val="18"/>
          <w:color w:val="auto"/>
        </w:rPr>
      </w:pPr>
    </w:p>
    <w:p>
      <w:pPr>
        <w:ind w:left="640" w:right="1779" w:hanging="632"/>
        <w:spacing w:after="0" w:line="236" w:lineRule="auto"/>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of a court action is not intended to constitute a waiver of the right of any party, including the suing party, thereafter to require submittal of the Claim to arbitration.</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agreeing to binding arbitration, the parties irrevocably and voluntarily waive any right they may have to a trial by jury in respect of any Claim. Furthermore, without intending in any way to limit this agreement to arbitrate, to the extent any Claim is not arbitrated, the parties irrevocably and voluntarily waive any right they may have to a trial by jury in respect of such Claim. This provision is a material inducement for the parties entering into this agreement.</w:t>
      </w:r>
    </w:p>
    <w:p>
      <w:pPr>
        <w:spacing w:after="0" w:line="211"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9.5 Severability; Waivers. If any part of this Agreement is not enforceable, the rest of the Agreement may be enforced. The Bank retains all rights, even if it makes a loan after default. If the Bank waives a default, it may enforce a later default. Any consent or waiver under this Agreement must be in writing.</w:t>
      </w:r>
    </w:p>
    <w:p>
      <w:pPr>
        <w:spacing w:after="0" w:line="18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9.6 Attorneys' Fees. The Borrower shall reimburse the Bank for any reasonable costs and attorneys' fees incurred by the Bank in connection with the enforcement or preservation of any rights or remedies under this Agreement and any other documents executed in connection with this Agreement, and in connection with any amendment, waiver, "workout" or restructuring under this Agreement. In the event of a lawsuit or arbitration proceeding, the prevailing party is entitled to recover costs and reasonable attorneys' fees incurred in</w:t>
      </w:r>
    </w:p>
    <w:p>
      <w:pPr>
        <w:sectPr>
          <w:pgSz w:w="11900" w:h="16838" w:orient="portrait"/>
          <w:cols w:equalWidth="0" w:num="1">
            <w:col w:w="10219"/>
          </w:cols>
          <w:pgMar w:left="240" w:top="723" w:right="1440" w:bottom="0" w:gutter="0" w:footer="0" w:header="0"/>
        </w:sectPr>
      </w:pPr>
    </w:p>
    <w:bookmarkStart w:id="47" w:name="page48"/>
    <w:bookmarkEnd w:id="47"/>
    <w:p>
      <w:pPr>
        <w:ind w:right="1779"/>
        <w:spacing w:after="0" w:line="271" w:lineRule="auto"/>
        <w:rPr>
          <w:sz w:val="20"/>
          <w:szCs w:val="20"/>
          <w:color w:val="auto"/>
        </w:rPr>
      </w:pPr>
      <w:r>
        <w:rPr>
          <w:rFonts w:ascii="Courier New" w:cs="Courier New" w:eastAsia="Courier New" w:hAnsi="Courier New"/>
          <w:sz w:val="16"/>
          <w:szCs w:val="16"/>
          <w:color w:val="auto"/>
        </w:rPr>
        <w:t>connection with the lawsuit or arbitration proceeding, as determined by the court or arbitrator. In the event that any case is commenced by or against the Borrower under the Bankruptcy Code (Title 11, United States Code) or any similar or successor statute, the Bank is entitled to recover costs and reasonable attorneys' fees incurred by the Bank related to the preservation, protection, or enforcement of any rights of the Bank in such a case. As used in this paragraph, "attorneys' fees" includes the allocated costs of the Bank's in-house counsel.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Loan Agreement v.6</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1440" w:gutter="0" w:footer="0" w:header="0"/>
        </w:sectPr>
      </w:pPr>
    </w:p>
    <w:bookmarkStart w:id="48" w:name="page49"/>
    <w:bookmarkEnd w:id="48"/>
    <w:p>
      <w:pPr>
        <w:ind w:right="1779"/>
        <w:spacing w:after="0" w:line="235" w:lineRule="auto"/>
        <w:rPr>
          <w:sz w:val="20"/>
          <w:szCs w:val="20"/>
          <w:color w:val="auto"/>
        </w:rPr>
      </w:pPr>
      <w:r>
        <w:rPr>
          <w:rFonts w:ascii="Courier New" w:cs="Courier New" w:eastAsia="Courier New" w:hAnsi="Courier New"/>
          <w:sz w:val="18"/>
          <w:szCs w:val="18"/>
          <w:color w:val="auto"/>
        </w:rPr>
        <w:t>9.7 One Agreement. This Agreement and any related security or other agreements required by this Agreement, collectively:</w:t>
      </w:r>
    </w:p>
    <w:p>
      <w:pPr>
        <w:spacing w:after="0" w:line="208" w:lineRule="exact"/>
        <w:rPr>
          <w:sz w:val="20"/>
          <w:szCs w:val="20"/>
          <w:color w:val="auto"/>
        </w:rPr>
      </w:pPr>
    </w:p>
    <w:p>
      <w:pPr>
        <w:ind w:left="640" w:right="2099" w:hanging="632"/>
        <w:spacing w:after="0" w:line="235" w:lineRule="auto"/>
        <w:tabs>
          <w:tab w:leader="none" w:pos="6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 the sum of the understandings and agreements between the Bank and the Borrower concerning this credit;</w:t>
      </w:r>
    </w:p>
    <w:p>
      <w:pPr>
        <w:spacing w:after="0" w:line="208"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 any prior oral or written agreements between the Bank and the Borrower concerning this credit; and</w:t>
      </w:r>
    </w:p>
    <w:p>
      <w:pPr>
        <w:spacing w:after="0" w:line="208" w:lineRule="exact"/>
        <w:rPr>
          <w:rFonts w:ascii="Courier New" w:cs="Courier New" w:eastAsia="Courier New" w:hAnsi="Courier New"/>
          <w:sz w:val="18"/>
          <w:szCs w:val="18"/>
          <w:color w:val="auto"/>
        </w:rPr>
      </w:pPr>
    </w:p>
    <w:p>
      <w:pPr>
        <w:ind w:left="640" w:right="2419" w:hanging="632"/>
        <w:spacing w:after="0" w:line="235" w:lineRule="auto"/>
        <w:tabs>
          <w:tab w:leader="none" w:pos="6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intended by the Bank and the Borrower as the final, complete and exclusive statement of the terms agreed to by them.</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event of any conflict between this Agreement and any other agreements required by this Agreement, this Agreement will prevail. Any reference in any related document to a "promissory note" or a "note" executed by the Borrower and dated as of the date of this Agreement shall be deemed to refer to this Agreement, as now in effect or as hereafter amended, renewed, or restated.</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9.8 Indemnification. The Borrower will indemnify and hold the Bank harmless from any loss, liability, damages, judgments, and costs of any kind relating to or arising directly or indirectly out of (a) this Agreement or any document required hereunder, (b) any credit extended or committed by the Bank to the Borrower hereunder, and (c) any litigation or proceeding related to or arising out of this Agreement, any such document, or any such credit. This indemnity includes but is not limited to attorneys' fees (including the allocated cost of in-house counsel). This indemnity extends to the Bank, its parent, subsidiaries and all of their directors, officers, employees, agents, successors, attorneys, and assigns. This indemnity will survive repayment of the Borrower's obligations to the Bank. All sums due to the Bank hereunder shall be obligations of the Borrower, due and payable immediately without demand.</w:t>
      </w:r>
    </w:p>
    <w:p>
      <w:pPr>
        <w:spacing w:after="0" w:line="39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9.9 Notices. Unless otherwise provided in this Agreement or in another agreement between the Bank and the Borrower, all notices required under this Agreement shall be personally delivered or sent by first class mail, postage prepaid, or by overnight courier, to the addresses on the signature page of this Agreement, or sent by facsimile to the fax numbers listed on the signature page, or to such other addresses as the Bank and the Borrower may specify from time to time in writing. Notices and other communications shall be effective (i) if mailed, upon the earlier of receipt or five (5) days after deposit in the U.S. mail, first class, postage prepaid, (ii) if telecopied, when transmitted, or</w:t>
      </w:r>
    </w:p>
    <w:p>
      <w:pPr>
        <w:spacing w:after="0" w:line="2" w:lineRule="exact"/>
        <w:rPr>
          <w:sz w:val="20"/>
          <w:szCs w:val="20"/>
          <w:color w:val="auto"/>
        </w:rPr>
      </w:pPr>
    </w:p>
    <w:p>
      <w:pPr>
        <w:ind w:right="1779" w:firstLine="8"/>
        <w:spacing w:after="0" w:line="235" w:lineRule="auto"/>
        <w:tabs>
          <w:tab w:leader="none" w:pos="63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hand-delivered, by courier or otherwise (including telegram, lettergram or mailgram), when delivered.</w:t>
      </w:r>
    </w:p>
    <w:p>
      <w:pPr>
        <w:spacing w:after="0" w:line="208"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9.10 Headings. Article and paragraph headings are for reference only and shall not affect the interpretation or meaning of any provisions of this Agreement.</w:t>
      </w:r>
    </w:p>
    <w:p>
      <w:pPr>
        <w:spacing w:after="0" w:line="17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9.11 Counterparts. This Agreement may be executed in as many counterparts as necessary or convenient, and by the different parties on separate counterparts each of which, when so executed, shall be deemed an original but all such counterparts shall constitute but one and the same agreement.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9.12 Prior Agreement Superseded. This Agreement supersedes the Business Loan Agreement entered into as of June 15, 1998, between the Bank and the Borrower, and any credit outstanding thereunder shall be deemed to be outstanding under this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Loan Agreement v.6</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This Agreement is executed as of the date stated at the top of the first page.</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Bank: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Bank of America, 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ectPr>
          <w:pgSz w:w="11900" w:h="16838" w:orient="portrait"/>
          <w:cols w:equalWidth="0" w:num="1">
            <w:col w:w="10219"/>
          </w:cols>
          <w:pgMar w:left="240" w:top="723"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H. Allen</w:t>
      </w:r>
    </w:p>
    <w:p>
      <w:pPr>
        <w:spacing w:after="0" w:line="4"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(Sgd.) John H. Allen, CFO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where notices to the</w:t>
      </w:r>
    </w:p>
    <w:p>
      <w:pPr>
        <w:spacing w:after="0" w:line="238" w:lineRule="auto"/>
        <w:rPr>
          <w:sz w:val="20"/>
          <w:szCs w:val="20"/>
          <w:color w:val="auto"/>
        </w:rPr>
      </w:pPr>
      <w:r>
        <w:rPr>
          <w:rFonts w:ascii="Courier New" w:cs="Courier New" w:eastAsia="Courier New" w:hAnsi="Courier New"/>
          <w:sz w:val="18"/>
          <w:szCs w:val="18"/>
          <w:color w:val="auto"/>
        </w:rPr>
        <w:t>Borrower are to be sent:</w:t>
      </w:r>
    </w:p>
    <w:p>
      <w:pPr>
        <w:spacing w:after="0" w:line="207" w:lineRule="exact"/>
        <w:rPr>
          <w:sz w:val="20"/>
          <w:szCs w:val="20"/>
          <w:color w:val="auto"/>
        </w:rPr>
      </w:pPr>
    </w:p>
    <w:p>
      <w:pPr>
        <w:ind w:right="620"/>
        <w:spacing w:after="0" w:line="235" w:lineRule="auto"/>
        <w:rPr>
          <w:sz w:val="20"/>
          <w:szCs w:val="20"/>
          <w:color w:val="auto"/>
        </w:rPr>
      </w:pPr>
      <w:r>
        <w:rPr>
          <w:rFonts w:ascii="Courier New" w:cs="Courier New" w:eastAsia="Courier New" w:hAnsi="Courier New"/>
          <w:sz w:val="18"/>
          <w:szCs w:val="18"/>
          <w:color w:val="auto"/>
        </w:rPr>
        <w:t>12367 Crosthwaite Circle Poway, CA 92064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Standard Loan Agreement v.6</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tab/>
        <w:t>/s/ Gordon W. Wiens</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(Sgd.) Gordon W. Wiens, Senior Vice President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where notices to the Bank are to be sent: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Middle Market Banking Office #2704</w:t>
      </w:r>
    </w:p>
    <w:p>
      <w:pPr>
        <w:spacing w:after="0" w:line="238" w:lineRule="auto"/>
        <w:rPr>
          <w:sz w:val="20"/>
          <w:szCs w:val="20"/>
          <w:color w:val="auto"/>
        </w:rPr>
      </w:pPr>
      <w:r>
        <w:rPr>
          <w:rFonts w:ascii="Courier New" w:cs="Courier New" w:eastAsia="Courier New" w:hAnsi="Courier New"/>
          <w:sz w:val="18"/>
          <w:szCs w:val="18"/>
          <w:color w:val="auto"/>
        </w:rPr>
        <w:t>CA0-103-15-25</w:t>
      </w:r>
    </w:p>
    <w:p>
      <w:pPr>
        <w:spacing w:after="0"/>
        <w:rPr>
          <w:sz w:val="20"/>
          <w:szCs w:val="20"/>
          <w:color w:val="auto"/>
        </w:rPr>
      </w:pPr>
      <w:r>
        <w:rPr>
          <w:rFonts w:ascii="Courier New" w:cs="Courier New" w:eastAsia="Courier New" w:hAnsi="Courier New"/>
          <w:sz w:val="18"/>
          <w:szCs w:val="18"/>
          <w:color w:val="auto"/>
        </w:rPr>
        <w:t>450 B St.</w:t>
      </w:r>
    </w:p>
    <w:p>
      <w:pPr>
        <w:spacing w:after="0" w:line="237" w:lineRule="auto"/>
        <w:rPr>
          <w:sz w:val="20"/>
          <w:szCs w:val="20"/>
          <w:color w:val="auto"/>
        </w:rPr>
      </w:pPr>
      <w:r>
        <w:rPr>
          <w:rFonts w:ascii="Courier New" w:cs="Courier New" w:eastAsia="Courier New" w:hAnsi="Courier New"/>
          <w:sz w:val="18"/>
          <w:szCs w:val="18"/>
          <w:color w:val="auto"/>
        </w:rPr>
        <w:t>San Diego, CA 92101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2">
            <w:col w:w="3160" w:space="120"/>
            <w:col w:w="6939"/>
          </w:cols>
          <w:pgMar w:left="240" w:top="723" w:right="1440" w:bottom="1440" w:gutter="0" w:footer="0" w:header="0"/>
          <w:type w:val="continuous"/>
        </w:sectPr>
      </w:pPr>
    </w:p>
    <w:bookmarkStart w:id="50" w:name="page51"/>
    <w:bookmarkEnd w:id="50"/>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A. Donahue, certify that:</w:t>
      </w:r>
    </w:p>
    <w:p>
      <w:pPr>
        <w:spacing w:after="0" w:line="201" w:lineRule="exact"/>
        <w:rPr>
          <w:sz w:val="20"/>
          <w:szCs w:val="20"/>
          <w:color w:val="auto"/>
        </w:rPr>
      </w:pPr>
    </w:p>
    <w:p>
      <w:pPr>
        <w:ind w:left="1280" w:hanging="640"/>
        <w:spacing w:after="0"/>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10-Q of Cohu, Inc.;</w:t>
      </w:r>
    </w:p>
    <w:p>
      <w:pPr>
        <w:spacing w:after="0" w:line="206"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900" w:right="1999" w:firstLine="4"/>
        <w:spacing w:after="0" w:line="279" w:lineRule="auto"/>
        <w:tabs>
          <w:tab w:leader="none" w:pos="232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26,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Donahue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1" w:right="1440" w:bottom="1440" w:gutter="0" w:footer="0" w:header="0"/>
        </w:sectPr>
      </w:pPr>
    </w:p>
    <w:bookmarkStart w:id="51" w:name="page52"/>
    <w:bookmarkEnd w:id="51"/>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John H. Allen, certify that:</w:t>
      </w:r>
    </w:p>
    <w:p>
      <w:pPr>
        <w:spacing w:after="0" w:line="201" w:lineRule="exact"/>
        <w:rPr>
          <w:sz w:val="20"/>
          <w:szCs w:val="20"/>
          <w:color w:val="auto"/>
        </w:rPr>
      </w:pPr>
    </w:p>
    <w:p>
      <w:pPr>
        <w:ind w:left="1280" w:hanging="640"/>
        <w:spacing w:after="0"/>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10-Q of Cohu, Inc.;</w:t>
      </w:r>
    </w:p>
    <w:p>
      <w:pPr>
        <w:spacing w:after="0" w:line="206"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900" w:right="1999" w:firstLine="4"/>
        <w:spacing w:after="0" w:line="279" w:lineRule="auto"/>
        <w:tabs>
          <w:tab w:leader="none" w:pos="232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Date: July 26, 2004</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John H. Allen</w:t>
      </w:r>
    </w:p>
    <w:p>
      <w:pPr>
        <w:ind w:left="220" w:hanging="212"/>
        <w:spacing w:after="0" w:line="238" w:lineRule="auto"/>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H. Allen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Finance &amp; Chief Financial Officer</w:t>
      </w:r>
    </w:p>
    <w:p>
      <w:pPr>
        <w:sectPr>
          <w:pgSz w:w="11900" w:h="16838" w:orient="portrait"/>
          <w:cols w:equalWidth="0" w:num="1">
            <w:col w:w="10219"/>
          </w:cols>
          <w:pgMar w:left="240" w:top="541" w:right="1440" w:bottom="1440" w:gutter="0" w:footer="0" w:header="0"/>
        </w:sectPr>
      </w:pPr>
    </w:p>
    <w:bookmarkStart w:id="52" w:name="page53"/>
    <w:bookmarkEnd w:id="52"/>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SECTION 906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EXECUTIVE OFFICER</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 James A. Donahue, Chief Executive Officer of Cohu, Inc. (the "Registrant"), do hereby certify in accordance with 18 U.S.C. 1350, as adopted pursuant to Section 906 of the Sarbanes-Oxley Act of 2002, that, based on my knowledge:</w:t>
      </w:r>
    </w:p>
    <w:p>
      <w:pPr>
        <w:spacing w:after="0" w:line="178" w:lineRule="exact"/>
        <w:rPr>
          <w:sz w:val="20"/>
          <w:szCs w:val="20"/>
          <w:color w:val="auto"/>
        </w:rPr>
      </w:pPr>
    </w:p>
    <w:p>
      <w:pPr>
        <w:jc w:val="both"/>
        <w:ind w:left="640" w:right="1779"/>
        <w:spacing w:after="0" w:line="237" w:lineRule="auto"/>
        <w:tabs>
          <w:tab w:leader="none" w:pos="106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Registrant, to which this certification is attached as an exhibit (the "Report"), fully complies with the requirements of section 13(a) or 15(d) of the Securities Exchange Act of 1934 (15 U.S.C. 78m); and</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6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541"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26, 2004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James A. Donahue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&amp; Chief Executive Officer</w:t>
      </w:r>
    </w:p>
    <w:p>
      <w:pPr>
        <w:sectPr>
          <w:pgSz w:w="11900" w:h="16838" w:orient="portrait"/>
          <w:cols w:equalWidth="0" w:num="2">
            <w:col w:w="3920" w:space="720"/>
            <w:col w:w="5579"/>
          </w:cols>
          <w:pgMar w:left="240" w:top="541" w:right="1440" w:bottom="1440" w:gutter="0" w:footer="0" w:header="0"/>
          <w:type w:val="continuous"/>
        </w:sectPr>
      </w:pPr>
    </w:p>
    <w:bookmarkStart w:id="53" w:name="page54"/>
    <w:bookmarkEnd w:id="53"/>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SECTION 906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FINANCIAL OFFICER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 John H. Allen, Chief Financial Officer of Cohu, Inc. (the "Registrant"), do hereby certify in accordance with 18 U.S.C. 1350, as adopted pursuant to Section 906 of the Sarbanes-Oxley Act of 2002, that, based on my knowledge:</w:t>
      </w:r>
    </w:p>
    <w:p>
      <w:pPr>
        <w:spacing w:after="0" w:line="209" w:lineRule="exact"/>
        <w:rPr>
          <w:sz w:val="20"/>
          <w:szCs w:val="20"/>
          <w:color w:val="auto"/>
        </w:rPr>
      </w:pPr>
    </w:p>
    <w:p>
      <w:pPr>
        <w:jc w:val="both"/>
        <w:ind w:left="640" w:right="1779"/>
        <w:spacing w:after="0" w:line="237" w:lineRule="auto"/>
        <w:tabs>
          <w:tab w:leader="none" w:pos="106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Registrant, to which this certification is attached as an exhibit (the "Report"), fully complies with the requirements of Section 13(a) or 15(d) of the Securities Exchange Act of 1934 (15 U.S.C. 78m); and</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6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541"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26, 2004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w:t>
      </w:r>
    </w:p>
    <w:p>
      <w:pPr>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4340" w:space="720"/>
        <w:col w:w="515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1"/>
    </w:lvl>
  </w:abstractNum>
  <w:abstractNum w:abstractNumId="2">
    <w:nsid w:val="2901D82"/>
    <w:multiLevelType w:val="hybridMultilevel"/>
    <w:lvl w:ilvl="0">
      <w:lvlJc w:val="left"/>
      <w:lvlText w:val="%1."/>
      <w:numFmt w:val="decimal"/>
      <w:start w:val="2"/>
    </w:lvl>
  </w:abstractNum>
  <w:abstractNum w:abstractNumId="3">
    <w:nsid w:val="3A95F874"/>
    <w:multiLevelType w:val="hybridMultilevel"/>
    <w:lvl w:ilvl="0">
      <w:lvlJc w:val="left"/>
      <w:lvlText w:val="%1."/>
      <w:numFmt w:val="decimal"/>
      <w:start w:val="4"/>
    </w:lvl>
  </w:abstractNum>
  <w:abstractNum w:abstractNumId="4">
    <w:nsid w:val="8138641"/>
    <w:multiLevelType w:val="hybridMultilevel"/>
    <w:lvl w:ilvl="0">
      <w:lvlJc w:val="left"/>
      <w:lvlText w:val="%1."/>
      <w:numFmt w:val="decimal"/>
      <w:start w:val="5"/>
    </w:lvl>
  </w:abstractNum>
  <w:abstractNum w:abstractNumId="5">
    <w:nsid w:val="1E7FF521"/>
    <w:multiLevelType w:val="hybridMultilevel"/>
    <w:lvl w:ilvl="0">
      <w:lvlJc w:val="left"/>
      <w:lvlText w:val="%1."/>
      <w:numFmt w:val="decimal"/>
      <w:start w:val="121"/>
    </w:lvl>
  </w:abstractNum>
  <w:abstractNum w:abstractNumId="6">
    <w:nsid w:val="7C3DBD3D"/>
    <w:multiLevelType w:val="hybridMultilevel"/>
    <w:lvl w:ilvl="0">
      <w:lvlJc w:val="left"/>
      <w:lvlText w:val="%1."/>
      <w:numFmt w:val="decimal"/>
      <w:start w:val="6"/>
    </w:lvl>
  </w:abstractNum>
  <w:abstractNum w:abstractNumId="7">
    <w:nsid w:val="737B8DDC"/>
    <w:multiLevelType w:val="hybridMultilevel"/>
    <w:lvl w:ilvl="0">
      <w:lvlJc w:val="left"/>
      <w:lvlText w:val="%1."/>
      <w:numFmt w:val="decimal"/>
      <w:start w:val="7"/>
    </w:lvl>
  </w:abstractNum>
  <w:abstractNum w:abstractNumId="8">
    <w:nsid w:val="6CEAF087"/>
    <w:multiLevelType w:val="hybridMultilevel"/>
    <w:lvl w:ilvl="0">
      <w:lvlJc w:val="left"/>
      <w:lvlText w:val="%1."/>
      <w:numFmt w:val="decimal"/>
      <w:start w:val="8"/>
    </w:lvl>
  </w:abstractNum>
  <w:abstractNum w:abstractNumId="9">
    <w:nsid w:val="22221A70"/>
    <w:multiLevelType w:val="hybridMultilevel"/>
    <w:lvl w:ilvl="0">
      <w:lvlJc w:val="left"/>
      <w:lvlText w:val="%1."/>
      <w:numFmt w:val="decimal"/>
      <w:start w:val="9"/>
    </w:lvl>
  </w:abstractNum>
  <w:abstractNum w:abstractNumId="10">
    <w:nsid w:val="4516DDE9"/>
    <w:multiLevelType w:val="hybridMultilevel"/>
    <w:lvl w:ilvl="0">
      <w:lvlJc w:val="left"/>
      <w:lvlText w:val="%1."/>
      <w:numFmt w:val="decimal"/>
      <w:start w:val="10"/>
    </w:lvl>
  </w:abstractNum>
  <w:abstractNum w:abstractNumId="11">
    <w:nsid w:val="3006C83E"/>
    <w:multiLevelType w:val="hybridMultilevel"/>
    <w:lvl w:ilvl="0">
      <w:lvlJc w:val="left"/>
      <w:lvlText w:val="%1."/>
      <w:numFmt w:val="decimal"/>
      <w:start w:val="12"/>
    </w:lvl>
  </w:abstractNum>
  <w:abstractNum w:abstractNumId="12">
    <w:nsid w:val="614FD4A1"/>
    <w:multiLevelType w:val="hybridMultilevel"/>
    <w:lvl w:ilvl="0">
      <w:lvlJc w:val="left"/>
      <w:lvlText w:val="(%1)"/>
      <w:numFmt w:val="lowerLetter"/>
      <w:start w:val="2"/>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lowerLetter"/>
      <w:start w:val="1"/>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80"/>
    </w:lvl>
  </w:abstractNum>
  <w:abstractNum w:abstractNumId="18">
    <w:nsid w:val="77465F01"/>
    <w:multiLevelType w:val="hybridMultilevel"/>
    <w:lvl w:ilvl="0">
      <w:lvlJc w:val="left"/>
      <w:lvlText w:val="(%1)"/>
      <w:numFmt w:val="lowerLetter"/>
      <w:start w:val="3"/>
    </w:lvl>
  </w:abstractNum>
  <w:abstractNum w:abstractNumId="19">
    <w:nsid w:val="7724C67E"/>
    <w:multiLevelType w:val="hybridMultilevel"/>
    <w:lvl w:ilvl="0">
      <w:lvlJc w:val="left"/>
      <w:lvlText w:val="(%1)"/>
      <w:numFmt w:val="lowerLetter"/>
      <w:start w:val="5"/>
    </w:lvl>
    <w:lvl w:ilvl="1">
      <w:lvlJc w:val="left"/>
      <w:lvlText w:val="(%2)"/>
      <w:numFmt w:val="lowerRoman"/>
      <w:start w:val="1"/>
    </w:lvl>
  </w:abstractNum>
  <w:abstractNum w:abstractNumId="20">
    <w:nsid w:val="5C482A97"/>
    <w:multiLevelType w:val="hybridMultilevel"/>
    <w:lvl w:ilvl="0">
      <w:lvlJc w:val="left"/>
      <w:lvlText w:val="%1."/>
      <w:numFmt w:val="decimal"/>
      <w:start w:val="2"/>
    </w:lvl>
  </w:abstractNum>
  <w:abstractNum w:abstractNumId="21">
    <w:nsid w:val="2463B9EA"/>
    <w:multiLevelType w:val="hybridMultilevel"/>
    <w:lvl w:ilvl="0">
      <w:lvlJc w:val="left"/>
      <w:lvlText w:val="(%1)"/>
      <w:numFmt w:val="lowerLetter"/>
      <w:start w:val="1"/>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decimal"/>
      <w:start w:val="3"/>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1)"/>
      <w:numFmt w:val="lowerLetter"/>
      <w:start w:val="1"/>
    </w:lvl>
    <w:lvl w:ilvl="1">
      <w:lvlJc w:val="left"/>
      <w:lvlText w:val="(%2)"/>
      <w:numFmt w:val="lowerRoman"/>
      <w:start w:val="1"/>
    </w:lvl>
  </w:abstractNum>
  <w:abstractNum w:abstractNumId="27">
    <w:nsid w:val="3855585C"/>
    <w:multiLevelType w:val="hybridMultilevel"/>
    <w:lvl w:ilvl="0">
      <w:lvlJc w:val="left"/>
      <w:lvlText w:val="(%1)"/>
      <w:numFmt w:val="lowerLetter"/>
      <w:start w:val="4"/>
    </w:lvl>
  </w:abstractNum>
  <w:abstractNum w:abstractNumId="28">
    <w:nsid w:val="70A64E2A"/>
    <w:multiLevelType w:val="hybridMultilevel"/>
    <w:lvl w:ilvl="0">
      <w:lvlJc w:val="left"/>
      <w:lvlText w:val="%1."/>
      <w:numFmt w:val="decimal"/>
      <w:start w:val="4"/>
    </w:lvl>
  </w:abstractNum>
  <w:abstractNum w:abstractNumId="29">
    <w:nsid w:val="6A2342EC"/>
    <w:multiLevelType w:val="hybridMultilevel"/>
    <w:lvl w:ilvl="0">
      <w:lvlJc w:val="left"/>
      <w:lvlText w:val="%1."/>
      <w:numFmt w:val="decimal"/>
      <w:start w:val="5"/>
    </w:lvl>
  </w:abstractNum>
  <w:abstractNum w:abstractNumId="30">
    <w:nsid w:val="2A487CB0"/>
    <w:multiLevelType w:val="hybridMultilevel"/>
    <w:lvl w:ilvl="0">
      <w:lvlJc w:val="left"/>
      <w:lvlText w:val="%1."/>
      <w:numFmt w:val="decimal"/>
      <w:start w:val="6"/>
    </w:lvl>
  </w:abstractNum>
  <w:abstractNum w:abstractNumId="31">
    <w:nsid w:val="1D4ED43B"/>
    <w:multiLevelType w:val="hybridMultilevel"/>
    <w:lvl w:ilvl="0">
      <w:lvlJc w:val="left"/>
      <w:lvlText w:val="(%1)"/>
      <w:numFmt w:val="lowerLetter"/>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lowerLetter"/>
      <w:start w:val="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lowerLetter"/>
      <w:start w:val="2"/>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decimal"/>
      <w:start w:val="7"/>
    </w:lvl>
  </w:abstractNum>
  <w:abstractNum w:abstractNumId="41">
    <w:nsid w:val="32FFF902"/>
    <w:multiLevelType w:val="hybridMultilevel"/>
    <w:lvl w:ilvl="0">
      <w:lvlJc w:val="left"/>
      <w:lvlText w:val="%1."/>
      <w:numFmt w:val="decimal"/>
      <w:start w:val="8"/>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decimal"/>
      <w:start w:val="9"/>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3"/>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Roman"/>
      <w:start w:val="3"/>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2019-12-12T22:44:02Z</dcterms:created>
  <dcterms:modified xsi:type="dcterms:W3CDTF">2019-12-12T22:44:02Z</dcterms:modified>
</cp:coreProperties>
</file>