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July 21, 2004</w:t>
      </w:r>
    </w:p>
    <w:p>
      <w:pPr>
        <w:spacing w:after="0" w:line="198" w:lineRule="exact"/>
        <w:rPr>
          <w:sz w:val="20"/>
          <w:szCs w:val="20"/>
          <w:color w:val="auto"/>
        </w:rPr>
      </w:pPr>
    </w:p>
    <w:p>
      <w:pPr>
        <w:ind w:left="9320"/>
        <w:spacing w:after="0"/>
        <w:rPr>
          <w:sz w:val="20"/>
          <w:szCs w:val="20"/>
          <w:color w:val="auto"/>
        </w:rPr>
      </w:pPr>
      <w:r>
        <w:rPr>
          <w:rFonts w:ascii="Arial" w:cs="Arial" w:eastAsia="Arial" w:hAnsi="Arial"/>
          <w:sz w:val="16"/>
          <w:szCs w:val="16"/>
          <w:color w:val="auto"/>
        </w:rPr>
        <w:t>Registration No. 333-______</w:t>
      </w:r>
    </w:p>
    <w:p>
      <w:pPr>
        <w:spacing w:after="0" w:line="208"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6240" w:type="dxa"/>
            <w:vAlign w:val="bottom"/>
          </w:tcPr>
          <w:p>
            <w:pPr>
              <w:jc w:val="center"/>
              <w:ind w:right="2250"/>
              <w:spacing w:after="0"/>
              <w:rPr>
                <w:sz w:val="20"/>
                <w:szCs w:val="20"/>
                <w:color w:val="auto"/>
              </w:rPr>
            </w:pPr>
            <w:r>
              <w:rPr>
                <w:rFonts w:ascii="Arial" w:cs="Arial" w:eastAsia="Arial" w:hAnsi="Arial"/>
                <w:sz w:val="18"/>
                <w:szCs w:val="18"/>
                <w:color w:val="auto"/>
                <w:w w:val="94"/>
              </w:rPr>
              <w:t>UNITED STATES</w:t>
            </w:r>
          </w:p>
        </w:tc>
      </w:tr>
      <w:tr>
        <w:trPr>
          <w:trHeight w:val="216"/>
        </w:trPr>
        <w:tc>
          <w:tcPr>
            <w:tcW w:w="2000" w:type="dxa"/>
            <w:vAlign w:val="bottom"/>
          </w:tcPr>
          <w:p>
            <w:pPr>
              <w:spacing w:after="0"/>
              <w:rPr>
                <w:sz w:val="18"/>
                <w:szCs w:val="18"/>
                <w:color w:val="auto"/>
              </w:rPr>
            </w:pPr>
          </w:p>
        </w:tc>
        <w:tc>
          <w:tcPr>
            <w:tcW w:w="6240" w:type="dxa"/>
            <w:vAlign w:val="bottom"/>
          </w:tcPr>
          <w:p>
            <w:pPr>
              <w:jc w:val="center"/>
              <w:ind w:right="2230"/>
              <w:spacing w:after="0"/>
              <w:rPr>
                <w:sz w:val="20"/>
                <w:szCs w:val="20"/>
                <w:color w:val="auto"/>
              </w:rPr>
            </w:pPr>
            <w:r>
              <w:rPr>
                <w:rFonts w:ascii="Arial" w:cs="Arial" w:eastAsia="Arial" w:hAnsi="Arial"/>
                <w:sz w:val="18"/>
                <w:szCs w:val="18"/>
                <w:color w:val="auto"/>
                <w:w w:val="96"/>
              </w:rPr>
              <w:t>SECURITIES AND EXCHANGE COMMISSION</w:t>
            </w:r>
          </w:p>
        </w:tc>
      </w:tr>
      <w:tr>
        <w:trPr>
          <w:trHeight w:val="230"/>
        </w:trPr>
        <w:tc>
          <w:tcPr>
            <w:tcW w:w="2000" w:type="dxa"/>
            <w:vAlign w:val="bottom"/>
          </w:tcPr>
          <w:p>
            <w:pPr>
              <w:spacing w:after="0"/>
              <w:rPr>
                <w:sz w:val="20"/>
                <w:szCs w:val="20"/>
                <w:color w:val="auto"/>
              </w:rPr>
            </w:pPr>
          </w:p>
        </w:tc>
        <w:tc>
          <w:tcPr>
            <w:tcW w:w="6240" w:type="dxa"/>
            <w:vAlign w:val="bottom"/>
          </w:tcPr>
          <w:p>
            <w:pPr>
              <w:jc w:val="center"/>
              <w:ind w:right="2250"/>
              <w:spacing w:after="0"/>
              <w:rPr>
                <w:sz w:val="20"/>
                <w:szCs w:val="20"/>
                <w:color w:val="auto"/>
              </w:rPr>
            </w:pPr>
            <w:r>
              <w:rPr>
                <w:rFonts w:ascii="Arial" w:cs="Arial" w:eastAsia="Arial" w:hAnsi="Arial"/>
                <w:sz w:val="18"/>
                <w:szCs w:val="18"/>
                <w:color w:val="auto"/>
                <w:w w:val="90"/>
              </w:rPr>
              <w:t>Washington, D.C. 20549</w:t>
            </w:r>
          </w:p>
        </w:tc>
      </w:tr>
      <w:tr>
        <w:trPr>
          <w:trHeight w:val="392"/>
        </w:trPr>
        <w:tc>
          <w:tcPr>
            <w:tcW w:w="2000" w:type="dxa"/>
            <w:vAlign w:val="bottom"/>
          </w:tcPr>
          <w:p>
            <w:pPr>
              <w:spacing w:after="0"/>
              <w:rPr>
                <w:sz w:val="24"/>
                <w:szCs w:val="24"/>
                <w:color w:val="auto"/>
              </w:rPr>
            </w:pPr>
          </w:p>
        </w:tc>
        <w:tc>
          <w:tcPr>
            <w:tcW w:w="6240" w:type="dxa"/>
            <w:vAlign w:val="bottom"/>
          </w:tcPr>
          <w:p>
            <w:pPr>
              <w:jc w:val="center"/>
              <w:ind w:right="2230"/>
              <w:spacing w:after="0"/>
              <w:rPr>
                <w:sz w:val="20"/>
                <w:szCs w:val="20"/>
                <w:color w:val="auto"/>
              </w:rPr>
            </w:pPr>
            <w:r>
              <w:rPr>
                <w:rFonts w:ascii="Arial" w:cs="Arial" w:eastAsia="Arial" w:hAnsi="Arial"/>
                <w:sz w:val="18"/>
                <w:szCs w:val="18"/>
                <w:b w:val="1"/>
                <w:bCs w:val="1"/>
                <w:color w:val="auto"/>
                <w:w w:val="97"/>
              </w:rPr>
              <w:t>FORM S-8</w:t>
            </w:r>
          </w:p>
        </w:tc>
      </w:tr>
      <w:tr>
        <w:trPr>
          <w:trHeight w:val="377"/>
        </w:trPr>
        <w:tc>
          <w:tcPr>
            <w:tcW w:w="2000" w:type="dxa"/>
            <w:vAlign w:val="bottom"/>
          </w:tcPr>
          <w:p>
            <w:pPr>
              <w:spacing w:after="0"/>
              <w:rPr>
                <w:sz w:val="24"/>
                <w:szCs w:val="24"/>
                <w:color w:val="auto"/>
              </w:rPr>
            </w:pPr>
          </w:p>
        </w:tc>
        <w:tc>
          <w:tcPr>
            <w:tcW w:w="6240" w:type="dxa"/>
            <w:vAlign w:val="bottom"/>
          </w:tcPr>
          <w:p>
            <w:pPr>
              <w:jc w:val="center"/>
              <w:ind w:right="2250"/>
              <w:spacing w:after="0"/>
              <w:rPr>
                <w:sz w:val="20"/>
                <w:szCs w:val="20"/>
                <w:color w:val="auto"/>
              </w:rPr>
            </w:pPr>
            <w:r>
              <w:rPr>
                <w:rFonts w:ascii="Arial" w:cs="Arial" w:eastAsia="Arial" w:hAnsi="Arial"/>
                <w:sz w:val="18"/>
                <w:szCs w:val="18"/>
                <w:color w:val="auto"/>
                <w:w w:val="95"/>
              </w:rPr>
              <w:t>REGISTRATION STATEMENT</w:t>
            </w:r>
          </w:p>
        </w:tc>
      </w:tr>
      <w:tr>
        <w:trPr>
          <w:trHeight w:val="216"/>
        </w:trPr>
        <w:tc>
          <w:tcPr>
            <w:tcW w:w="2000" w:type="dxa"/>
            <w:vAlign w:val="bottom"/>
          </w:tcPr>
          <w:p>
            <w:pPr>
              <w:spacing w:after="0"/>
              <w:rPr>
                <w:sz w:val="18"/>
                <w:szCs w:val="18"/>
                <w:color w:val="auto"/>
              </w:rPr>
            </w:pPr>
          </w:p>
        </w:tc>
        <w:tc>
          <w:tcPr>
            <w:tcW w:w="6240" w:type="dxa"/>
            <w:vAlign w:val="bottom"/>
          </w:tcPr>
          <w:p>
            <w:pPr>
              <w:jc w:val="center"/>
              <w:ind w:right="2250"/>
              <w:spacing w:after="0"/>
              <w:rPr>
                <w:sz w:val="20"/>
                <w:szCs w:val="20"/>
                <w:color w:val="auto"/>
              </w:rPr>
            </w:pPr>
            <w:r>
              <w:rPr>
                <w:rFonts w:ascii="Arial" w:cs="Arial" w:eastAsia="Arial" w:hAnsi="Arial"/>
                <w:sz w:val="18"/>
                <w:szCs w:val="18"/>
                <w:color w:val="auto"/>
                <w:w w:val="96"/>
              </w:rPr>
              <w:t>UNDER</w:t>
            </w:r>
          </w:p>
        </w:tc>
      </w:tr>
      <w:tr>
        <w:trPr>
          <w:trHeight w:val="230"/>
        </w:trPr>
        <w:tc>
          <w:tcPr>
            <w:tcW w:w="2000" w:type="dxa"/>
            <w:vAlign w:val="bottom"/>
          </w:tcPr>
          <w:p>
            <w:pPr>
              <w:spacing w:after="0"/>
              <w:rPr>
                <w:sz w:val="20"/>
                <w:szCs w:val="20"/>
                <w:color w:val="auto"/>
              </w:rPr>
            </w:pPr>
          </w:p>
        </w:tc>
        <w:tc>
          <w:tcPr>
            <w:tcW w:w="6240" w:type="dxa"/>
            <w:vAlign w:val="bottom"/>
          </w:tcPr>
          <w:p>
            <w:pPr>
              <w:jc w:val="center"/>
              <w:ind w:right="2250"/>
              <w:spacing w:after="0"/>
              <w:rPr>
                <w:sz w:val="20"/>
                <w:szCs w:val="20"/>
                <w:color w:val="auto"/>
              </w:rPr>
            </w:pPr>
            <w:r>
              <w:rPr>
                <w:rFonts w:ascii="Arial" w:cs="Arial" w:eastAsia="Arial" w:hAnsi="Arial"/>
                <w:sz w:val="18"/>
                <w:szCs w:val="18"/>
                <w:color w:val="auto"/>
                <w:w w:val="94"/>
              </w:rPr>
              <w:t>THE SECURITIES ACT OF 1933</w:t>
            </w:r>
          </w:p>
        </w:tc>
      </w:tr>
      <w:tr>
        <w:trPr>
          <w:trHeight w:val="391"/>
        </w:trPr>
        <w:tc>
          <w:tcPr>
            <w:tcW w:w="2000" w:type="dxa"/>
            <w:vAlign w:val="bottom"/>
          </w:tcPr>
          <w:p>
            <w:pPr>
              <w:spacing w:after="0"/>
              <w:rPr>
                <w:sz w:val="24"/>
                <w:szCs w:val="24"/>
                <w:color w:val="auto"/>
              </w:rPr>
            </w:pPr>
          </w:p>
        </w:tc>
        <w:tc>
          <w:tcPr>
            <w:tcW w:w="6240" w:type="dxa"/>
            <w:vAlign w:val="bottom"/>
          </w:tcPr>
          <w:p>
            <w:pPr>
              <w:jc w:val="center"/>
              <w:ind w:right="2230"/>
              <w:spacing w:after="0"/>
              <w:rPr>
                <w:sz w:val="20"/>
                <w:szCs w:val="20"/>
                <w:color w:val="auto"/>
              </w:rPr>
            </w:pPr>
            <w:r>
              <w:rPr>
                <w:rFonts w:ascii="Arial" w:cs="Arial" w:eastAsia="Arial" w:hAnsi="Arial"/>
                <w:sz w:val="18"/>
                <w:szCs w:val="18"/>
                <w:b w:val="1"/>
                <w:bCs w:val="1"/>
                <w:color w:val="auto"/>
                <w:w w:val="91"/>
              </w:rPr>
              <w:t>Cohu, Inc.</w:t>
            </w:r>
          </w:p>
        </w:tc>
      </w:tr>
      <w:tr>
        <w:trPr>
          <w:trHeight w:val="230"/>
        </w:trPr>
        <w:tc>
          <w:tcPr>
            <w:tcW w:w="2000" w:type="dxa"/>
            <w:vAlign w:val="bottom"/>
          </w:tcPr>
          <w:p>
            <w:pPr>
              <w:spacing w:after="0"/>
              <w:rPr>
                <w:sz w:val="20"/>
                <w:szCs w:val="20"/>
                <w:color w:val="auto"/>
              </w:rPr>
            </w:pPr>
          </w:p>
        </w:tc>
        <w:tc>
          <w:tcPr>
            <w:tcW w:w="6240" w:type="dxa"/>
            <w:vAlign w:val="bottom"/>
          </w:tcPr>
          <w:p>
            <w:pPr>
              <w:jc w:val="center"/>
              <w:ind w:right="223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593"/>
        </w:trPr>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6240" w:type="dxa"/>
            <w:vAlign w:val="bottom"/>
          </w:tcPr>
          <w:p>
            <w:pPr>
              <w:jc w:val="right"/>
              <w:ind w:right="770"/>
              <w:spacing w:after="0"/>
              <w:rPr>
                <w:sz w:val="20"/>
                <w:szCs w:val="20"/>
                <w:color w:val="auto"/>
              </w:rPr>
            </w:pPr>
            <w:r>
              <w:rPr>
                <w:rFonts w:ascii="Arial" w:cs="Arial" w:eastAsia="Arial" w:hAnsi="Arial"/>
                <w:sz w:val="18"/>
                <w:szCs w:val="18"/>
                <w:b w:val="1"/>
                <w:bCs w:val="1"/>
                <w:color w:val="auto"/>
              </w:rPr>
              <w:t>95-1934119</w:t>
            </w: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i w:val="1"/>
                <w:iCs w:val="1"/>
                <w:color w:val="auto"/>
                <w:w w:val="93"/>
              </w:rPr>
              <w:t>(State or other jurisdiction</w:t>
            </w:r>
          </w:p>
        </w:tc>
        <w:tc>
          <w:tcPr>
            <w:tcW w:w="6240" w:type="dxa"/>
            <w:vAlign w:val="bottom"/>
          </w:tcPr>
          <w:p>
            <w:pPr>
              <w:jc w:val="center"/>
              <w:ind w:left="3570"/>
              <w:spacing w:after="0"/>
              <w:rPr>
                <w:sz w:val="20"/>
                <w:szCs w:val="20"/>
                <w:color w:val="auto"/>
              </w:rPr>
            </w:pPr>
            <w:r>
              <w:rPr>
                <w:rFonts w:ascii="Arial" w:cs="Arial" w:eastAsia="Arial" w:hAnsi="Arial"/>
                <w:sz w:val="18"/>
                <w:szCs w:val="18"/>
                <w:i w:val="1"/>
                <w:iCs w:val="1"/>
                <w:color w:val="auto"/>
                <w:w w:val="93"/>
              </w:rPr>
              <w:t>(I.R.S. Employer Identification No.)</w:t>
            </w:r>
          </w:p>
        </w:tc>
      </w:tr>
    </w:tbl>
    <w:p>
      <w:pPr>
        <w:ind w:left="1520"/>
        <w:spacing w:after="0"/>
        <w:rPr>
          <w:sz w:val="20"/>
          <w:szCs w:val="20"/>
          <w:color w:val="auto"/>
        </w:rPr>
      </w:pPr>
      <w:r>
        <w:rPr>
          <w:rFonts w:ascii="Arial" w:cs="Arial" w:eastAsia="Arial" w:hAnsi="Arial"/>
          <w:sz w:val="18"/>
          <w:szCs w:val="18"/>
          <w:i w:val="1"/>
          <w:iCs w:val="1"/>
          <w:color w:val="auto"/>
        </w:rPr>
        <w:t>of incorporation or organization)</w:t>
      </w:r>
    </w:p>
    <w:p>
      <w:pPr>
        <w:spacing w:after="0" w:line="166"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12367 Crosthwaite Circle, Poway, California 92064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 1998 Stock Option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(Full title of the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John H. Allen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Vice President, Finance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12367 Crosthwaite Circle, Poway, California 92064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(Name and address of agent for service)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(858) 848-8100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(Telephone number, including area code, of agent for service)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42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Title of securities</w:t>
            </w:r>
          </w:p>
        </w:tc>
        <w:tc>
          <w:tcPr>
            <w:tcW w:w="420" w:type="dxa"/>
            <w:vAlign w:val="bottom"/>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4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4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58"/>
        </w:trPr>
        <w:tc>
          <w:tcPr>
            <w:tcW w:w="21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20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maximum offering</w:t>
            </w:r>
          </w:p>
        </w:tc>
        <w:tc>
          <w:tcPr>
            <w:tcW w:w="420" w:type="dxa"/>
            <w:vAlign w:val="bottom"/>
          </w:tcPr>
          <w:p>
            <w:pPr>
              <w:spacing w:after="0"/>
              <w:rPr>
                <w:sz w:val="13"/>
                <w:szCs w:val="13"/>
                <w:color w:val="auto"/>
              </w:rPr>
            </w:pPr>
          </w:p>
        </w:tc>
        <w:tc>
          <w:tcPr>
            <w:tcW w:w="25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aggregate offering</w:t>
            </w:r>
          </w:p>
        </w:tc>
        <w:tc>
          <w:tcPr>
            <w:tcW w:w="42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160" w:type="dxa"/>
            <w:vAlign w:val="bottom"/>
            <w:tcBorders>
              <w:bottom w:val="single" w:sz="8" w:color="808080"/>
            </w:tcBorders>
          </w:tcPr>
          <w:p>
            <w:pPr>
              <w:spacing w:after="0"/>
              <w:rPr>
                <w:sz w:val="20"/>
                <w:szCs w:val="20"/>
                <w:color w:val="auto"/>
              </w:rPr>
            </w:pPr>
            <w:r>
              <w:rPr>
                <w:rFonts w:ascii="Arial" w:cs="Arial" w:eastAsia="Arial" w:hAnsi="Arial"/>
                <w:sz w:val="14"/>
                <w:szCs w:val="14"/>
                <w:b w:val="1"/>
                <w:bCs w:val="1"/>
                <w:color w:val="auto"/>
              </w:rPr>
              <w:t>to be registered</w:t>
            </w:r>
          </w:p>
        </w:tc>
        <w:tc>
          <w:tcPr>
            <w:tcW w:w="420" w:type="dxa"/>
            <w:vAlign w:val="bottom"/>
          </w:tcPr>
          <w:p>
            <w:pPr>
              <w:spacing w:after="0"/>
              <w:rPr>
                <w:sz w:val="23"/>
                <w:szCs w:val="23"/>
                <w:color w:val="auto"/>
              </w:rPr>
            </w:pPr>
          </w:p>
        </w:tc>
        <w:tc>
          <w:tcPr>
            <w:tcW w:w="202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6"/>
              </w:rPr>
              <w:t xml:space="preserve">registered </w:t>
            </w:r>
            <w:r>
              <w:rPr>
                <w:rFonts w:ascii="Arial" w:cs="Arial" w:eastAsia="Arial" w:hAnsi="Arial"/>
                <w:sz w:val="23"/>
                <w:szCs w:val="23"/>
                <w:b w:val="1"/>
                <w:bCs w:val="1"/>
                <w:color w:val="auto"/>
                <w:w w:val="86"/>
                <w:vertAlign w:val="superscript"/>
              </w:rPr>
              <w:t>(1)</w:t>
            </w:r>
          </w:p>
        </w:tc>
        <w:tc>
          <w:tcPr>
            <w:tcW w:w="420" w:type="dxa"/>
            <w:vAlign w:val="bottom"/>
          </w:tcPr>
          <w:p>
            <w:pPr>
              <w:spacing w:after="0"/>
              <w:rPr>
                <w:sz w:val="23"/>
                <w:szCs w:val="23"/>
                <w:color w:val="auto"/>
              </w:rPr>
            </w:pPr>
          </w:p>
        </w:tc>
        <w:tc>
          <w:tcPr>
            <w:tcW w:w="12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9"/>
              </w:rPr>
              <w:t xml:space="preserve">price per share </w:t>
            </w:r>
            <w:r>
              <w:rPr>
                <w:rFonts w:ascii="Arial" w:cs="Arial" w:eastAsia="Arial" w:hAnsi="Arial"/>
                <w:sz w:val="23"/>
                <w:szCs w:val="23"/>
                <w:b w:val="1"/>
                <w:bCs w:val="1"/>
                <w:color w:val="auto"/>
                <w:w w:val="89"/>
                <w:vertAlign w:val="superscript"/>
              </w:rPr>
              <w:t>(2)</w:t>
            </w:r>
          </w:p>
        </w:tc>
        <w:tc>
          <w:tcPr>
            <w:tcW w:w="420" w:type="dxa"/>
            <w:vAlign w:val="bottom"/>
          </w:tcPr>
          <w:p>
            <w:pPr>
              <w:spacing w:after="0"/>
              <w:rPr>
                <w:sz w:val="23"/>
                <w:szCs w:val="23"/>
                <w:color w:val="auto"/>
              </w:rPr>
            </w:pPr>
          </w:p>
        </w:tc>
        <w:tc>
          <w:tcPr>
            <w:tcW w:w="25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5"/>
              </w:rPr>
              <w:t xml:space="preserve">price </w:t>
            </w:r>
            <w:r>
              <w:rPr>
                <w:rFonts w:ascii="Arial" w:cs="Arial" w:eastAsia="Arial" w:hAnsi="Arial"/>
                <w:sz w:val="23"/>
                <w:szCs w:val="23"/>
                <w:b w:val="1"/>
                <w:bCs w:val="1"/>
                <w:color w:val="auto"/>
                <w:w w:val="85"/>
                <w:vertAlign w:val="superscript"/>
              </w:rPr>
              <w:t>(2)</w:t>
            </w:r>
          </w:p>
        </w:tc>
        <w:tc>
          <w:tcPr>
            <w:tcW w:w="420" w:type="dxa"/>
            <w:vAlign w:val="bottom"/>
          </w:tcPr>
          <w:p>
            <w:pPr>
              <w:spacing w:after="0"/>
              <w:rPr>
                <w:sz w:val="23"/>
                <w:szCs w:val="23"/>
                <w:color w:val="auto"/>
              </w:rPr>
            </w:pPr>
          </w:p>
        </w:tc>
        <w:tc>
          <w:tcPr>
            <w:tcW w:w="17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8"/>
              </w:rPr>
              <w:t xml:space="preserve">registration fee </w:t>
            </w:r>
            <w:r>
              <w:rPr>
                <w:rFonts w:ascii="Arial" w:cs="Arial" w:eastAsia="Arial" w:hAnsi="Arial"/>
                <w:sz w:val="23"/>
                <w:szCs w:val="23"/>
                <w:b w:val="1"/>
                <w:bCs w:val="1"/>
                <w:color w:val="auto"/>
                <w:w w:val="88"/>
                <w:vertAlign w:val="superscript"/>
              </w:rPr>
              <w:t>(2)</w:t>
            </w:r>
          </w:p>
        </w:tc>
        <w:tc>
          <w:tcPr>
            <w:tcW w:w="0" w:type="dxa"/>
            <w:vAlign w:val="bottom"/>
          </w:tcPr>
          <w:p>
            <w:pPr>
              <w:spacing w:after="0"/>
              <w:rPr>
                <w:sz w:val="1"/>
                <w:szCs w:val="1"/>
                <w:color w:val="auto"/>
              </w:rPr>
            </w:pPr>
          </w:p>
        </w:tc>
      </w:tr>
      <w:tr>
        <w:trPr>
          <w:trHeight w:val="276"/>
        </w:trPr>
        <w:tc>
          <w:tcPr>
            <w:tcW w:w="2160" w:type="dxa"/>
            <w:vAlign w:val="bottom"/>
          </w:tcPr>
          <w:p>
            <w:pPr>
              <w:spacing w:after="0"/>
              <w:rPr>
                <w:sz w:val="20"/>
                <w:szCs w:val="20"/>
                <w:color w:val="auto"/>
              </w:rPr>
            </w:pPr>
            <w:r>
              <w:rPr>
                <w:rFonts w:ascii="Arial" w:cs="Arial" w:eastAsia="Arial" w:hAnsi="Arial"/>
                <w:sz w:val="18"/>
                <w:szCs w:val="18"/>
                <w:color w:val="auto"/>
              </w:rPr>
              <w:t>Common Stock, par value</w:t>
            </w:r>
          </w:p>
        </w:tc>
        <w:tc>
          <w:tcPr>
            <w:tcW w:w="2440" w:type="dxa"/>
            <w:vAlign w:val="bottom"/>
            <w:gridSpan w:val="2"/>
          </w:tcPr>
          <w:p>
            <w:pPr>
              <w:ind w:left="420"/>
              <w:spacing w:after="0"/>
              <w:rPr>
                <w:sz w:val="20"/>
                <w:szCs w:val="20"/>
                <w:color w:val="auto"/>
              </w:rPr>
            </w:pPr>
            <w:r>
              <w:rPr>
                <w:rFonts w:ascii="Arial" w:cs="Arial" w:eastAsia="Arial" w:hAnsi="Arial"/>
                <w:sz w:val="18"/>
                <w:szCs w:val="18"/>
                <w:color w:val="auto"/>
              </w:rPr>
              <w:t>1,000,000 shares</w:t>
            </w:r>
          </w:p>
        </w:tc>
        <w:tc>
          <w:tcPr>
            <w:tcW w:w="1680" w:type="dxa"/>
            <w:vAlign w:val="bottom"/>
            <w:gridSpan w:val="2"/>
          </w:tcPr>
          <w:p>
            <w:pPr>
              <w:jc w:val="right"/>
              <w:ind w:right="348"/>
              <w:spacing w:after="0"/>
              <w:rPr>
                <w:sz w:val="20"/>
                <w:szCs w:val="20"/>
                <w:color w:val="auto"/>
              </w:rPr>
            </w:pPr>
            <w:r>
              <w:rPr>
                <w:rFonts w:ascii="Arial" w:cs="Arial" w:eastAsia="Arial" w:hAnsi="Arial"/>
                <w:sz w:val="18"/>
                <w:szCs w:val="18"/>
                <w:color w:val="auto"/>
              </w:rPr>
              <w:t>$15.71</w:t>
            </w:r>
          </w:p>
        </w:tc>
        <w:tc>
          <w:tcPr>
            <w:tcW w:w="2980" w:type="dxa"/>
            <w:vAlign w:val="bottom"/>
            <w:gridSpan w:val="2"/>
          </w:tcPr>
          <w:p>
            <w:pPr>
              <w:jc w:val="right"/>
              <w:ind w:right="688"/>
              <w:spacing w:after="0"/>
              <w:rPr>
                <w:sz w:val="20"/>
                <w:szCs w:val="20"/>
                <w:color w:val="auto"/>
              </w:rPr>
            </w:pPr>
            <w:r>
              <w:rPr>
                <w:rFonts w:ascii="Arial" w:cs="Arial" w:eastAsia="Arial" w:hAnsi="Arial"/>
                <w:sz w:val="18"/>
                <w:szCs w:val="18"/>
                <w:color w:val="auto"/>
              </w:rPr>
              <w:t>$15,710,000.00</w:t>
            </w:r>
          </w:p>
        </w:tc>
        <w:tc>
          <w:tcPr>
            <w:tcW w:w="2160" w:type="dxa"/>
            <w:vAlign w:val="bottom"/>
            <w:gridSpan w:val="2"/>
          </w:tcPr>
          <w:p>
            <w:pPr>
              <w:jc w:val="right"/>
              <w:ind w:right="488"/>
              <w:spacing w:after="0"/>
              <w:rPr>
                <w:sz w:val="20"/>
                <w:szCs w:val="20"/>
                <w:color w:val="auto"/>
              </w:rPr>
            </w:pPr>
            <w:r>
              <w:rPr>
                <w:rFonts w:ascii="Arial" w:cs="Arial" w:eastAsia="Arial" w:hAnsi="Arial"/>
                <w:sz w:val="18"/>
                <w:szCs w:val="18"/>
                <w:color w:val="auto"/>
              </w:rPr>
              <w:t>$1,990.46</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12" w:lineRule="exact"/>
        <w:rPr>
          <w:sz w:val="20"/>
          <w:szCs w:val="20"/>
          <w:color w:val="auto"/>
        </w:rPr>
      </w:pPr>
    </w:p>
    <w:p>
      <w:pPr>
        <w:ind w:left="500" w:hanging="491"/>
        <w:spacing w:after="0"/>
        <w:tabs>
          <w:tab w:leader="none" w:pos="500"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Pursuant to Rule 416(a), also covers additional securities that may be offered as a result of stock splits, stock dividends or similar transactions.</w:t>
      </w:r>
    </w:p>
    <w:p>
      <w:pPr>
        <w:spacing w:after="0" w:line="201" w:lineRule="exact"/>
        <w:rPr>
          <w:rFonts w:ascii="Arial" w:cs="Arial" w:eastAsia="Arial" w:hAnsi="Arial"/>
          <w:sz w:val="28"/>
          <w:szCs w:val="28"/>
          <w:color w:val="auto"/>
          <w:vertAlign w:val="superscript"/>
        </w:rPr>
      </w:pPr>
    </w:p>
    <w:p>
      <w:pPr>
        <w:jc w:val="both"/>
        <w:ind w:left="500" w:right="260" w:hanging="491"/>
        <w:spacing w:after="0" w:line="209" w:lineRule="auto"/>
        <w:tabs>
          <w:tab w:leader="none" w:pos="50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Estimated solely for the purpose of determining the registration fee and calculated pursuant to Rule 457(c) and 457(h) of the Securities Act of 1933. The maximum offering price per share is based on the average of the high and low selling prices per share of Cohu, Inc. Common Stock on July 19, 2004, as reported on the Nasdaq National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right="2579" w:hanging="310"/>
        <w:spacing w:after="0" w:line="239"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II INFORMATION REQUIRED IN THE REGISTRATION STATEMENT</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3. Incorporation of Documents by Reference</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6. Indemnification of Directors and Officers</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8. Exhibits</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9. Undertakings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EXHIBIT 5.1</w:t>
      </w:r>
    </w:p>
    <w:p>
      <w:pPr>
        <w:spacing w:after="0"/>
        <w:rPr>
          <w:sz w:val="20"/>
          <w:szCs w:val="20"/>
          <w:color w:val="auto"/>
        </w:rPr>
      </w:pPr>
      <w:r>
        <w:rPr>
          <w:rFonts w:ascii="Arial" w:cs="Arial" w:eastAsia="Arial" w:hAnsi="Arial"/>
          <w:sz w:val="22"/>
          <w:szCs w:val="22"/>
          <w:u w:val="single" w:color="auto"/>
          <w:color w:val="0000EE"/>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w:t>
      </w:r>
    </w:p>
    <w:p>
      <w:pPr>
        <w:spacing w:after="0" w:line="198"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INFORMATION REQUIRED IN THE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3. Incorporation of Documents by Reference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Cohu, Inc. (the “Company”) hereby incorporates by reference in this registration statement the following documents:</w:t>
      </w:r>
    </w:p>
    <w:p>
      <w:pPr>
        <w:spacing w:after="0" w:line="198" w:lineRule="exact"/>
        <w:rPr>
          <w:sz w:val="20"/>
          <w:szCs w:val="20"/>
          <w:color w:val="auto"/>
        </w:rPr>
      </w:pPr>
    </w:p>
    <w:p>
      <w:pPr>
        <w:ind w:right="280" w:firstLine="233"/>
        <w:spacing w:after="0" w:line="277" w:lineRule="auto"/>
        <w:tabs>
          <w:tab w:leader="none" w:pos="467"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Company’s latest annual report on Form 10-K filed pursuant to Section 13(a) or 15(d) of the Securities Exchange Act of 1934, as amended (the “Exchange Act”), containing audited financial statements for the Company’s fiscal year ended December 31, 2003.</w:t>
      </w:r>
    </w:p>
    <w:p>
      <w:pPr>
        <w:spacing w:after="0" w:line="129" w:lineRule="exact"/>
        <w:rPr>
          <w:rFonts w:ascii="Arial" w:cs="Arial" w:eastAsia="Arial" w:hAnsi="Arial"/>
          <w:sz w:val="18"/>
          <w:szCs w:val="18"/>
          <w:color w:val="auto"/>
        </w:rPr>
      </w:pPr>
    </w:p>
    <w:p>
      <w:pPr>
        <w:ind w:left="480" w:hanging="247"/>
        <w:spacing w:after="0"/>
        <w:tabs>
          <w:tab w:leader="none" w:pos="4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other reports filed pursuant to Section 13(a) or 15(d) of the Exchange Act since the end of the fiscal year covered by the document referred to in</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above.</w:t>
      </w:r>
    </w:p>
    <w:p>
      <w:pPr>
        <w:spacing w:after="0" w:line="170" w:lineRule="exact"/>
        <w:rPr>
          <w:rFonts w:ascii="Arial" w:cs="Arial" w:eastAsia="Arial" w:hAnsi="Arial"/>
          <w:sz w:val="18"/>
          <w:szCs w:val="18"/>
          <w:color w:val="auto"/>
        </w:rPr>
      </w:pPr>
    </w:p>
    <w:p>
      <w:pPr>
        <w:ind w:right="380" w:firstLine="233"/>
        <w:spacing w:after="0" w:line="277" w:lineRule="auto"/>
        <w:tabs>
          <w:tab w:leader="none" w:pos="467"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Registration Statement on Form 8-A filed under the Exchange Act, including any amendment or report filed for the purpose of updating such description.</w:t>
      </w:r>
    </w:p>
    <w:p>
      <w:pPr>
        <w:spacing w:after="0" w:line="143" w:lineRule="exact"/>
        <w:rPr>
          <w:sz w:val="20"/>
          <w:szCs w:val="20"/>
          <w:color w:val="auto"/>
        </w:rPr>
      </w:pPr>
    </w:p>
    <w:p>
      <w:pPr>
        <w:ind w:right="340" w:firstLine="215"/>
        <w:spacing w:after="0" w:line="259" w:lineRule="auto"/>
        <w:rPr>
          <w:sz w:val="20"/>
          <w:szCs w:val="20"/>
          <w:color w:val="auto"/>
        </w:rPr>
      </w:pPr>
      <w:r>
        <w:rPr>
          <w:rFonts w:ascii="Arial" w:cs="Arial" w:eastAsia="Arial" w:hAnsi="Arial"/>
          <w:sz w:val="18"/>
          <w:szCs w:val="18"/>
          <w:color w:val="auto"/>
        </w:rPr>
        <w:t>All documents subsequently filed by the Company pursuant to Sections 13(a), 13(c), 14 and 15(d) of the Exchange Act,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Item 4. Description of Securities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5. Interests of Named Experts and Counsel</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6. Indemnification of Directors and Officers</w:t>
      </w:r>
    </w:p>
    <w:p>
      <w:pPr>
        <w:spacing w:after="0" w:line="198" w:lineRule="exact"/>
        <w:rPr>
          <w:sz w:val="20"/>
          <w:szCs w:val="20"/>
          <w:color w:val="auto"/>
        </w:rPr>
      </w:pPr>
    </w:p>
    <w:p>
      <w:pPr>
        <w:ind w:right="260" w:firstLine="225"/>
        <w:spacing w:after="0" w:line="257" w:lineRule="auto"/>
        <w:rPr>
          <w:sz w:val="20"/>
          <w:szCs w:val="20"/>
          <w:color w:val="auto"/>
        </w:rPr>
      </w:pPr>
      <w:r>
        <w:rPr>
          <w:rFonts w:ascii="Arial" w:cs="Arial" w:eastAsia="Arial" w:hAnsi="Arial"/>
          <w:sz w:val="18"/>
          <w:szCs w:val="18"/>
          <w:color w:val="auto"/>
        </w:rPr>
        <w:t>Delaware law authorizes corporations to eliminate the personal liability of directors to corporations and their stockholders for monetary damages for breach or alleged breach of the directors’ “duty of care.” While the relevant statute does not change directors’ duty of care, it enables corporations to limit available relief to equitable remedies such as injunction or rescission. The statute has no effect on directors’ duty of loyalty, acts or omissions not in good faith or involving intentional misconduct or knowing violations of law, illegal payment of dividends and approval of any transaction from which a director derives an improper personal benefit.</w:t>
      </w:r>
    </w:p>
    <w:p>
      <w:pPr>
        <w:spacing w:after="0" w:line="148"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Company has adopted provisions in its Certificate of Incorporation which eliminate the personal liability of its directors to the Company and its stockholders for monetary damages for breach or alleged breach of their duty of care. The bylaws of the Company provide for indemnification of its directors, officers, employees and agents to the fullest extent permitted by the General Corporation Law of the State of Delaware, the Company’s state of incorporation, including those circumstances in which indemnification would otherwise be discretionary under Delaware Law. Section 145 of the General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color w:val="auto"/>
        </w:rPr>
        <w:t>Corporation Law of the State of Delaware provides for indemnification in terms sufficiently broad to indemnify such individuals, under certain circumstances, for liabilities (including reimbursement of expenses incurred) arising under the Securities Act of 1933.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Item 7. Exemption From Registration Claimed</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8. Exhibits</w:t>
      </w:r>
    </w:p>
    <w:p>
      <w:pPr>
        <w:spacing w:after="0" w:line="200" w:lineRule="exact"/>
        <w:rPr>
          <w:sz w:val="20"/>
          <w:szCs w:val="20"/>
          <w:color w:val="auto"/>
        </w:rPr>
      </w:pP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400" w:type="dxa"/>
            <w:vAlign w:val="bottom"/>
          </w:tcPr>
          <w:p>
            <w:pPr>
              <w:spacing w:after="0"/>
              <w:rPr>
                <w:sz w:val="16"/>
                <w:szCs w:val="16"/>
                <w:color w:val="auto"/>
              </w:rPr>
            </w:pPr>
          </w:p>
        </w:tc>
        <w:tc>
          <w:tcPr>
            <w:tcW w:w="7420" w:type="dxa"/>
            <w:vAlign w:val="bottom"/>
          </w:tcPr>
          <w:p>
            <w:pPr>
              <w:ind w:left="336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72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7420" w:type="dxa"/>
            <w:vAlign w:val="bottom"/>
            <w:tcBorders>
              <w:bottom w:val="single" w:sz="8" w:color="808080"/>
            </w:tcBorders>
          </w:tcPr>
          <w:p>
            <w:pPr>
              <w:spacing w:after="0"/>
              <w:rPr>
                <w:sz w:val="4"/>
                <w:szCs w:val="4"/>
                <w:color w:val="auto"/>
              </w:rPr>
            </w:pPr>
          </w:p>
        </w:tc>
      </w:tr>
      <w:tr>
        <w:trPr>
          <w:trHeight w:val="276"/>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2"/>
              </w:rPr>
              <w:t>Amended and Restated Certificate of Incorporation of Cohu, Inc. incorporated herein by reference to</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Exhibit 3.1(a) from the Cohu, Inc. Form 10-Q for the quarterly period ended June 30, 1999.</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4.1(a)</w:t>
            </w: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9"/>
              </w:rPr>
              <w:t>Certificate of Amendment of Amended and Restated Certificate of Incorporation of Cohu, Inc.</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5"/>
              </w:rPr>
              <w:t>incorporated herein by reference from the Cohu, Inc. Form S-8 filed June 30, 2000, Exhibit 4.1(a).</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2"/>
              </w:rPr>
              <w:t>Amended and Restated Bylaws of Cohu, Inc. incorporated herein by reference to Exhibit 3.2 from the</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2"/>
              </w:rPr>
              <w:t>Cohu, Inc. Report on Form 8-K filed with the Securities and Exchange Commission on December 12,</w:t>
            </w:r>
          </w:p>
        </w:tc>
      </w:tr>
      <w:tr>
        <w:trPr>
          <w:trHeight w:val="216"/>
        </w:trPr>
        <w:tc>
          <w:tcPr>
            <w:tcW w:w="720" w:type="dxa"/>
            <w:vAlign w:val="bottom"/>
          </w:tcPr>
          <w:p>
            <w:pPr>
              <w:spacing w:after="0"/>
              <w:rPr>
                <w:sz w:val="18"/>
                <w:szCs w:val="18"/>
                <w:color w:val="auto"/>
              </w:rPr>
            </w:pPr>
          </w:p>
        </w:tc>
        <w:tc>
          <w:tcPr>
            <w:tcW w:w="7820" w:type="dxa"/>
            <w:vAlign w:val="bottom"/>
            <w:gridSpan w:val="2"/>
          </w:tcPr>
          <w:p>
            <w:pPr>
              <w:ind w:left="400"/>
              <w:spacing w:after="0"/>
              <w:rPr>
                <w:sz w:val="20"/>
                <w:szCs w:val="20"/>
                <w:color w:val="auto"/>
              </w:rPr>
            </w:pPr>
            <w:r>
              <w:rPr>
                <w:rFonts w:ascii="Arial" w:cs="Arial" w:eastAsia="Arial" w:hAnsi="Arial"/>
                <w:sz w:val="18"/>
                <w:szCs w:val="18"/>
                <w:color w:val="auto"/>
              </w:rPr>
              <w:t>1996.</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6"/>
              </w:rPr>
              <w:t>Rights Agreement dated November 15, 1996, between Cohu, Inc. and ChaseMellon Shareholder</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3"/>
              </w:rPr>
              <w:t>Services, L.L.C., as rights agent, incorporated herein by reference to Exhibit 4.1 from the Cohu, Inc.</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Form 8-K filed with the Securities and Exchange Commission on December 12, 1996.</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2"/>
              </w:rPr>
              <w:t>Cohu, Inc. 1998 Stock Option Plan (as amended) incorporated herein by reference from Appendix D</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 the Cohu, Inc. Proxy Statement for the 2004 Annual Meeting of Stockholders filed with the</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Securities and Exchange Commission on March 31, 2004.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Opinion re legality</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Consent of Counsel (included in Exhibit 5.1)</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Consent of Ernst &amp; Young LLP</w:t>
            </w:r>
          </w:p>
        </w:tc>
      </w:tr>
    </w:tbl>
    <w:p>
      <w:pPr>
        <w:ind w:left="2560" w:hanging="1120"/>
        <w:spacing w:after="0"/>
        <w:tabs>
          <w:tab w:leader="none" w:pos="2560" w:val="left"/>
        </w:tabs>
        <w:numPr>
          <w:ilvl w:val="3"/>
          <w:numId w:val="4"/>
        </w:numPr>
        <w:rPr>
          <w:rFonts w:ascii="Arial" w:cs="Arial" w:eastAsia="Arial" w:hAnsi="Arial"/>
          <w:sz w:val="18"/>
          <w:szCs w:val="18"/>
          <w:color w:val="auto"/>
        </w:rPr>
      </w:pPr>
      <w:r>
        <w:rPr>
          <w:rFonts w:ascii="Arial" w:cs="Arial" w:eastAsia="Arial" w:hAnsi="Arial"/>
          <w:sz w:val="18"/>
          <w:szCs w:val="18"/>
          <w:color w:val="auto"/>
        </w:rPr>
        <w:t>Power of Attorney (included in signature page to this registration statement)</w:t>
      </w:r>
    </w:p>
    <w:p>
      <w:pPr>
        <w:spacing w:after="0" w:line="17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Item 9. Undertakings</w:t>
      </w:r>
    </w:p>
    <w:p>
      <w:pPr>
        <w:spacing w:after="0" w:line="184" w:lineRule="exact"/>
        <w:rPr>
          <w:rFonts w:ascii="Arial" w:cs="Arial" w:eastAsia="Arial" w:hAnsi="Arial"/>
          <w:sz w:val="18"/>
          <w:szCs w:val="18"/>
          <w:color w:val="auto"/>
        </w:rPr>
      </w:pPr>
    </w:p>
    <w:p>
      <w:pPr>
        <w:ind w:left="480" w:hanging="247"/>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98" w:lineRule="exact"/>
        <w:rPr>
          <w:rFonts w:ascii="Arial" w:cs="Arial" w:eastAsia="Arial" w:hAnsi="Arial"/>
          <w:sz w:val="18"/>
          <w:szCs w:val="18"/>
          <w:color w:val="auto"/>
        </w:rPr>
      </w:pPr>
    </w:p>
    <w:p>
      <w:pPr>
        <w:ind w:left="700" w:hanging="242"/>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84" w:lineRule="exact"/>
        <w:rPr>
          <w:rFonts w:ascii="Arial" w:cs="Arial" w:eastAsia="Arial" w:hAnsi="Arial"/>
          <w:sz w:val="18"/>
          <w:szCs w:val="18"/>
          <w:color w:val="auto"/>
        </w:rPr>
      </w:pPr>
    </w:p>
    <w:p>
      <w:pPr>
        <w:ind w:left="900" w:hanging="217"/>
        <w:spacing w:after="0"/>
        <w:tabs>
          <w:tab w:leader="none" w:pos="9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84" w:lineRule="exact"/>
        <w:rPr>
          <w:rFonts w:ascii="Arial" w:cs="Arial" w:eastAsia="Arial" w:hAnsi="Arial"/>
          <w:sz w:val="18"/>
          <w:szCs w:val="18"/>
          <w:color w:val="auto"/>
        </w:rPr>
      </w:pPr>
    </w:p>
    <w:p>
      <w:pPr>
        <w:ind w:firstLine="683"/>
        <w:spacing w:after="0" w:line="273" w:lineRule="auto"/>
        <w:tabs>
          <w:tab w:leader="none" w:pos="937" w:val="left"/>
        </w:tabs>
        <w:numPr>
          <w:ilvl w:val="2"/>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683"/>
        <w:spacing w:after="0" w:line="277" w:lineRule="auto"/>
        <w:tabs>
          <w:tab w:leader="none" w:pos="987"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4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(a)(l)(ii) do not apply if the registration statement is on Form S-3 or Form S-8, and the information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125" w:lineRule="exact"/>
        <w:rPr>
          <w:sz w:val="20"/>
          <w:szCs w:val="20"/>
          <w:color w:val="auto"/>
        </w:rPr>
      </w:pPr>
    </w:p>
    <w:p>
      <w:pPr>
        <w:ind w:firstLine="458"/>
        <w:spacing w:after="0" w:line="264" w:lineRule="auto"/>
        <w:tabs>
          <w:tab w:leader="none" w:pos="702" w:val="left"/>
        </w:tabs>
        <w:numPr>
          <w:ilvl w:val="1"/>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0" w:lineRule="exact"/>
        <w:rPr>
          <w:rFonts w:ascii="Arial" w:cs="Arial" w:eastAsia="Arial" w:hAnsi="Arial"/>
          <w:sz w:val="18"/>
          <w:szCs w:val="18"/>
          <w:color w:val="auto"/>
        </w:rPr>
      </w:pPr>
    </w:p>
    <w:p>
      <w:pPr>
        <w:ind w:right="140" w:firstLine="458"/>
        <w:spacing w:after="0" w:line="277" w:lineRule="auto"/>
        <w:tabs>
          <w:tab w:leader="none" w:pos="702"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3" w:lineRule="exact"/>
        <w:rPr>
          <w:rFonts w:ascii="Arial" w:cs="Arial" w:eastAsia="Arial" w:hAnsi="Arial"/>
          <w:sz w:val="18"/>
          <w:szCs w:val="18"/>
          <w:color w:val="auto"/>
        </w:rPr>
      </w:pPr>
    </w:p>
    <w:p>
      <w:pPr>
        <w:ind w:right="300" w:firstLine="233"/>
        <w:spacing w:after="0" w:line="257" w:lineRule="auto"/>
        <w:tabs>
          <w:tab w:leader="none" w:pos="47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7" w:lineRule="exact"/>
        <w:rPr>
          <w:rFonts w:ascii="Arial" w:cs="Arial" w:eastAsia="Arial" w:hAnsi="Arial"/>
          <w:sz w:val="18"/>
          <w:szCs w:val="18"/>
          <w:color w:val="auto"/>
        </w:rPr>
      </w:pPr>
    </w:p>
    <w:p>
      <w:pPr>
        <w:ind w:right="120" w:firstLine="233"/>
        <w:spacing w:after="0" w:line="254" w:lineRule="auto"/>
        <w:tabs>
          <w:tab w:leader="none" w:pos="47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Poway, State of California, on July 20, 2004.</w:t>
      </w:r>
    </w:p>
    <w:p>
      <w:pPr>
        <w:spacing w:after="0" w:line="3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98"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The officers and directors of Cohu, Inc. whose signatures appear below, hereby constitute and appoint James A. Donahue and John H. Allen, and each of them, their true and lawful attorneys and agents, with full power of substitution, each with power to act alone, to sign and execute on behalf of the undersigned any amendment or amendments to this registration statement on Form S-8, and each of the undersigned does hereby ratify and confirm all that each of said attorney and agent, or their, her or his substitutes, shall do or cause to be done by virtue hereof.</w:t>
      </w:r>
    </w:p>
    <w:p>
      <w:pPr>
        <w:spacing w:after="0" w:line="131"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gridSpan w:val="2"/>
          </w:tcPr>
          <w:p>
            <w:pPr>
              <w:ind w:left="860"/>
              <w:spacing w:after="0"/>
              <w:rPr>
                <w:sz w:val="20"/>
                <w:szCs w:val="20"/>
                <w:color w:val="auto"/>
              </w:rPr>
            </w:pPr>
            <w:r>
              <w:rPr>
                <w:rFonts w:ascii="Arial" w:cs="Arial" w:eastAsia="Arial" w:hAnsi="Arial"/>
                <w:sz w:val="14"/>
                <w:szCs w:val="14"/>
                <w:b w:val="1"/>
                <w:bCs w:val="1"/>
                <w:color w:val="auto"/>
              </w:rPr>
              <w:t>Signature</w:t>
            </w:r>
          </w:p>
        </w:tc>
        <w:tc>
          <w:tcPr>
            <w:tcW w:w="300" w:type="dxa"/>
            <w:vAlign w:val="bottom"/>
          </w:tcPr>
          <w:p>
            <w:pPr>
              <w:spacing w:after="0"/>
              <w:rPr>
                <w:sz w:val="16"/>
                <w:szCs w:val="16"/>
                <w:color w:val="auto"/>
              </w:rPr>
            </w:pPr>
          </w:p>
        </w:tc>
        <w:tc>
          <w:tcPr>
            <w:tcW w:w="5420" w:type="dxa"/>
            <w:vAlign w:val="bottom"/>
          </w:tcPr>
          <w:p>
            <w:pPr>
              <w:ind w:left="2560"/>
              <w:spacing w:after="0"/>
              <w:rPr>
                <w:sz w:val="20"/>
                <w:szCs w:val="20"/>
                <w:color w:val="auto"/>
              </w:rPr>
            </w:pPr>
            <w:r>
              <w:rPr>
                <w:rFonts w:ascii="Arial" w:cs="Arial" w:eastAsia="Arial" w:hAnsi="Arial"/>
                <w:sz w:val="14"/>
                <w:szCs w:val="14"/>
                <w:b w:val="1"/>
                <w:bCs w:val="1"/>
                <w:color w:val="auto"/>
              </w:rPr>
              <w:t>Title</w:t>
            </w:r>
          </w:p>
        </w:tc>
        <w:tc>
          <w:tcPr>
            <w:tcW w:w="300" w:type="dxa"/>
            <w:vAlign w:val="bottom"/>
          </w:tcPr>
          <w:p>
            <w:pPr>
              <w:spacing w:after="0"/>
              <w:rPr>
                <w:sz w:val="16"/>
                <w:szCs w:val="16"/>
                <w:color w:val="auto"/>
              </w:rPr>
            </w:pPr>
          </w:p>
        </w:tc>
        <w:tc>
          <w:tcPr>
            <w:tcW w:w="1240" w:type="dxa"/>
            <w:vAlign w:val="bottom"/>
          </w:tcPr>
          <w:p>
            <w:pPr>
              <w:ind w:left="480"/>
              <w:spacing w:after="0"/>
              <w:rPr>
                <w:sz w:val="20"/>
                <w:szCs w:val="20"/>
                <w:color w:val="auto"/>
              </w:rPr>
            </w:pPr>
            <w:r>
              <w:rPr>
                <w:rFonts w:ascii="Arial" w:cs="Arial" w:eastAsia="Arial" w:hAnsi="Arial"/>
                <w:sz w:val="14"/>
                <w:szCs w:val="14"/>
                <w:b w:val="1"/>
                <w:bCs w:val="1"/>
                <w:color w:val="auto"/>
              </w:rPr>
              <w:t>Date</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80" w:type="dxa"/>
            <w:vAlign w:val="bottom"/>
          </w:tcPr>
          <w:p>
            <w:pPr>
              <w:spacing w:after="0"/>
              <w:rPr>
                <w:sz w:val="5"/>
                <w:szCs w:val="5"/>
                <w:color w:val="auto"/>
              </w:rPr>
            </w:pPr>
          </w:p>
        </w:tc>
        <w:tc>
          <w:tcPr>
            <w:tcW w:w="242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542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88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/s/ Charles A. Schwan</w:t>
            </w:r>
          </w:p>
        </w:tc>
        <w:tc>
          <w:tcPr>
            <w:tcW w:w="5720" w:type="dxa"/>
            <w:vAlign w:val="bottom"/>
            <w:gridSpan w:val="2"/>
          </w:tcPr>
          <w:p>
            <w:pPr>
              <w:ind w:left="300"/>
              <w:spacing w:after="0"/>
              <w:rPr>
                <w:sz w:val="20"/>
                <w:szCs w:val="20"/>
                <w:color w:val="auto"/>
              </w:rPr>
            </w:pPr>
            <w:r>
              <w:rPr>
                <w:rFonts w:ascii="Arial" w:cs="Arial" w:eastAsia="Arial" w:hAnsi="Arial"/>
                <w:sz w:val="18"/>
                <w:szCs w:val="18"/>
                <w:color w:val="auto"/>
              </w:rPr>
              <w:t>Chairman of the Board, Director</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July 20, 2004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88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Charles A. Schwan</w:t>
            </w:r>
          </w:p>
        </w:tc>
        <w:tc>
          <w:tcPr>
            <w:tcW w:w="3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8"/>
              </w:rPr>
              <w:t>/s/ James A. Donahue</w:t>
            </w:r>
          </w:p>
        </w:tc>
        <w:tc>
          <w:tcPr>
            <w:tcW w:w="5720" w:type="dxa"/>
            <w:vAlign w:val="bottom"/>
            <w:gridSpan w:val="2"/>
          </w:tcPr>
          <w:p>
            <w:pPr>
              <w:ind w:left="300"/>
              <w:spacing w:after="0"/>
              <w:rPr>
                <w:sz w:val="20"/>
                <w:szCs w:val="20"/>
                <w:color w:val="auto"/>
              </w:rPr>
            </w:pPr>
            <w:r>
              <w:rPr>
                <w:rFonts w:ascii="Arial" w:cs="Arial" w:eastAsia="Arial" w:hAnsi="Arial"/>
                <w:sz w:val="18"/>
                <w:szCs w:val="18"/>
                <w:color w:val="auto"/>
              </w:rPr>
              <w:t>President, Chief Executive Officer and Director</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July 20, 2004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880" w:type="dxa"/>
            <w:vAlign w:val="bottom"/>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5720" w:type="dxa"/>
            <w:vAlign w:val="bottom"/>
            <w:gridSpan w:val="2"/>
            <w:vMerge w:val="restart"/>
          </w:tcPr>
          <w:p>
            <w:pPr>
              <w:ind w:left="300"/>
              <w:spacing w:after="0"/>
              <w:rPr>
                <w:sz w:val="20"/>
                <w:szCs w:val="20"/>
                <w:color w:val="auto"/>
              </w:rPr>
            </w:pPr>
            <w:r>
              <w:rPr>
                <w:rFonts w:ascii="Arial" w:cs="Arial" w:eastAsia="Arial" w:hAnsi="Arial"/>
                <w:sz w:val="18"/>
                <w:szCs w:val="18"/>
                <w:color w:val="auto"/>
              </w:rPr>
              <w:t>(Principal Executive Officer)</w:t>
            </w: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88"/>
              </w:rPr>
              <w:t>James A. Donahue</w:t>
            </w:r>
          </w:p>
        </w:tc>
        <w:tc>
          <w:tcPr>
            <w:tcW w:w="57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3"/>
              </w:rPr>
              <w:t>/s/ John H. Allen</w:t>
            </w:r>
          </w:p>
        </w:tc>
        <w:tc>
          <w:tcPr>
            <w:tcW w:w="5720" w:type="dxa"/>
            <w:vAlign w:val="bottom"/>
            <w:gridSpan w:val="2"/>
          </w:tcPr>
          <w:p>
            <w:pPr>
              <w:ind w:left="300"/>
              <w:spacing w:after="0"/>
              <w:rPr>
                <w:sz w:val="20"/>
                <w:szCs w:val="20"/>
                <w:color w:val="auto"/>
              </w:rPr>
            </w:pPr>
            <w:r>
              <w:rPr>
                <w:rFonts w:ascii="Arial" w:cs="Arial" w:eastAsia="Arial" w:hAnsi="Arial"/>
                <w:sz w:val="18"/>
                <w:szCs w:val="18"/>
                <w:color w:val="auto"/>
              </w:rPr>
              <w:t>Vice President, Finance and Chief Financial Officer,</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July 20, 2004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880" w:type="dxa"/>
            <w:vAlign w:val="bottom"/>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5720" w:type="dxa"/>
            <w:vAlign w:val="bottom"/>
            <w:gridSpan w:val="2"/>
            <w:vMerge w:val="restart"/>
          </w:tcPr>
          <w:p>
            <w:pPr>
              <w:ind w:left="300"/>
              <w:spacing w:after="0"/>
              <w:rPr>
                <w:sz w:val="20"/>
                <w:szCs w:val="20"/>
                <w:color w:val="auto"/>
              </w:rPr>
            </w:pPr>
            <w:r>
              <w:rPr>
                <w:rFonts w:ascii="Arial" w:cs="Arial" w:eastAsia="Arial" w:hAnsi="Arial"/>
                <w:sz w:val="18"/>
                <w:szCs w:val="18"/>
                <w:color w:val="auto"/>
              </w:rPr>
              <w:t>Secretary (Principal Financial and Accounting Officer)</w:t>
            </w: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93"/>
              </w:rPr>
              <w:t>John H. Allen</w:t>
            </w:r>
          </w:p>
        </w:tc>
        <w:tc>
          <w:tcPr>
            <w:tcW w:w="57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6"/>
              </w:rPr>
              <w:t>/s/ James W. Barnes</w:t>
            </w:r>
          </w:p>
        </w:tc>
        <w:tc>
          <w:tcPr>
            <w:tcW w:w="572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July 20, 2004</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88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7"/>
              </w:rPr>
              <w:t>James W. Barnes</w:t>
            </w:r>
          </w:p>
        </w:tc>
        <w:tc>
          <w:tcPr>
            <w:tcW w:w="3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2"/>
              </w:rPr>
              <w:t>/s/ Harry L. Casari</w:t>
            </w:r>
          </w:p>
        </w:tc>
        <w:tc>
          <w:tcPr>
            <w:tcW w:w="572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July 20, 2004</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88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2"/>
              </w:rPr>
              <w:t>Harry L. Casari</w:t>
            </w:r>
          </w:p>
        </w:tc>
        <w:tc>
          <w:tcPr>
            <w:tcW w:w="3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/s/ Robert L. Ciardella</w:t>
            </w:r>
          </w:p>
        </w:tc>
        <w:tc>
          <w:tcPr>
            <w:tcW w:w="572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July 20, 2004</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88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3"/>
              </w:rPr>
              <w:t>Robert L. Ciardella</w:t>
            </w:r>
          </w:p>
        </w:tc>
        <w:tc>
          <w:tcPr>
            <w:tcW w:w="3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2"/>
              </w:rPr>
              <w:t>/s/ Harold Harrigian</w:t>
            </w:r>
          </w:p>
        </w:tc>
        <w:tc>
          <w:tcPr>
            <w:tcW w:w="572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July 20, 2004</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Harold Harrigian</w:t>
            </w:r>
          </w:p>
        </w:tc>
        <w:tc>
          <w:tcPr>
            <w:tcW w:w="3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720" w:type="dxa"/>
            <w:vAlign w:val="bottom"/>
            <w:gridSpan w:val="2"/>
          </w:tcPr>
          <w:p>
            <w:pPr>
              <w:ind w:left="236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20" w:type="dxa"/>
            <w:vAlign w:val="bottom"/>
          </w:tcPr>
          <w:p>
            <w:pPr>
              <w:ind w:left="2460"/>
              <w:spacing w:after="0"/>
              <w:rPr>
                <w:sz w:val="20"/>
                <w:szCs w:val="20"/>
                <w:color w:val="auto"/>
              </w:rPr>
            </w:pPr>
            <w:r>
              <w:rPr>
                <w:rFonts w:ascii="Arial" w:cs="Arial" w:eastAsia="Arial" w:hAnsi="Arial"/>
                <w:sz w:val="18"/>
                <w:szCs w:val="18"/>
                <w:b w:val="1"/>
                <w:bCs w:val="1"/>
                <w:color w:val="auto"/>
              </w:rPr>
              <w:t>EXHIBIT INDEX</w:t>
            </w:r>
          </w:p>
        </w:tc>
      </w:tr>
      <w:tr>
        <w:trPr>
          <w:trHeight w:val="569"/>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400" w:type="dxa"/>
            <w:vAlign w:val="bottom"/>
          </w:tcPr>
          <w:p>
            <w:pPr>
              <w:spacing w:after="0"/>
              <w:rPr>
                <w:sz w:val="24"/>
                <w:szCs w:val="24"/>
                <w:color w:val="auto"/>
              </w:rPr>
            </w:pPr>
          </w:p>
        </w:tc>
        <w:tc>
          <w:tcPr>
            <w:tcW w:w="7420" w:type="dxa"/>
            <w:vAlign w:val="bottom"/>
          </w:tcPr>
          <w:p>
            <w:pPr>
              <w:ind w:left="336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72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7420" w:type="dxa"/>
            <w:vAlign w:val="bottom"/>
            <w:tcBorders>
              <w:bottom w:val="single" w:sz="8" w:color="808080"/>
            </w:tcBorders>
          </w:tcPr>
          <w:p>
            <w:pPr>
              <w:spacing w:after="0"/>
              <w:rPr>
                <w:sz w:val="4"/>
                <w:szCs w:val="4"/>
                <w:color w:val="auto"/>
              </w:rPr>
            </w:pPr>
          </w:p>
        </w:tc>
      </w:tr>
      <w:tr>
        <w:trPr>
          <w:trHeight w:val="276"/>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2"/>
              </w:rPr>
              <w:t>Amended and Restated Certificate of Incorporation of Cohu, Inc. incorporated herein by reference to</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Exhibit 3.1(a) from the Cohu, Inc. Form 10-Q for the quarterly period ended June 30, 1999.</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4.1(a)</w:t>
            </w: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9"/>
              </w:rPr>
              <w:t>Certificate of Amendment of Amended and Restated Certificate of Incorporation of Cohu, Inc.</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5"/>
              </w:rPr>
              <w:t>incorporated herein by reference from the Cohu, Inc. Form S-8 filed June 30, 2000, Exhibit 4.1(a).</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2"/>
              </w:rPr>
              <w:t>Amended and Restated Bylaws of Cohu, Inc. incorporated herein by reference to Exhibit 3.2 from the</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2"/>
              </w:rPr>
              <w:t>Cohu, Inc. Report on Form 8-K filed with the Securities and Exchange Commission on December 12,</w:t>
            </w:r>
          </w:p>
        </w:tc>
      </w:tr>
      <w:tr>
        <w:trPr>
          <w:trHeight w:val="216"/>
        </w:trPr>
        <w:tc>
          <w:tcPr>
            <w:tcW w:w="720" w:type="dxa"/>
            <w:vAlign w:val="bottom"/>
          </w:tcPr>
          <w:p>
            <w:pPr>
              <w:spacing w:after="0"/>
              <w:rPr>
                <w:sz w:val="18"/>
                <w:szCs w:val="18"/>
                <w:color w:val="auto"/>
              </w:rPr>
            </w:pPr>
          </w:p>
        </w:tc>
        <w:tc>
          <w:tcPr>
            <w:tcW w:w="7820" w:type="dxa"/>
            <w:vAlign w:val="bottom"/>
            <w:gridSpan w:val="2"/>
          </w:tcPr>
          <w:p>
            <w:pPr>
              <w:ind w:left="400"/>
              <w:spacing w:after="0"/>
              <w:rPr>
                <w:sz w:val="20"/>
                <w:szCs w:val="20"/>
                <w:color w:val="auto"/>
              </w:rPr>
            </w:pPr>
            <w:r>
              <w:rPr>
                <w:rFonts w:ascii="Arial" w:cs="Arial" w:eastAsia="Arial" w:hAnsi="Arial"/>
                <w:sz w:val="18"/>
                <w:szCs w:val="18"/>
                <w:color w:val="auto"/>
              </w:rPr>
              <w:t>1996.</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6"/>
              </w:rPr>
              <w:t>Rights Agreement dated November 15, 1996, between Cohu, Inc. and ChaseMellon Shareholder</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3"/>
              </w:rPr>
              <w:t>Services, L.L.C., as rights agent, incorporated herein by reference to Exhibit 4.1 from the Cohu, Inc.</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Form 8-K filed with the Securities and Exchange Commission on December 12, 1996.</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2"/>
              </w:rPr>
              <w:t>Cohu, Inc. 1998 Stock Option Plan (as amended) incorporated herein by reference from Appendix D</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 the Cohu, Inc. Proxy Statement for the 2004 Annual Meeting of Stockholders filed with the</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Securities and Exchange Commission on March 31, 2004.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Opinion re legality</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Consent of Counsel (included in Exhibit 5.1)</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Consent of Ernst &amp; Young LLP</w:t>
            </w:r>
          </w:p>
        </w:tc>
      </w:tr>
    </w:tbl>
    <w:p>
      <w:pPr>
        <w:ind w:left="5660" w:right="2179" w:hanging="4220"/>
        <w:spacing w:after="0" w:line="464" w:lineRule="auto"/>
        <w:tabs>
          <w:tab w:leader="none" w:pos="2552"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of Attorney (included in signature page to this registration statement) 6</w:t>
      </w:r>
    </w:p>
    <w:p>
      <w:pPr>
        <w:sectPr>
          <w:pgSz w:w="11900" w:h="16838" w:orient="portrait"/>
          <w:cols w:equalWidth="0" w:num="1">
            <w:col w:w="10219"/>
          </w:cols>
          <w:pgMar w:left="240" w:top="419"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[GRAY CARY LOGO]</w:t>
      </w:r>
    </w:p>
    <w:p>
      <w:pPr>
        <w:jc w:val="right"/>
        <w:ind w:right="1779"/>
        <w:spacing w:after="0" w:line="238" w:lineRule="auto"/>
        <w:rPr>
          <w:sz w:val="20"/>
          <w:szCs w:val="20"/>
          <w:color w:val="auto"/>
        </w:rPr>
      </w:pPr>
      <w:r>
        <w:rPr>
          <w:rFonts w:ascii="Courier New" w:cs="Courier New" w:eastAsia="Courier New" w:hAnsi="Courier New"/>
          <w:sz w:val="18"/>
          <w:szCs w:val="18"/>
          <w:color w:val="auto"/>
        </w:rPr>
        <w:t>4365 Executive Drive, Suite 1600</w:t>
      </w:r>
    </w:p>
    <w:p>
      <w:pPr>
        <w:jc w:val="right"/>
        <w:ind w:right="1779"/>
        <w:spacing w:after="0"/>
        <w:rPr>
          <w:sz w:val="20"/>
          <w:szCs w:val="20"/>
          <w:color w:val="auto"/>
        </w:rPr>
      </w:pPr>
      <w:r>
        <w:rPr>
          <w:rFonts w:ascii="Courier New" w:cs="Courier New" w:eastAsia="Courier New" w:hAnsi="Courier New"/>
          <w:sz w:val="18"/>
          <w:szCs w:val="18"/>
          <w:color w:val="auto"/>
        </w:rPr>
        <w:t>San Diego, CA 92121-2189</w:t>
      </w:r>
    </w:p>
    <w:p>
      <w:pPr>
        <w:jc w:val="right"/>
        <w:ind w:right="1779"/>
        <w:spacing w:after="0" w:line="237" w:lineRule="auto"/>
        <w:rPr>
          <w:sz w:val="20"/>
          <w:szCs w:val="20"/>
          <w:color w:val="auto"/>
        </w:rPr>
      </w:pPr>
      <w:r>
        <w:rPr>
          <w:rFonts w:ascii="Courier New" w:cs="Courier New" w:eastAsia="Courier New" w:hAnsi="Courier New"/>
          <w:sz w:val="18"/>
          <w:szCs w:val="18"/>
          <w:color w:val="auto"/>
        </w:rPr>
        <w:t>www.graycary.com</w:t>
      </w:r>
    </w:p>
    <w:p>
      <w:pPr>
        <w:jc w:val="right"/>
        <w:ind w:right="1779"/>
        <w:spacing w:after="0" w:line="238" w:lineRule="auto"/>
        <w:rPr>
          <w:sz w:val="20"/>
          <w:szCs w:val="20"/>
          <w:color w:val="auto"/>
        </w:rPr>
      </w:pPr>
      <w:r>
        <w:rPr>
          <w:rFonts w:ascii="Courier New" w:cs="Courier New" w:eastAsia="Courier New" w:hAnsi="Courier New"/>
          <w:sz w:val="18"/>
          <w:szCs w:val="18"/>
          <w:color w:val="auto"/>
        </w:rPr>
        <w:t>O] 858-677-1418</w:t>
      </w:r>
    </w:p>
    <w:p>
      <w:pPr>
        <w:jc w:val="right"/>
        <w:ind w:right="1779"/>
        <w:spacing w:after="0"/>
        <w:rPr>
          <w:sz w:val="20"/>
          <w:szCs w:val="20"/>
          <w:color w:val="auto"/>
        </w:rPr>
      </w:pPr>
      <w:r>
        <w:rPr>
          <w:rFonts w:ascii="Courier New" w:cs="Courier New" w:eastAsia="Courier New" w:hAnsi="Courier New"/>
          <w:sz w:val="18"/>
          <w:szCs w:val="18"/>
          <w:color w:val="auto"/>
        </w:rPr>
        <w:t>F] 858-677-1477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20, 2004</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OUR FILE NO. 8203-92001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Ladies and Gentlemen: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legal counsel for Cohu, Inc., a Delaware corporation (the "Company"), we are rendering this opinion in connection with the preparation and filing of a registration on Form S-8 (the "Registration Statement") under the Securities Act of 1933, as amended, of a total of up to an additional 1,000,000 shares of the Common Stock, $1.00 par value, of the Company which may be issued pursuant to the Cohu, Inc. 1998 Stock Option Plan (the "Plan").</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have examined all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 We express no opinion concerning any law other than the corporation laws of the State of Delaware. As to matters of Delaware corporation law, we have based our opinion solely upon our examination of such laws and the rules and regulations of the authorities administering such laws, all as reported in standard, unofficial compilations.</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Based on such examination, we are of the opinion that the additional 1,000,000 shares of Common Stock which may be issued under the Plan are duly authorized shares and, when issued against receipt of the consideration therefor in accordance with the provisions of the Plan, will be validly issued, fully paid and nonassessable. We hereby consent to the filing of this opinion as an exhibit to the Registration Statement referred to above and the use of our name wherever it appears in said Registration Statement.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Respectfully submitted,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Gray Cary Ware &amp; Freidenrich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GRAY CARY WARE &amp; FREIDENRICH LLP</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80" w:firstLine="105"/>
        <w:spacing w:after="0" w:line="290" w:lineRule="auto"/>
        <w:rPr>
          <w:sz w:val="20"/>
          <w:szCs w:val="20"/>
          <w:color w:val="auto"/>
        </w:rPr>
      </w:pPr>
      <w:r>
        <w:rPr>
          <w:rFonts w:ascii="Courier New" w:cs="Courier New" w:eastAsia="Courier New" w:hAnsi="Courier New"/>
          <w:sz w:val="16"/>
          <w:szCs w:val="16"/>
          <w:color w:val="auto"/>
        </w:rPr>
        <w:t>SILICON VALLEY SAN FRANCISCO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039" w:firstLine="211"/>
        <w:spacing w:after="0" w:line="235" w:lineRule="auto"/>
        <w:rPr>
          <w:sz w:val="20"/>
          <w:szCs w:val="20"/>
          <w:color w:val="auto"/>
        </w:rPr>
      </w:pPr>
      <w:r>
        <w:rPr>
          <w:rFonts w:ascii="Courier New" w:cs="Courier New" w:eastAsia="Courier New" w:hAnsi="Courier New"/>
          <w:sz w:val="18"/>
          <w:szCs w:val="18"/>
          <w:color w:val="auto"/>
        </w:rPr>
        <w:t>SAN DIEGO SAN DIEGO/GOLDEN TRIANGLE AUSTIN SEATTLE SACRAMENTO LA JOLLA</w:t>
      </w:r>
    </w:p>
    <w:p>
      <w:pPr>
        <w:sectPr>
          <w:pgSz w:w="11900" w:h="16838" w:orient="portrait"/>
          <w:cols w:equalWidth="0" w:num="2">
            <w:col w:w="2860" w:space="100"/>
            <w:col w:w="7259"/>
          </w:cols>
          <w:pgMar w:left="240" w:top="339" w:right="1440" w:bottom="1440" w:gutter="0" w:footer="0" w:header="0"/>
          <w:type w:val="continuous"/>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Cohu, Inc. 1998 Stock Option Plan of our report dated January 26, 2004, except for Note 14 as to which the date is February 23, 2004, with respect to the consolidated financial statements and schedule of Cohu, Inc. included in its Annual Report (Form 10-K) for the year ended December 31, 2003, filed with the Securities and Exchange Commission.</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California</w:t>
      </w:r>
    </w:p>
    <w:p>
      <w:pPr>
        <w:spacing w:after="0" w:line="238" w:lineRule="auto"/>
        <w:rPr>
          <w:sz w:val="20"/>
          <w:szCs w:val="20"/>
          <w:color w:val="auto"/>
        </w:rPr>
      </w:pPr>
      <w:r>
        <w:rPr>
          <w:rFonts w:ascii="Courier New" w:cs="Courier New" w:eastAsia="Courier New" w:hAnsi="Courier New"/>
          <w:sz w:val="18"/>
          <w:szCs w:val="18"/>
          <w:color w:val="auto"/>
        </w:rPr>
        <w:t>July 16, 2004</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1"/>
    </w:lvl>
    <w:lvl w:ilvl="1">
      <w:lvlJc w:val="left"/>
      <w:lvlText w:val="(%2)"/>
      <w:numFmt w:val="lowerLetter"/>
      <w:start w:val="1"/>
    </w:lvl>
  </w:abstractNum>
  <w:abstractNum w:abstractNumId="2">
    <w:nsid w:val="507ED7AB"/>
    <w:multiLevelType w:val="hybridMultilevel"/>
    <w:lvl w:ilvl="0">
      <w:lvlJc w:val="left"/>
      <w:lvlText w:val="(%1)"/>
      <w:numFmt w:val="lowerLetter"/>
      <w:start w:val="1"/>
    </w:lvl>
    <w:lvl w:ilvl="1">
      <w:lvlJc w:val="left"/>
      <w:lvlText w:val="(%2)"/>
      <w:numFmt w:val="lowerLetter"/>
      <w:start w:val="3"/>
    </w:lvl>
  </w:abstractNum>
  <w:abstractNum w:abstractNumId="3">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decimal"/>
      <w:start w:val="24"/>
    </w:lvl>
  </w:abstractNum>
  <w:abstractNum w:abstractNumId="4">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decimal"/>
      <w:start w:val="1"/>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1"/>
      <w:numFmt w:val="lowerLetter"/>
      <w:start w:val="1"/>
    </w:lvl>
    <w:lvl w:ilvl="1">
      <w:lvlJc w:val="left"/>
      <w:lvlText w:val="(%2)"/>
      <w:numFmt w:val="decimal"/>
      <w:start w:val="2"/>
    </w:lvl>
  </w:abstractNum>
  <w:abstractNum w:abstractNumId="7">
    <w:nsid w:val="515F007C"/>
    <w:multiLevelType w:val="hybridMultilevel"/>
    <w:lvl w:ilvl="0">
      <w:lvlJc w:val="left"/>
      <w:lvlText w:val="(%1)"/>
      <w:numFmt w:val="lowerLetter"/>
      <w:start w:val="2"/>
    </w:lvl>
    <w:lvl w:ilvl="1">
      <w:lvlJc w:val="left"/>
      <w:lvlText w:val="%2"/>
      <w:numFmt w:val="decimal"/>
      <w:start w:val="1"/>
    </w:lvl>
  </w:abstractNum>
  <w:abstractNum w:abstractNumId="8">
    <w:nsid w:val="5BD062C2"/>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2019-12-12T22:50:57Z</dcterms:created>
  <dcterms:modified xsi:type="dcterms:W3CDTF">2019-12-12T22:50:57Z</dcterms:modified>
</cp:coreProperties>
</file>