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70" w:lineRule="exact"/>
        <w:rPr>
          <w:sz w:val="20"/>
          <w:szCs w:val="20"/>
          <w:color w:val="auto"/>
        </w:rPr>
      </w:pPr>
    </w:p>
    <w:p>
      <w:pPr>
        <w:ind w:left="920" w:right="340" w:hanging="912"/>
        <w:spacing w:after="0" w:line="256" w:lineRule="auto"/>
        <w:tabs>
          <w:tab w:leader="none" w:pos="9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55" w:lineRule="exact"/>
        <w:rPr>
          <w:sz w:val="20"/>
          <w:szCs w:val="20"/>
          <w:color w:val="auto"/>
        </w:rPr>
      </w:pPr>
    </w:p>
    <w:p>
      <w:pPr>
        <w:ind w:left="920" w:right="320" w:hanging="912"/>
        <w:spacing w:after="0" w:line="256" w:lineRule="auto"/>
        <w:tabs>
          <w:tab w:leader="none" w:pos="18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1-4298</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46"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95-1934119</w:t>
      </w:r>
    </w:p>
    <w:p>
      <w:pPr>
        <w:spacing w:after="0" w:line="21" w:lineRule="exact"/>
        <w:rPr>
          <w:sz w:val="20"/>
          <w:szCs w:val="20"/>
          <w:color w:val="auto"/>
        </w:rPr>
      </w:pPr>
    </w:p>
    <w:p>
      <w:pPr>
        <w:jc w:val="center"/>
        <w:ind w:right="1400"/>
        <w:spacing w:after="0"/>
        <w:rPr>
          <w:sz w:val="20"/>
          <w:szCs w:val="20"/>
          <w:color w:val="auto"/>
        </w:rPr>
      </w:pPr>
      <w:r>
        <w:rPr>
          <w:rFonts w:ascii="Arial" w:cs="Arial" w:eastAsia="Arial" w:hAnsi="Arial"/>
          <w:sz w:val="16"/>
          <w:szCs w:val="16"/>
          <w:i w:val="1"/>
          <w:iCs w:val="1"/>
          <w:color w:val="auto"/>
        </w:rPr>
        <w:t>(I.R.S. Employer Identification No.)</w:t>
      </w:r>
    </w:p>
    <w:p>
      <w:pPr>
        <w:spacing w:after="0" w:line="416" w:lineRule="exact"/>
        <w:rPr>
          <w:sz w:val="20"/>
          <w:szCs w:val="20"/>
          <w:color w:val="auto"/>
        </w:rPr>
      </w:pPr>
    </w:p>
    <w:p>
      <w:pPr>
        <w:sectPr>
          <w:pgSz w:w="11900" w:h="16838" w:orient="portrait"/>
          <w:cols w:equalWidth="0" w:num="2">
            <w:col w:w="6760" w:space="720"/>
            <w:col w:w="3920"/>
          </w:cols>
          <w:pgMar w:left="240" w:top="122" w:right="259" w:bottom="1440" w:gutter="0" w:footer="0" w:header="0"/>
          <w:type w:val="continuous"/>
        </w:sectPr>
      </w:pPr>
    </w:p>
    <w:p>
      <w:pPr>
        <w:spacing w:after="0" w:line="63" w:lineRule="exact"/>
        <w:rPr>
          <w:sz w:val="20"/>
          <w:szCs w:val="20"/>
          <w:color w:val="auto"/>
        </w:rPr>
      </w:pPr>
    </w:p>
    <w:p>
      <w:pPr>
        <w:jc w:val="center"/>
        <w:ind w:right="1980"/>
        <w:spacing w:after="0"/>
        <w:rPr>
          <w:sz w:val="20"/>
          <w:szCs w:val="20"/>
          <w:color w:val="auto"/>
        </w:rPr>
      </w:pPr>
      <w:r>
        <w:rPr>
          <w:rFonts w:ascii="Arial" w:cs="Arial" w:eastAsia="Arial" w:hAnsi="Arial"/>
          <w:sz w:val="16"/>
          <w:szCs w:val="16"/>
          <w:b w:val="1"/>
          <w:bCs w:val="1"/>
          <w:color w:val="auto"/>
        </w:rPr>
        <w:t>12367 Crosthwaite Circle, Poway, California</w:t>
      </w:r>
    </w:p>
    <w:p>
      <w:pPr>
        <w:spacing w:after="0" w:line="44" w:lineRule="exact"/>
        <w:rPr>
          <w:sz w:val="20"/>
          <w:szCs w:val="20"/>
          <w:color w:val="auto"/>
        </w:rPr>
      </w:pPr>
    </w:p>
    <w:p>
      <w:pPr>
        <w:jc w:val="center"/>
        <w:ind w:right="1980"/>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92064-6817</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(Zip Code)</w:t>
      </w:r>
    </w:p>
    <w:p>
      <w:pPr>
        <w:spacing w:after="0" w:line="222" w:lineRule="exact"/>
        <w:rPr>
          <w:sz w:val="20"/>
          <w:szCs w:val="20"/>
          <w:color w:val="auto"/>
        </w:rPr>
      </w:pPr>
    </w:p>
    <w:p>
      <w:pPr>
        <w:sectPr>
          <w:pgSz w:w="11900" w:h="16838" w:orient="portrait"/>
          <w:cols w:equalWidth="0" w:num="2">
            <w:col w:w="7700" w:space="720"/>
            <w:col w:w="2980"/>
          </w:cols>
          <w:pgMar w:left="240" w:top="122" w:right="259" w:bottom="1440" w:gutter="0" w:footer="0" w:header="0"/>
          <w:type w:val="continuous"/>
        </w:sectPr>
      </w:pP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Yes [X] No[ ]</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Yes [X] No[ ]</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September 30, 2003 the Registrant had 21,282,767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w:t>
        </w:r>
      </w:hyperlink>
    </w:p>
    <w:p>
      <w:pPr>
        <w:spacing w:after="0" w:line="8" w:lineRule="exact"/>
        <w:rPr>
          <w:sz w:val="20"/>
          <w:szCs w:val="20"/>
          <w:color w:val="auto"/>
        </w:rPr>
      </w:pPr>
    </w:p>
    <w:p>
      <w:pPr>
        <w:ind w:left="620" w:right="2840"/>
        <w:spacing w:after="0" w:line="267"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CONDENSED CONSOLIDATED STATEMENTS OF OPERATIONS</w:t>
        </w:r>
      </w:hyperlink>
      <w:r>
        <w:rPr>
          <w:rFonts w:ascii="Arial" w:cs="Arial" w:eastAsia="Arial" w:hAnsi="Arial"/>
          <w:sz w:val="19"/>
          <w:szCs w:val="19"/>
          <w:u w:val="single" w:color="auto"/>
          <w:color w:val="0000EE"/>
        </w:rPr>
        <w:t xml:space="preserve"> </w:t>
      </w:r>
      <w:hyperlink w:anchor="page8">
        <w:r>
          <w:rPr>
            <w:rFonts w:ascii="Arial" w:cs="Arial" w:eastAsia="Arial" w:hAnsi="Arial"/>
            <w:sz w:val="19"/>
            <w:szCs w:val="19"/>
            <w:u w:val="single" w:color="auto"/>
            <w:color w:val="0000EE"/>
          </w:rPr>
          <w:t>CONDENSED CONSOLIDATED STATEMENTS OF CASH FLOWS</w:t>
        </w:r>
      </w:hyperlink>
    </w:p>
    <w:p>
      <w:pPr>
        <w:ind w:left="320" w:right="960" w:firstLine="311"/>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UNAUDITED CONDENSED CONSOLIDATED FINANCIAL STATEMENTS</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Item 2</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MANAGEMENT’S DISCUSSION AND ANALYSIS OF FINANCIAL CONDITION AND RESULTS OF</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OPERATIONS</w:t>
        </w:r>
      </w:hyperlink>
    </w:p>
    <w:p>
      <w:pPr>
        <w:spacing w:after="0" w:line="1" w:lineRule="exact"/>
        <w:rPr>
          <w:sz w:val="20"/>
          <w:szCs w:val="20"/>
          <w:color w:val="auto"/>
        </w:rPr>
      </w:pPr>
    </w:p>
    <w:p>
      <w:pPr>
        <w:ind w:left="320" w:right="368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Item 4. Controls and procedures</w:t>
        </w:r>
      </w:hyperlink>
    </w:p>
    <w:p>
      <w:pPr>
        <w:spacing w:after="0" w:line="1" w:lineRule="exact"/>
        <w:rPr>
          <w:sz w:val="20"/>
          <w:szCs w:val="20"/>
          <w:color w:val="auto"/>
        </w:rPr>
      </w:pPr>
    </w:p>
    <w:p>
      <w:pPr>
        <w:jc w:val="center"/>
        <w:ind w:right="6780"/>
        <w:spacing w:after="0"/>
        <w:rPr>
          <w:rFonts w:ascii="Arial" w:cs="Arial" w:eastAsia="Arial" w:hAnsi="Arial"/>
          <w:sz w:val="19"/>
          <w:szCs w:val="19"/>
          <w:u w:val="single" w:color="auto"/>
          <w:color w:val="0000EE"/>
        </w:rPr>
      </w:pPr>
      <w:hyperlink w:anchor="page28">
        <w:r>
          <w:rPr>
            <w:rFonts w:ascii="Arial" w:cs="Arial" w:eastAsia="Arial" w:hAnsi="Arial"/>
            <w:sz w:val="19"/>
            <w:szCs w:val="19"/>
            <w:u w:val="single" w:color="auto"/>
            <w:color w:val="0000EE"/>
          </w:rPr>
          <w:t>Part II OTHER INFORMATION</w:t>
        </w:r>
      </w:hyperlink>
    </w:p>
    <w:p>
      <w:pPr>
        <w:spacing w:after="0" w:line="15" w:lineRule="exact"/>
        <w:rPr>
          <w:sz w:val="20"/>
          <w:szCs w:val="20"/>
          <w:color w:val="auto"/>
        </w:rPr>
      </w:pPr>
    </w:p>
    <w:p>
      <w:pPr>
        <w:jc w:val="center"/>
        <w:ind w:right="6740"/>
        <w:spacing w:after="0"/>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1" w:lineRule="auto"/>
        <w:rPr>
          <w:sz w:val="20"/>
          <w:szCs w:val="20"/>
          <w:color w:val="auto"/>
        </w:rPr>
      </w:pPr>
      <w:r>
        <w:rPr>
          <w:rFonts w:ascii="Arial" w:cs="Arial" w:eastAsia="Arial" w:hAnsi="Arial"/>
          <w:sz w:val="22"/>
          <w:szCs w:val="22"/>
          <w:u w:val="single" w:color="auto"/>
          <w:color w:val="0000EE"/>
        </w:rPr>
        <w:t>EXHIBIT 31.2</w:t>
      </w:r>
    </w:p>
    <w:p>
      <w:pPr>
        <w:spacing w:after="0" w:line="230" w:lineRule="auto"/>
        <w:rPr>
          <w:sz w:val="20"/>
          <w:szCs w:val="20"/>
          <w:color w:val="auto"/>
        </w:rPr>
      </w:pPr>
      <w:r>
        <w:rPr>
          <w:rFonts w:ascii="Arial" w:cs="Arial" w:eastAsia="Arial" w:hAnsi="Arial"/>
          <w:sz w:val="22"/>
          <w:szCs w:val="22"/>
          <w:u w:val="single" w:color="auto"/>
          <w:color w:val="0000EE"/>
        </w:rPr>
        <w:t>EXHIBIT 32.1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40"/>
          </w:cols>
          <w:pgMar w:left="820" w:top="111" w:right="1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Page Number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5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9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9580" w:type="dxa"/>
            <w:vAlign w:val="bottom"/>
            <w:shd w:val="clear" w:color="auto" w:fill="EEEEEE"/>
          </w:tcPr>
          <w:p>
            <w:pPr>
              <w:ind w:left="34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tcPr>
          <w:p>
            <w:pPr>
              <w:ind w:left="34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5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Condensed Consolidated Balance Sheets (unaudited) September 30, 2003 and December 31, 2002</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tcPr>
          <w:p>
            <w:pPr>
              <w:ind w:left="540"/>
              <w:spacing w:after="0"/>
              <w:rPr>
                <w:sz w:val="20"/>
                <w:szCs w:val="20"/>
                <w:color w:val="auto"/>
              </w:rPr>
            </w:pPr>
            <w:r>
              <w:rPr>
                <w:rFonts w:ascii="Arial" w:cs="Arial" w:eastAsia="Arial" w:hAnsi="Arial"/>
                <w:sz w:val="18"/>
                <w:szCs w:val="18"/>
                <w:color w:val="auto"/>
                <w:w w:val="93"/>
              </w:rPr>
              <w:t>Condensed Consolidated Statements of Operations (unaudited) Three and Nine Months Ended September 30, 2003 and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580" w:type="dxa"/>
            <w:vAlign w:val="bottom"/>
          </w:tcPr>
          <w:p>
            <w:pPr>
              <w:ind w:left="540"/>
              <w:spacing w:after="0"/>
              <w:rPr>
                <w:sz w:val="20"/>
                <w:szCs w:val="20"/>
                <w:color w:val="auto"/>
              </w:rPr>
            </w:pPr>
            <w:r>
              <w:rPr>
                <w:rFonts w:ascii="Arial" w:cs="Arial" w:eastAsia="Arial" w:hAnsi="Arial"/>
                <w:sz w:val="18"/>
                <w:szCs w:val="18"/>
                <w:color w:val="auto"/>
              </w:rPr>
              <w:t>2002</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580" w:type="dxa"/>
            <w:vAlign w:val="bottom"/>
            <w:shd w:val="clear" w:color="auto" w:fill="EEEEEE"/>
          </w:tcPr>
          <w:p>
            <w:pPr>
              <w:ind w:left="540"/>
              <w:spacing w:after="0"/>
              <w:rPr>
                <w:sz w:val="20"/>
                <w:szCs w:val="20"/>
                <w:color w:val="auto"/>
              </w:rPr>
            </w:pPr>
            <w:r>
              <w:rPr>
                <w:rFonts w:ascii="Arial" w:cs="Arial" w:eastAsia="Arial" w:hAnsi="Arial"/>
                <w:sz w:val="18"/>
                <w:szCs w:val="18"/>
                <w:color w:val="auto"/>
                <w:w w:val="97"/>
              </w:rPr>
              <w:t>Condensed Consolidated Statements of Cash Flows (unaudited) Nine Months Ended September 30, 2003 and 2002</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80" w:type="dxa"/>
            <w:vAlign w:val="bottom"/>
          </w:tcPr>
          <w:p>
            <w:pPr>
              <w:ind w:left="540"/>
              <w:spacing w:after="0"/>
              <w:rPr>
                <w:sz w:val="20"/>
                <w:szCs w:val="20"/>
                <w:color w:val="auto"/>
              </w:rPr>
            </w:pPr>
            <w:r>
              <w:rPr>
                <w:rFonts w:ascii="Arial" w:cs="Arial" w:eastAsia="Arial" w:hAnsi="Arial"/>
                <w:sz w:val="18"/>
                <w:szCs w:val="18"/>
                <w:color w:val="auto"/>
              </w:rPr>
              <w:t>Notes to Unaudited Condensed Consolidated Financial Statements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5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580" w:type="dxa"/>
            <w:vAlign w:val="bottom"/>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5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Controls and Procedures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tcPr>
          <w:p>
            <w:pPr>
              <w:ind w:left="34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5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Legal Proceedings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tcPr>
          <w:p>
            <w:pPr>
              <w:ind w:left="340"/>
              <w:spacing w:after="0"/>
              <w:rPr>
                <w:sz w:val="20"/>
                <w:szCs w:val="20"/>
                <w:color w:val="auto"/>
              </w:rPr>
            </w:pPr>
            <w:r>
              <w:rPr>
                <w:rFonts w:ascii="Arial" w:cs="Arial" w:eastAsia="Arial" w:hAnsi="Arial"/>
                <w:sz w:val="18"/>
                <w:szCs w:val="18"/>
                <w:color w:val="auto"/>
              </w:rPr>
              <w:t>Exhibits and Reports on Form 8-K</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95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par value)</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September 30, 2003</w:t>
            </w:r>
          </w:p>
        </w:tc>
        <w:tc>
          <w:tcPr>
            <w:tcW w:w="240" w:type="dxa"/>
            <w:vAlign w:val="bottom"/>
          </w:tcPr>
          <w:p>
            <w:pPr>
              <w:spacing w:after="0"/>
              <w:rPr>
                <w:sz w:val="15"/>
                <w:szCs w:val="15"/>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6,098</w:t>
            </w:r>
          </w:p>
        </w:tc>
        <w:tc>
          <w:tcPr>
            <w:tcW w:w="5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32,696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101,491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74,488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4"/>
              </w:rPr>
              <w:t>Accounts receivable, less allowance for doubtful accounts of $1,286 in 2003 and</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$1,264 in 2002</w:t>
            </w:r>
          </w:p>
        </w:tc>
        <w:tc>
          <w:tcPr>
            <w:tcW w:w="4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25,399</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18,267</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Raw materials and purchased parts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13,534</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13,414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60"/>
              <w:spacing w:after="0"/>
              <w:rPr>
                <w:sz w:val="20"/>
                <w:szCs w:val="20"/>
                <w:color w:val="auto"/>
              </w:rPr>
            </w:pPr>
            <w:r>
              <w:rPr>
                <w:rFonts w:ascii="Arial" w:cs="Arial" w:eastAsia="Arial" w:hAnsi="Arial"/>
                <w:sz w:val="18"/>
                <w:szCs w:val="18"/>
                <w:color w:val="auto"/>
              </w:rPr>
              <w:t>Work in process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6,018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Finished goods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8,027</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4,885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29,840</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24,317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10,956</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10,956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178,877</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166,298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Note receivable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Buildings and building improvements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25,002</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24,906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23,936</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24,316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56,916</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58,164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(25,872)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(24,394)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Net property, plant and equipment</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31,044</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33,770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w w:val="94"/>
              </w:rPr>
              <w:t>Other intangible assets, net of accumulated amortization of $504 in 2003 and $92 in</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2002</w:t>
            </w:r>
          </w:p>
        </w:tc>
        <w:tc>
          <w:tcPr>
            <w:tcW w:w="4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1,146</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1,558</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228,536</w:t>
            </w:r>
          </w:p>
        </w:tc>
        <w:tc>
          <w:tcPr>
            <w:tcW w:w="5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221,803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3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7,284</w:t>
            </w:r>
          </w:p>
        </w:tc>
        <w:tc>
          <w:tcPr>
            <w:tcW w:w="5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6,387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6,902</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4,667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Customer advances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726</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3,218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accrued liabilities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3,409</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3,378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28,956</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25,759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Accrued retiree medical benefits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1,224</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1,139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w w:val="92"/>
              </w:rPr>
              <w:t>Common stock, $1 par value; 60,000 shares authorized, 21,283 shares issued and</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outstanding in 2003 and 20,864 shares in 2002</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20,864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Paid in capital</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20,255</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15,922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151,927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152,978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0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193,545</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190,094</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228,536</w:t>
            </w:r>
          </w:p>
        </w:tc>
        <w:tc>
          <w:tcPr>
            <w:tcW w:w="5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221,803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560"/>
          </w:cols>
          <w:pgMar w:left="240" w:top="419" w:right="1099" w:bottom="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560"/>
          </w:cols>
          <w:pgMar w:left="240" w:top="419" w:right="1099" w:bottom="0" w:gutter="0" w:footer="0" w:header="0"/>
          <w:type w:val="continuous"/>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5"/>
          </w:tcPr>
          <w:p>
            <w:pPr>
              <w:jc w:val="right"/>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5"/>
          </w:tcPr>
          <w:p>
            <w:pPr>
              <w:jc w:val="right"/>
              <w:ind w:right="9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34,512</w:t>
            </w:r>
          </w:p>
        </w:tc>
        <w:tc>
          <w:tcPr>
            <w:tcW w:w="3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36,811</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97,675</w:t>
            </w:r>
          </w:p>
        </w:tc>
        <w:tc>
          <w:tcPr>
            <w:tcW w:w="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106,706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and expenses: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23,986</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24,463</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65,791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66,930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5,577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24,094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6,347</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6,015</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18,290</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18,530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35,910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38,614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102,152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109,554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w w:val="91"/>
              </w:rPr>
              <w:t>(1,398)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(1,803)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(4,477)</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from sale of land</w:t>
            </w:r>
          </w:p>
        </w:tc>
        <w:tc>
          <w:tcPr>
            <w:tcW w:w="24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Investment impairment writedown</w:t>
            </w: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(1,155)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(615)</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(555)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2,121</w:t>
            </w:r>
          </w:p>
        </w:tc>
        <w:tc>
          <w:tcPr>
            <w:tcW w:w="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05"/>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5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(.03)</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60" w:type="dxa"/>
            <w:vAlign w:val="bottom"/>
            <w:gridSpan w:val="2"/>
          </w:tcPr>
          <w:p>
            <w:pPr>
              <w:spacing w:after="0"/>
              <w:rPr>
                <w:sz w:val="9"/>
                <w:szCs w:val="9"/>
                <w:color w:val="auto"/>
              </w:rPr>
            </w:pPr>
          </w:p>
        </w:tc>
        <w:tc>
          <w:tcPr>
            <w:tcW w:w="80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3"/>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(.03)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in computing income</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 per share:</w:t>
            </w: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21,255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20,795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20,722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21,255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20,795</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21,619</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20,722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5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0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3"/>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50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c>
          <w:tcPr>
            <w:tcW w:w="5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2,121</w:t>
            </w:r>
          </w:p>
        </w:tc>
        <w:tc>
          <w:tcPr>
            <w:tcW w:w="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5"/>
              </w:rPr>
              <w:t>Adjustments to reconcile net income (loss) to net cash provided from operating</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EEEEEE"/>
          </w:tcPr>
          <w:p>
            <w:pPr>
              <w:ind w:left="620"/>
              <w:spacing w:after="0"/>
              <w:rPr>
                <w:sz w:val="20"/>
                <w:szCs w:val="20"/>
                <w:color w:val="auto"/>
              </w:rPr>
            </w:pPr>
            <w:r>
              <w:rPr>
                <w:rFonts w:ascii="Arial" w:cs="Arial" w:eastAsia="Arial" w:hAnsi="Arial"/>
                <w:sz w:val="18"/>
                <w:szCs w:val="18"/>
                <w:color w:val="auto"/>
              </w:rPr>
              <w:t>activities:</w:t>
            </w:r>
          </w:p>
        </w:tc>
        <w:tc>
          <w:tcPr>
            <w:tcW w:w="440" w:type="dxa"/>
            <w:vAlign w:val="bottom"/>
            <w:shd w:val="clear" w:color="auto" w:fill="EEEEEE"/>
          </w:tcPr>
          <w:p>
            <w:pPr>
              <w:spacing w:after="0"/>
              <w:rPr>
                <w:sz w:val="19"/>
                <w:szCs w:val="19"/>
                <w:color w:val="auto"/>
              </w:rPr>
            </w:pPr>
          </w:p>
        </w:tc>
        <w:tc>
          <w:tcPr>
            <w:tcW w:w="640" w:type="dxa"/>
            <w:vAlign w:val="bottom"/>
            <w:tcBorders>
              <w:right w:val="single" w:sz="8" w:color="EEEEEE"/>
            </w:tcBorders>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Gain from sale of land</w:t>
            </w:r>
          </w:p>
        </w:tc>
        <w:tc>
          <w:tcPr>
            <w:tcW w:w="4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(7,873)</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40"/>
              <w:spacing w:after="0"/>
              <w:rPr>
                <w:sz w:val="20"/>
                <w:szCs w:val="20"/>
                <w:color w:val="auto"/>
              </w:rPr>
            </w:pPr>
            <w:r>
              <w:rPr>
                <w:rFonts w:ascii="Arial" w:cs="Arial" w:eastAsia="Arial" w:hAnsi="Arial"/>
                <w:sz w:val="18"/>
                <w:szCs w:val="18"/>
                <w:color w:val="auto"/>
              </w:rPr>
              <w:t>Loss on equipment disposals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Investment impairment writedown</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740"/>
              <w:spacing w:after="0"/>
              <w:rPr>
                <w:sz w:val="20"/>
                <w:szCs w:val="20"/>
                <w:color w:val="auto"/>
              </w:rPr>
            </w:pPr>
            <w:r>
              <w:rPr>
                <w:rFonts w:ascii="Arial" w:cs="Arial" w:eastAsia="Arial" w:hAnsi="Arial"/>
                <w:sz w:val="18"/>
                <w:szCs w:val="18"/>
                <w:color w:val="auto"/>
              </w:rPr>
              <w:t>Increase (decrease) in accrued retiree medical benefits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Changes in current assets and liabilities: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00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(7,132)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Note receivable</w:t>
            </w:r>
          </w:p>
        </w:tc>
        <w:tc>
          <w:tcPr>
            <w:tcW w:w="4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00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(5,523)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481</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00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Customer advances</w:t>
            </w:r>
          </w:p>
        </w:tc>
        <w:tc>
          <w:tcPr>
            <w:tcW w:w="4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(2,492)</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000"/>
              <w:spacing w:after="0"/>
              <w:rPr>
                <w:sz w:val="20"/>
                <w:szCs w:val="20"/>
                <w:color w:val="auto"/>
              </w:rPr>
            </w:pPr>
            <w:r>
              <w:rPr>
                <w:rFonts w:ascii="Arial" w:cs="Arial" w:eastAsia="Arial" w:hAnsi="Arial"/>
                <w:sz w:val="18"/>
                <w:szCs w:val="18"/>
                <w:color w:val="auto"/>
              </w:rPr>
              <w:t>Deferred profit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Accrued compensation, warranty and other liabilities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2,313</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00" w:type="dxa"/>
            <w:vAlign w:val="bottom"/>
          </w:tcPr>
          <w:p>
            <w:pPr>
              <w:ind w:left="1000"/>
              <w:spacing w:after="0"/>
              <w:rPr>
                <w:sz w:val="20"/>
                <w:szCs w:val="20"/>
                <w:color w:val="auto"/>
              </w:rPr>
            </w:pPr>
            <w:r>
              <w:rPr>
                <w:rFonts w:ascii="Arial" w:cs="Arial" w:eastAsia="Arial" w:hAnsi="Arial"/>
                <w:sz w:val="18"/>
                <w:szCs w:val="18"/>
                <w:color w:val="auto"/>
              </w:rPr>
              <w:t>Net cash provided from (used for) operating activities</w:t>
            </w:r>
          </w:p>
        </w:tc>
        <w:tc>
          <w:tcPr>
            <w:tcW w:w="4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(8,711)</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22,744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(112,776)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Sales and maturities of short-term investments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85,388</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Net proceeds from sale of land</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8,837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(1,124)</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Payments on note receivable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00" w:type="dxa"/>
            <w:vAlign w:val="bottom"/>
          </w:tcPr>
          <w:p>
            <w:pPr>
              <w:ind w:left="1000"/>
              <w:spacing w:after="0"/>
              <w:rPr>
                <w:sz w:val="20"/>
                <w:szCs w:val="20"/>
                <w:color w:val="auto"/>
              </w:rPr>
            </w:pPr>
            <w:r>
              <w:rPr>
                <w:rFonts w:ascii="Arial" w:cs="Arial" w:eastAsia="Arial" w:hAnsi="Arial"/>
                <w:sz w:val="18"/>
                <w:szCs w:val="18"/>
                <w:color w:val="auto"/>
              </w:rPr>
              <w:t>Net cash used for investing activities</w:t>
            </w:r>
          </w:p>
        </w:tc>
        <w:tc>
          <w:tcPr>
            <w:tcW w:w="4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(19,467)</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(27,871)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Issuance of stock, net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dividends</w:t>
            </w:r>
          </w:p>
        </w:tc>
        <w:tc>
          <w:tcPr>
            <w:tcW w:w="4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(3,172)</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00" w:type="dxa"/>
            <w:vAlign w:val="bottom"/>
          </w:tcPr>
          <w:p>
            <w:pPr>
              <w:ind w:left="1000"/>
              <w:spacing w:after="0"/>
              <w:rPr>
                <w:sz w:val="20"/>
                <w:szCs w:val="20"/>
                <w:color w:val="auto"/>
              </w:rPr>
            </w:pPr>
            <w:r>
              <w:rPr>
                <w:rFonts w:ascii="Arial" w:cs="Arial" w:eastAsia="Arial" w:hAnsi="Arial"/>
                <w:sz w:val="18"/>
                <w:szCs w:val="18"/>
                <w:color w:val="auto"/>
              </w:rPr>
              <w:t>Net cash provided from (used for) financing activities</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(26,598)</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32,696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65,510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6,098</w:t>
            </w:r>
          </w:p>
        </w:tc>
        <w:tc>
          <w:tcPr>
            <w:tcW w:w="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60,102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5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paid (received) during the period for:</w:t>
            </w: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740"/>
              <w:spacing w:after="0"/>
              <w:rPr>
                <w:sz w:val="20"/>
                <w:szCs w:val="20"/>
                <w:color w:val="auto"/>
              </w:rPr>
            </w:pPr>
            <w:r>
              <w:rPr>
                <w:rFonts w:ascii="Arial" w:cs="Arial" w:eastAsia="Arial" w:hAnsi="Arial"/>
                <w:sz w:val="18"/>
                <w:szCs w:val="18"/>
                <w:color w:val="auto"/>
              </w:rPr>
              <w:t>Income taxes, net of refunds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2003</w:t>
      </w:r>
    </w:p>
    <w:p>
      <w:pPr>
        <w:spacing w:after="0" w:line="2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nine months ended September 30, 2003,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2002 and management’s discussion and analysis of financial condition and results of operations included elsewhere herein.</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1"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Cohu’s revenue recognition policy is disclosed in Note 1 of the Notes to Consolidated Financial Statements included in the Company’s Annual Report on Form 10-K for the year ended December 31, 2002.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97"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has an $8.5 million contract to provide microwave communications equipment for a command center and infrastructure system. The contract, which utilizes the Company’s most advanced microwave communications technology that has not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the Company will recognize all revenue and related costs under this contract in the period the system is accepted by the customer. Through September 30, 2003, the Company has deferred approximately $2.2 million of revenue under the contract.</w:t>
      </w:r>
    </w:p>
    <w:p>
      <w:pPr>
        <w:spacing w:after="0" w:line="198"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At September 30, 2003, the Company had deferred revenue totaling approximately $16.5 million and deferred profit of $7.8 million. At December 31, 2002, the Company had deferred revenue totaling approximately $9.8 million and deferred profit of $5.2 million. The increase in deferred revenue and profit is primarily related to the deferral of revenue on certain semiconductor test handler upgrades and new test handlers and microwave communications equipment that have been shipped and installed and are awaiting customer acceptance.</w:t>
      </w:r>
    </w:p>
    <w:p>
      <w:pPr>
        <w:spacing w:after="0" w:line="16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rFonts w:ascii="Arial" w:cs="Arial" w:eastAsia="Arial" w:hAnsi="Arial"/>
          <w:sz w:val="18"/>
          <w:szCs w:val="18"/>
          <w:b w:val="1"/>
          <w:bCs w:val="1"/>
          <w:color w:val="auto"/>
        </w:rPr>
      </w:pPr>
    </w:p>
    <w:p>
      <w:pPr>
        <w:ind w:left="46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Cohu has several stock-based compensation plans that are described more fully in Note 10 to the Consolidated Financial Statements included in the Company’s Annual Report on Form 10-K for the year ended December 31, 2002. Cohu accounts for those plans under the recognition and measurement principles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No stock-based employee compensation cost is reflected in the consolidated statements of operations, as all options granted under those plans had an exercise price equal to the market value of the underlying common stock on the date of grant. The following table illustrates the effect on net income (loss) and net income (loss) per share if Cohu had applied the fair value recognition provisions of Financial Accounting Standards Board (“FASB”) Statement No.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to stock-based employee compensation.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ind w:left="70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as reported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(615)</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(555)</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2,121</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6"/>
              </w:rPr>
              <w:t>Less: Total stock-based employee compensation</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w w:val="91"/>
              </w:rPr>
              <w:t>expense determined under fair value based method</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(822)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3"/>
            <w:vMerge w:val="restart"/>
          </w:tcPr>
          <w:p>
            <w:pPr>
              <w:jc w:val="right"/>
              <w:ind w:right="340"/>
              <w:spacing w:after="0"/>
              <w:rPr>
                <w:sz w:val="20"/>
                <w:szCs w:val="20"/>
                <w:color w:val="auto"/>
              </w:rPr>
            </w:pPr>
            <w:r>
              <w:rPr>
                <w:rFonts w:ascii="Arial" w:cs="Arial" w:eastAsia="Arial" w:hAnsi="Arial"/>
                <w:sz w:val="18"/>
                <w:szCs w:val="18"/>
                <w:b w:val="1"/>
                <w:bCs w:val="1"/>
                <w:color w:val="auto"/>
                <w:w w:val="87"/>
              </w:rPr>
              <w:t>(2,296)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for all awards, net of related tax effect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(2,617)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Pro forma net loss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w w:val="87"/>
              </w:rPr>
              <w:t>(1,437)</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(1,305)</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(175)</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4"/>
              </w:rPr>
              <w:t>(2,929)</w:t>
            </w:r>
          </w:p>
        </w:tc>
        <w:tc>
          <w:tcPr>
            <w:tcW w:w="0" w:type="dxa"/>
            <w:vAlign w:val="bottom"/>
          </w:tcPr>
          <w:p>
            <w:pPr>
              <w:spacing w:after="0"/>
              <w:rPr>
                <w:sz w:val="1"/>
                <w:szCs w:val="1"/>
                <w:color w:val="auto"/>
              </w:rPr>
            </w:pPr>
          </w:p>
        </w:tc>
      </w:tr>
      <w:tr>
        <w:trPr>
          <w:trHeight w:val="108"/>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Basic-as reported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(.03)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Basic-pro forma</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Diluted-as reported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(.03)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Diluted-pro forma</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 xml:space="preserve">In June, 2002, the FASB issued Statement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Statement No. 146 addresses financial accounting and reporting for costs associated with exit or disposal activities and nullifies Emerging Issues Task Force Issue No. 94-3. The adoption of Statement No. 146 is effective for exit or disposal activities that are initiated after December 31, 2002, including Cohu’s recent Columbus, Ohio and Littleton, Massachusetts’s facilities consolidations.</w:t>
      </w:r>
    </w:p>
    <w:p>
      <w:pPr>
        <w:spacing w:after="0" w:line="197"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 xml:space="preserve">In November, 2002, the FASB Emerging Issues Task Force (“EITF”) reached a consensus on Issue No. 00-21, </w:t>
      </w:r>
      <w:r>
        <w:rPr>
          <w:rFonts w:ascii="Arial" w:cs="Arial" w:eastAsia="Arial" w:hAnsi="Arial"/>
          <w:sz w:val="16"/>
          <w:szCs w:val="16"/>
          <w:i w:val="1"/>
          <w:iCs w:val="1"/>
          <w:color w:val="auto"/>
        </w:rPr>
        <w:t>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Deliverables. </w:t>
      </w:r>
      <w:r>
        <w:rPr>
          <w:rFonts w:ascii="Arial" w:cs="Arial" w:eastAsia="Arial" w:hAnsi="Arial"/>
          <w:sz w:val="16"/>
          <w:szCs w:val="16"/>
          <w:color w:val="auto"/>
        </w:rPr>
        <w:t>EITF Issue No. 00-21 provides guidance on how to account for arrangements that involve the delivery or performance of multiple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and/or rights to use assets. The provisions of EITF Issue No. 00-21 apply to revenue arrangements entered into in fiscal periods beginning after June 15, 2003. The adoption of EITF Issue No. 00-21 did not have a material effect on our results of operations and financial condition.</w:t>
      </w:r>
    </w:p>
    <w:p>
      <w:pPr>
        <w:spacing w:after="0" w:line="167"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provides guidance on: 1) the identification of entities for which control is achieved through means other than through voting rights, known as “variable interest entities” (“VIEs”); and 2) which business enterprise is the primary beneficiary and when it should consolidate the VIE. This new model for consolidation applies to entities: 1) where the equity investors (if any) do not have a controlling financial interest; or 2) whose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FIN 46 is effective for all new VIEs created or acquired after January 31, 2003. For VIEs created or acquired prior to February 1, 2003, the provisions of FIN 46 must be applied no later than the end of periods ending after December 15, 2003. Certain disclosures are effective immediately. The adoption of FIN 46 is not expected to effect our results of operations or financial condition.</w:t>
      </w:r>
    </w:p>
    <w:p>
      <w:pPr>
        <w:spacing w:after="0" w:line="174" w:lineRule="exact"/>
        <w:rPr>
          <w:sz w:val="20"/>
          <w:szCs w:val="20"/>
          <w:color w:val="auto"/>
        </w:rPr>
      </w:pPr>
    </w:p>
    <w:p>
      <w:pPr>
        <w:ind w:left="460" w:right="560"/>
        <w:spacing w:after="0" w:line="298" w:lineRule="auto"/>
        <w:rPr>
          <w:sz w:val="20"/>
          <w:szCs w:val="20"/>
          <w:color w:val="auto"/>
        </w:rPr>
      </w:pPr>
      <w:r>
        <w:rPr>
          <w:rFonts w:ascii="Arial" w:cs="Arial" w:eastAsia="Arial" w:hAnsi="Arial"/>
          <w:sz w:val="16"/>
          <w:szCs w:val="16"/>
          <w:color w:val="auto"/>
        </w:rPr>
        <w:t xml:space="preserve">In April, 2003, the FASB issued Statement No. 149, </w:t>
      </w:r>
      <w:r>
        <w:rPr>
          <w:rFonts w:ascii="Arial" w:cs="Arial" w:eastAsia="Arial" w:hAnsi="Arial"/>
          <w:sz w:val="16"/>
          <w:szCs w:val="16"/>
          <w:i w:val="1"/>
          <w:iCs w:val="1"/>
          <w:color w:val="auto"/>
        </w:rPr>
        <w:t>Amendment of Statement 133 on Derivative Instruments and Hedging Activities</w:t>
      </w:r>
      <w:r>
        <w:rPr>
          <w:rFonts w:ascii="Arial" w:cs="Arial" w:eastAsia="Arial" w:hAnsi="Arial"/>
          <w:sz w:val="16"/>
          <w:szCs w:val="16"/>
          <w:color w:val="auto"/>
        </w:rPr>
        <w:t>. This statement provides clarification on the financial accounting and reporting of derivative instruments and hedging activities and requires contracts with similar characteristics to be accounted for on a comparable basis. The adoption of No. 149, which is be effective for contracts entered into or modified after June 30, 2003, had no material effect on our financial condition or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 xml:space="preserve">In May, 2003, the FASB issued Statement No. 150,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This statement establishes standards on the classification and measurement of financial instruments with characteristics of both liabilities and equity and is effective for financial instruments entered into or modified after May 31, 2003. The implementation of this pronouncement had no material effect on Cohu’s financial condition or results of operations.</w:t>
      </w:r>
    </w:p>
    <w:p>
      <w:pPr>
        <w:spacing w:after="0" w:line="19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(Loss) Per Share</w:t>
      </w:r>
    </w:p>
    <w:p>
      <w:pPr>
        <w:spacing w:after="0" w:line="231" w:lineRule="exact"/>
        <w:rPr>
          <w:rFonts w:ascii="Arial" w:cs="Arial" w:eastAsia="Arial" w:hAnsi="Arial"/>
          <w:sz w:val="18"/>
          <w:szCs w:val="18"/>
          <w:b w:val="1"/>
          <w:bCs w:val="1"/>
          <w:color w:val="auto"/>
        </w:rPr>
      </w:pPr>
    </w:p>
    <w:p>
      <w:pPr>
        <w:ind w:left="460" w:right="2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 xml:space="preserve">Income (loss) per share is computed in accordance with FASB Statement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income (loss) per share is computed using the weighted average number of common shares outstanding during each period. Diluted income (loss) per share includes the dilutive effect of common shares potentially issuable upon the exercise of stock options. For purposes of computing diluted income (loss) per share, stock options with exercise prices that exceed the average fair market value of the Company’s common stock for the period are excluded. For the nine months ended September 30, 2003 options to purchase approximately 219,000 shares of common stock were excluded from the computation. The impact of stock options is excluded for loss periods as they would be antidilutive. The following table reconciles the denominators used in computing basic and diluted income (loss) per share:</w:t>
      </w:r>
    </w:p>
    <w:p>
      <w:pPr>
        <w:spacing w:after="0" w:line="38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72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21,255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20,795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21,088</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20,722</w:t>
            </w:r>
          </w:p>
        </w:tc>
        <w:tc>
          <w:tcPr>
            <w:tcW w:w="240" w:type="dxa"/>
            <w:vAlign w:val="bottom"/>
            <w:shd w:val="clear" w:color="auto" w:fill="EEEEEE"/>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531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96"/>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21,255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20,795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21,619</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20,722</w:t>
            </w:r>
          </w:p>
        </w:tc>
        <w:tc>
          <w:tcPr>
            <w:tcW w:w="240" w:type="dxa"/>
            <w:vAlign w:val="bottom"/>
            <w:shd w:val="clear" w:color="auto" w:fill="EEEEEE"/>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30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income tax provision (benefit) included in the statements of operations for the three and nine months ended September 30, 2003 and 2002, is based on the estimated annual effective tax rate for the entire year. These estimated effective tax rates are subject to adjustment in subsequent quarterly periods as the Company’s estimate of pretax income or loss for the year are increased or decreased. The effective tax rate for the three and nine months ended September 30, 2003 is less than the U.S. federal statutory rate primarily due to tax credits.</w:t>
      </w:r>
    </w:p>
    <w:p>
      <w:pPr>
        <w:spacing w:after="0" w:line="166" w:lineRule="exact"/>
        <w:rPr>
          <w:rFonts w:ascii="Arial" w:cs="Arial" w:eastAsia="Arial" w:hAnsi="Arial"/>
          <w:sz w:val="18"/>
          <w:szCs w:val="18"/>
          <w:b w:val="1"/>
          <w:bCs w:val="1"/>
          <w:color w:val="auto"/>
        </w:rPr>
      </w:pPr>
    </w:p>
    <w:p>
      <w:pPr>
        <w:ind w:left="4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 valuation allowance of $4.7 million has been provided on deferred tax assets at December 31, 2002, primarily due to uncertainties of realizing net deferred tax assets in excess of income expected to be generated solely from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 The amount of deferred tax assets considered realizable is subject to adjustment in future periods if estimates of future taxable income change. If the valuation allowance is increased there would be a corresponding increase in the income tax provision.</w:t>
      </w:r>
    </w:p>
    <w:p>
      <w:pPr>
        <w:spacing w:after="0" w:line="192"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231"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June, 2001, the FASB issued Statement No. 142</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June 30, 2003, the Company had goodwill of $8.3 million that resulted from an acquisition completed in July, 2001.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Company performed the required annual goodwill impairment test as of October 1, 2002. Cohu did not recognize any goodwill impairment as a result of performing this annual test. A decline in the fair value of Cohu’s semiconductor equipment business may indicate goodwill impairment that could result in a charge to Cohu’s future operating results.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August, 2001, the FASB issued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supersedes Statement No.</w:t>
      </w:r>
    </w:p>
    <w:p>
      <w:pPr>
        <w:spacing w:after="0" w:line="38" w:lineRule="exact"/>
        <w:rPr>
          <w:sz w:val="20"/>
          <w:szCs w:val="20"/>
          <w:color w:val="auto"/>
        </w:rPr>
      </w:pPr>
    </w:p>
    <w:p>
      <w:pPr>
        <w:ind w:left="460" w:right="60" w:firstLine="7"/>
        <w:spacing w:after="0" w:line="302" w:lineRule="auto"/>
        <w:tabs>
          <w:tab w:leader="none" w:pos="811" w:val="left"/>
        </w:tabs>
        <w:numPr>
          <w:ilvl w:val="0"/>
          <w:numId w:val="6"/>
        </w:numPr>
        <w:rPr>
          <w:rFonts w:ascii="Arial" w:cs="Arial" w:eastAsia="Arial" w:hAnsi="Arial"/>
          <w:sz w:val="16"/>
          <w:szCs w:val="16"/>
          <w:color w:val="auto"/>
        </w:rPr>
      </w:pPr>
      <w:r>
        <w:rPr>
          <w:rFonts w:ascii="Arial" w:cs="Arial" w:eastAsia="Arial" w:hAnsi="Arial"/>
          <w:sz w:val="16"/>
          <w:szCs w:val="16"/>
          <w:color w:val="auto"/>
        </w:rPr>
        <w:t>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6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In the fourth quarter of 2002, Cohu entered into a $1.7 million license agreement for certain intellectual property and know-how from LiveTools Technology SA. The Company is amortizing the $1.7 million intangible asset to expense over the three-year exclusive license period. Accumulated amortization at September 30, 2003 and December 31, 2002, was $504,000 and $92,000, respectively. Amortization expense was $138,000 and $412,000 in the three and nine month periods ended September 30, 2003, respectively. The estimated amortization expense in future years is 2003 - $138,000; 2004 - - $550,000; 2005 - $458,000.</w:t>
      </w:r>
    </w:p>
    <w:p>
      <w:pPr>
        <w:spacing w:after="0" w:line="197"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 xml:space="preserve">In December, 2002, Cohu invested $2.5 million in KryoTech, Inc. preferred stock. Cohu may invest an additional $2.5 million in KryoTech subject to the successful completion of a joint development program between the companies and the satisfaction of certain other conditions. Cohu is accounting for its less than 10% ownership interest in KryoTech under the cost method. It is not currently known when or if Cohu will make the second $2.5 million investment in KryoTech. In the quarter ended September 30, 2003, the Company wrote off the investment and recorded a $2.5 million charge to operating results as the investment was deemed impaired and such impairment was considered other than temporary, pursuant to APB No. 18, </w:t>
      </w:r>
      <w:r>
        <w:rPr>
          <w:rFonts w:ascii="Arial" w:cs="Arial" w:eastAsia="Arial" w:hAnsi="Arial"/>
          <w:sz w:val="16"/>
          <w:szCs w:val="16"/>
          <w:i w:val="1"/>
          <w:iCs w:val="1"/>
          <w:color w:val="auto"/>
        </w:rPr>
        <w:t>The Equity Method of</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Investments in Common Stock</w:t>
      </w:r>
      <w:r>
        <w:rPr>
          <w:rFonts w:ascii="Arial" w:cs="Arial" w:eastAsia="Arial" w:hAnsi="Arial"/>
          <w:sz w:val="16"/>
          <w:szCs w:val="16"/>
          <w:color w:val="auto"/>
        </w:rPr>
        <w:t>.</w:t>
      </w:r>
    </w:p>
    <w:p>
      <w:pPr>
        <w:spacing w:after="0" w:line="16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31"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April 10, 2003, Cohu announced that its Delta Design, Inc. subsidiary (“Delta”) was relocating its Littleton, Massachusetts operation to its headquarters facility in Poway, California. Cohu expects the consolidation, that will result in approximately 50 of the 65 employees being terminated, to be completed by March, 2004. Cohu expects to incur charges in the fourth quarter of 2003 and first quarter of 2004 totaling approximately $1.0 million for severance and other related exit costs. The Company recorded charges to operations in the quarter ended September 30, 2003, totaling $354,000 for severance and one-time termination benefits. These charges are included in cost of sales ($142,000), research and development ($130,000) and selling, general and administrative expense ($82,000). Charges for the nine-month period ended September 30, 2003 totaled $632,000 and are included in cost of sales ($254,000), research and development ($262,000) and selling, general and administrative expense ($116,000).</w:t>
      </w:r>
    </w:p>
    <w:p>
      <w:pPr>
        <w:spacing w:after="0" w:line="1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Littleton consolidation plan.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80" w:type="dxa"/>
            <w:vAlign w:val="bottom"/>
            <w:gridSpan w:val="3"/>
          </w:tcPr>
          <w:p>
            <w:pPr>
              <w:ind w:left="380"/>
              <w:spacing w:after="0"/>
              <w:rPr>
                <w:sz w:val="20"/>
                <w:szCs w:val="20"/>
                <w:color w:val="auto"/>
              </w:rPr>
            </w:pPr>
            <w:r>
              <w:rPr>
                <w:rFonts w:ascii="Arial" w:cs="Arial" w:eastAsia="Arial" w:hAnsi="Arial"/>
                <w:sz w:val="14"/>
                <w:szCs w:val="14"/>
                <w:b w:val="1"/>
                <w:bCs w:val="1"/>
                <w:color w:val="auto"/>
              </w:rPr>
              <w:t>Severance and</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4"/>
        </w:trPr>
        <w:tc>
          <w:tcPr>
            <w:tcW w:w="14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580" w:type="dxa"/>
            <w:vAlign w:val="bottom"/>
            <w:gridSpan w:val="3"/>
          </w:tcPr>
          <w:p>
            <w:pPr>
              <w:ind w:left="420"/>
              <w:spacing w:after="0"/>
              <w:rPr>
                <w:sz w:val="20"/>
                <w:szCs w:val="20"/>
                <w:color w:val="auto"/>
              </w:rPr>
            </w:pPr>
            <w:r>
              <w:rPr>
                <w:rFonts w:ascii="Arial" w:cs="Arial" w:eastAsia="Arial" w:hAnsi="Arial"/>
                <w:sz w:val="14"/>
                <w:szCs w:val="14"/>
                <w:b w:val="1"/>
                <w:bCs w:val="1"/>
                <w:color w:val="auto"/>
              </w:rPr>
              <w:t>other payroll</w:t>
            </w:r>
          </w:p>
        </w:tc>
        <w:tc>
          <w:tcPr>
            <w:tcW w:w="320" w:type="dxa"/>
            <w:vAlign w:val="bottom"/>
          </w:tcPr>
          <w:p>
            <w:pPr>
              <w:spacing w:after="0"/>
              <w:rPr>
                <w:sz w:val="15"/>
                <w:szCs w:val="15"/>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Other exit costs</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Liability at March 31, 2003</w:t>
            </w:r>
          </w:p>
        </w:tc>
        <w:tc>
          <w:tcPr>
            <w:tcW w:w="480" w:type="dxa"/>
            <w:vAlign w:val="bottom"/>
            <w:shd w:val="clear" w:color="auto" w:fill="EEEEEE"/>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Costs accrued</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194,000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84,000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278,000</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Amounts paid or charged</w:t>
            </w: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(84,000)</w:t>
            </w: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(84,000)</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(168,000)</w:t>
            </w:r>
          </w:p>
        </w:tc>
        <w:tc>
          <w:tcPr>
            <w:tcW w:w="1440" w:type="dxa"/>
            <w:vAlign w:val="bottom"/>
          </w:tcPr>
          <w:p>
            <w:pPr>
              <w:spacing w:after="0"/>
              <w:rPr>
                <w:sz w:val="18"/>
                <w:szCs w:val="18"/>
                <w:color w:val="auto"/>
              </w:rPr>
            </w:pPr>
          </w:p>
        </w:tc>
      </w:tr>
      <w:tr>
        <w:trPr>
          <w:trHeight w:val="108"/>
        </w:trPr>
        <w:tc>
          <w:tcPr>
            <w:tcW w:w="14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317"/>
        </w:trPr>
        <w:tc>
          <w:tcPr>
            <w:tcW w:w="144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Liability at June 30, 2003</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110,000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110,000</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7"/>
        </w:trPr>
        <w:tc>
          <w:tcPr>
            <w:tcW w:w="144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Costs accrued</w:t>
            </w:r>
          </w:p>
        </w:tc>
        <w:tc>
          <w:tcPr>
            <w:tcW w:w="4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354,000</w:t>
            </w: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354,000</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4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(101,000)</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(101,000)</w:t>
            </w:r>
          </w:p>
        </w:tc>
        <w:tc>
          <w:tcPr>
            <w:tcW w:w="1440" w:type="dxa"/>
            <w:vAlign w:val="bottom"/>
          </w:tcPr>
          <w:p>
            <w:pPr>
              <w:spacing w:after="0"/>
              <w:rPr>
                <w:sz w:val="19"/>
                <w:szCs w:val="19"/>
                <w:color w:val="auto"/>
              </w:rPr>
            </w:pPr>
          </w:p>
        </w:tc>
      </w:tr>
      <w:tr>
        <w:trPr>
          <w:trHeight w:val="102"/>
        </w:trPr>
        <w:tc>
          <w:tcPr>
            <w:tcW w:w="14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Liability at September 30, 2003</w:t>
            </w:r>
          </w:p>
        </w:tc>
        <w:tc>
          <w:tcPr>
            <w:tcW w:w="480" w:type="dxa"/>
            <w:vAlign w:val="bottom"/>
            <w:shd w:val="clear" w:color="auto" w:fill="EEEEEE"/>
          </w:tcPr>
          <w:p>
            <w:pPr>
              <w:ind w:left="3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363,000</w:t>
            </w:r>
          </w:p>
        </w:tc>
        <w:tc>
          <w:tcPr>
            <w:tcW w:w="46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363,000</w:t>
            </w: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105"/>
        </w:trPr>
        <w:tc>
          <w:tcPr>
            <w:tcW w:w="14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535"/>
        </w:trPr>
        <w:tc>
          <w:tcPr>
            <w:tcW w:w="1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 April, 2003, Delta completed the relocation of its Columbus, Ohio operations to its facility in Poway, California. The consolidation is expected to reduce costs without impacting the revenue generating activities of Delta. The Company recorded charges to operations in the quarter ended March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 Exit-related costs charged to operations subsequent to the quarter ended March 31, 2003 were not significant.</w:t>
      </w:r>
    </w:p>
    <w:p>
      <w:pPr>
        <w:spacing w:after="0" w:line="16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31"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January 13, 2003, the Company extended the term of the $9.2 million promissory note with TC Kearny Villa, L.P. (“TC”). The 8% non-recourse note is secured by a deed of trust on land and buildings in San Diego, California sold by Cohu to TC in April, 2001. The note amendment extended the due date of the note to March 31, 2005 and provided for principal payments, assuming a 20-year amortization schedule, of $206,000 and $223,000 on April 1, 2003 and 2004, respectively. Interest at 8% was to continue to be paid monthly.</w:t>
      </w:r>
    </w:p>
    <w:p>
      <w:pPr>
        <w:spacing w:after="0" w:line="197"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property is currently unoccupied and is being offered for sale or lease by TC. TC has not paid any interest on the note since March, 2003 and an aggregate of $367,000 of interest is in arrears. As a result, the note is in default. If TC continues to fail to make the required interest payments Cohu will need to assess whether it is in its best interests to foreclose on the property. Cohu believes the fair value of the property is in excess of the outstanding note balance. However, while the Company believes the fair value of the property is greater than $9 million, no assurances can be made that the net sale proceeds from the property, should Cohu dispose of the property through foreclosure, would exceed the outstanding note balance. If the sale proceeds were less than the note balance Cohu would realize a loss that would adversely impact operating results.</w:t>
      </w:r>
    </w:p>
    <w:p>
      <w:pPr>
        <w:spacing w:after="0" w:line="174"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79"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comprehensive income (loss), on an after-tax basis where applicable, were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5"/>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$(615)</w:t>
            </w:r>
          </w:p>
        </w:tc>
        <w:tc>
          <w:tcPr>
            <w:tcW w:w="118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$(555)</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$2,121</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90"/>
              </w:rPr>
              <w:t>(312)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unrealized gain on investments</w:t>
            </w:r>
          </w:p>
        </w:tc>
        <w:tc>
          <w:tcPr>
            <w:tcW w:w="90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(155)</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(250)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90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$(770)</w:t>
            </w:r>
          </w:p>
        </w:tc>
        <w:tc>
          <w:tcPr>
            <w:tcW w:w="118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$(465)</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$1,871</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Accumulated other comprehensive income totaled $80,000 and $330,000 at September 30, 2003 and December 31, 2002, respectively, and was attributed to after-tax unrealized gains on investments.</w:t>
      </w:r>
    </w:p>
    <w:p>
      <w:pPr>
        <w:spacing w:after="0" w:line="1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31"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August 17, 2001, Broadcast Microwave Services, Inc. (“BMS”), a wholly owned subsidiary of Cohu,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scheduled for January, 2004. Although the outcome of any litigation cannot be predicted with certainty, Cohu believes the plaintiff’s claims against BMS are without merit and that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resolution of the case will not have a material adverse effect on Cohu’s financial position or results of operations.</w:t>
      </w:r>
    </w:p>
    <w:p>
      <w:pPr>
        <w:spacing w:after="0" w:line="225"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5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w:t>
      </w:r>
    </w:p>
    <w:p>
      <w:pPr>
        <w:spacing w:after="0" w:line="200" w:lineRule="exact"/>
        <w:rPr>
          <w:sz w:val="20"/>
          <w:szCs w:val="20"/>
          <w:color w:val="auto"/>
        </w:rPr>
      </w:pP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jc w:val="center"/>
              <w:ind w:right="432"/>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gridSpan w:val="8"/>
          </w:tcPr>
          <w:p>
            <w:pPr>
              <w:jc w:val="center"/>
              <w:ind w:right="93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8"/>
          </w:tcPr>
          <w:p>
            <w:pPr>
              <w:ind w:left="6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00" w:type="dxa"/>
            <w:vAlign w:val="bottom"/>
            <w:gridSpan w:val="8"/>
          </w:tcPr>
          <w:p>
            <w:pPr>
              <w:jc w:val="center"/>
              <w:ind w:right="932"/>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8"/>
          </w:tcPr>
          <w:p>
            <w:pPr>
              <w:ind w:lef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28,338</w:t>
            </w:r>
          </w:p>
        </w:tc>
        <w:tc>
          <w:tcPr>
            <w:tcW w:w="2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$28,946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$77,748</w:t>
            </w: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84,775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3,697</w:t>
            </w:r>
          </w:p>
        </w:tc>
        <w:tc>
          <w:tcPr>
            <w:tcW w:w="28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4,385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12,134</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12,722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440" w:type="dxa"/>
            <w:vAlign w:val="bottom"/>
            <w:gridSpan w:val="2"/>
          </w:tcPr>
          <w:p>
            <w:pPr>
              <w:ind w:left="440"/>
              <w:spacing w:after="0"/>
              <w:rPr>
                <w:sz w:val="20"/>
                <w:szCs w:val="20"/>
                <w:color w:val="auto"/>
              </w:rPr>
            </w:pPr>
            <w:r>
              <w:rPr>
                <w:rFonts w:ascii="Arial" w:cs="Arial" w:eastAsia="Arial" w:hAnsi="Arial"/>
                <w:sz w:val="18"/>
                <w:szCs w:val="18"/>
                <w:color w:val="auto"/>
              </w:rPr>
              <w:t>Net sales for reportable segments</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32,035</w:t>
            </w:r>
          </w:p>
        </w:tc>
        <w:tc>
          <w:tcPr>
            <w:tcW w:w="28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33,331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89,882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97,497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2,477</w:t>
            </w:r>
          </w:p>
        </w:tc>
        <w:tc>
          <w:tcPr>
            <w:tcW w:w="28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3,480</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7,793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9,209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gridSpan w:val="2"/>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Total consolidated net sales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34,512</w:t>
            </w:r>
          </w:p>
        </w:tc>
        <w:tc>
          <w:tcPr>
            <w:tcW w:w="28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$36,811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$97,675</w:t>
            </w:r>
          </w:p>
        </w:tc>
        <w:tc>
          <w:tcPr>
            <w:tcW w:w="12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106,706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Profit (loss):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280" w:type="dxa"/>
            <w:vAlign w:val="bottom"/>
          </w:tcPr>
          <w:p>
            <w:pPr>
              <w:spacing w:after="0"/>
              <w:rPr>
                <w:sz w:val="18"/>
                <w:szCs w:val="18"/>
                <w:color w:val="auto"/>
              </w:rPr>
            </w:pPr>
          </w:p>
        </w:tc>
        <w:tc>
          <w:tcPr>
            <w:tcW w:w="1260" w:type="dxa"/>
            <w:vAlign w:val="bottom"/>
            <w:gridSpan w:val="5"/>
          </w:tcPr>
          <w:p>
            <w:pPr>
              <w:jc w:val="right"/>
              <w:ind w:right="140"/>
              <w:spacing w:after="0"/>
              <w:rPr>
                <w:sz w:val="20"/>
                <w:szCs w:val="20"/>
                <w:color w:val="auto"/>
              </w:rPr>
            </w:pPr>
            <w:r>
              <w:rPr>
                <w:rFonts w:ascii="Arial" w:cs="Arial" w:eastAsia="Arial" w:hAnsi="Arial"/>
                <w:sz w:val="18"/>
                <w:szCs w:val="18"/>
                <w:color w:val="auto"/>
              </w:rPr>
              <w:t>$ (1,209)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rPr>
              <w:t>$ (3,374)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Television cameras</w:t>
            </w: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(314)</w:t>
            </w:r>
          </w:p>
        </w:tc>
        <w:tc>
          <w:tcPr>
            <w:tcW w:w="10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gridSpan w:val="5"/>
            <w:shd w:val="clear" w:color="auto" w:fill="EEEEEE"/>
          </w:tcPr>
          <w:p>
            <w:pPr>
              <w:jc w:val="right"/>
              <w:ind w:right="12"/>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440" w:type="dxa"/>
            <w:vAlign w:val="bottom"/>
            <w:gridSpan w:val="2"/>
          </w:tcPr>
          <w:p>
            <w:pPr>
              <w:ind w:left="440"/>
              <w:spacing w:after="0"/>
              <w:rPr>
                <w:sz w:val="20"/>
                <w:szCs w:val="20"/>
                <w:color w:val="auto"/>
              </w:rPr>
            </w:pPr>
            <w:r>
              <w:rPr>
                <w:rFonts w:ascii="Arial" w:cs="Arial" w:eastAsia="Arial" w:hAnsi="Arial"/>
                <w:sz w:val="18"/>
                <w:szCs w:val="18"/>
                <w:color w:val="auto"/>
              </w:rPr>
              <w:t>Profit (loss) for reportable segments</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Pr>
          <w:p>
            <w:pPr>
              <w:spacing w:after="0"/>
              <w:rPr>
                <w:sz w:val="24"/>
                <w:szCs w:val="24"/>
                <w:color w:val="auto"/>
              </w:rPr>
            </w:pPr>
          </w:p>
        </w:tc>
        <w:tc>
          <w:tcPr>
            <w:tcW w:w="1260" w:type="dxa"/>
            <w:vAlign w:val="bottom"/>
            <w:gridSpan w:val="5"/>
          </w:tcPr>
          <w:p>
            <w:pPr>
              <w:jc w:val="right"/>
              <w:ind w:right="14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rPr>
              <w:t>(3,384)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All other</w:t>
            </w: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(852)</w:t>
            </w:r>
          </w:p>
        </w:tc>
        <w:tc>
          <w:tcPr>
            <w:tcW w:w="126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gridSpan w:val="5"/>
            <w:shd w:val="clear" w:color="auto" w:fill="EEEEEE"/>
          </w:tcPr>
          <w:p>
            <w:pPr>
              <w:jc w:val="right"/>
              <w:ind w:right="12"/>
              <w:spacing w:after="0"/>
              <w:rPr>
                <w:sz w:val="20"/>
                <w:szCs w:val="20"/>
                <w:color w:val="auto"/>
              </w:rPr>
            </w:pPr>
            <w:r>
              <w:rPr>
                <w:rFonts w:ascii="Arial" w:cs="Arial" w:eastAsia="Arial" w:hAnsi="Arial"/>
                <w:sz w:val="18"/>
                <w:szCs w:val="18"/>
                <w:b w:val="1"/>
                <w:bCs w:val="1"/>
                <w:color w:val="auto"/>
              </w:rPr>
              <w:t>(1,995)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08"/>
        </w:trPr>
        <w:tc>
          <w:tcPr>
            <w:tcW w:w="580" w:type="dxa"/>
            <w:vAlign w:val="bottom"/>
            <w:gridSpan w:val="2"/>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Total consolidated profit (loss)</w:t>
            </w:r>
          </w:p>
        </w:tc>
        <w:tc>
          <w:tcPr>
            <w:tcW w:w="260" w:type="dxa"/>
            <w:vAlign w:val="bottom"/>
          </w:tcPr>
          <w:p>
            <w:pPr>
              <w:spacing w:after="0"/>
              <w:rPr>
                <w:sz w:val="24"/>
                <w:szCs w:val="24"/>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(808)</w:t>
            </w:r>
          </w:p>
        </w:tc>
        <w:tc>
          <w:tcPr>
            <w:tcW w:w="1260" w:type="dxa"/>
            <w:vAlign w:val="bottom"/>
            <w:gridSpan w:val="5"/>
          </w:tcPr>
          <w:p>
            <w:pPr>
              <w:jc w:val="right"/>
              <w:ind w:right="140"/>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rPr>
              <w:t>(5,379)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18"/>
                <w:szCs w:val="18"/>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(590)</w:t>
            </w:r>
          </w:p>
        </w:tc>
        <w:tc>
          <w:tcPr>
            <w:tcW w:w="1260" w:type="dxa"/>
            <w:vAlign w:val="bottom"/>
            <w:gridSpan w:val="5"/>
          </w:tcPr>
          <w:p>
            <w:pPr>
              <w:jc w:val="right"/>
              <w:ind w:right="14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rPr>
              <w:t>(1,598)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683</w:t>
            </w:r>
          </w:p>
        </w:tc>
        <w:tc>
          <w:tcPr>
            <w:tcW w:w="28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1,825</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2,136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Gain from sale of land</w:t>
            </w:r>
          </w:p>
        </w:tc>
        <w:tc>
          <w:tcPr>
            <w:tcW w:w="260" w:type="dxa"/>
            <w:vAlign w:val="bottom"/>
          </w:tcPr>
          <w:p>
            <w:pPr>
              <w:spacing w:after="0"/>
              <w:rPr>
                <w:sz w:val="19"/>
                <w:szCs w:val="19"/>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4"/>
          </w:tcPr>
          <w:p>
            <w:pPr>
              <w:jc w:val="right"/>
              <w:ind w:right="492"/>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7,873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(715)</w:t>
            </w:r>
          </w:p>
        </w:tc>
        <w:tc>
          <w:tcPr>
            <w:tcW w:w="126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 (1,155)</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$ 2,721</w:t>
            </w:r>
          </w:p>
        </w:tc>
        <w:tc>
          <w:tcPr>
            <w:tcW w:w="120" w:type="dxa"/>
            <w:vAlign w:val="bottom"/>
            <w:shd w:val="clear" w:color="auto" w:fill="EEEEEE"/>
          </w:tcPr>
          <w:p>
            <w:pPr>
              <w:spacing w:after="0"/>
              <w:rPr>
                <w:sz w:val="18"/>
                <w:szCs w:val="18"/>
                <w:color w:val="auto"/>
              </w:rPr>
            </w:pP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tcPr>
          <w:p>
            <w:pPr>
              <w:ind w:left="140"/>
              <w:spacing w:after="0"/>
              <w:rPr>
                <w:sz w:val="20"/>
                <w:szCs w:val="20"/>
                <w:color w:val="auto"/>
              </w:rPr>
            </w:pPr>
            <w:r>
              <w:rPr>
                <w:rFonts w:ascii="Arial" w:cs="Arial" w:eastAsia="Arial" w:hAnsi="Arial"/>
                <w:sz w:val="14"/>
                <w:szCs w:val="14"/>
                <w:b w:val="1"/>
                <w:bCs w:val="1"/>
                <w:color w:val="auto"/>
                <w:w w:val="91"/>
              </w:rPr>
              <w:t>September 30, 2003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320" w:type="dxa"/>
            <w:vAlign w:val="bottom"/>
            <w:gridSpan w:val="2"/>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Semiconductor equipment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rPr>
              <w:t>$ 89,451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5"/>
          </w:tcPr>
          <w:p>
            <w:pPr>
              <w:ind w:left="86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86,268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Television cameras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8,208</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6,672</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ind w:left="640"/>
              <w:spacing w:after="0"/>
              <w:rPr>
                <w:sz w:val="20"/>
                <w:szCs w:val="20"/>
                <w:color w:val="auto"/>
              </w:rPr>
            </w:pPr>
            <w:r>
              <w:rPr>
                <w:rFonts w:ascii="Arial" w:cs="Arial" w:eastAsia="Arial" w:hAnsi="Arial"/>
                <w:sz w:val="18"/>
                <w:szCs w:val="18"/>
                <w:color w:val="auto"/>
              </w:rPr>
              <w:t>Total assets for reportable segments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rPr>
              <w:t>97,659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92,940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All other operating segments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10,773</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9,590</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4"/>
          </w:tcPr>
          <w:p>
            <w:pPr>
              <w:ind w:left="320"/>
              <w:spacing w:after="0"/>
              <w:rPr>
                <w:sz w:val="20"/>
                <w:szCs w:val="20"/>
                <w:color w:val="auto"/>
              </w:rPr>
            </w:pPr>
            <w:r>
              <w:rPr>
                <w:rFonts w:ascii="Arial" w:cs="Arial" w:eastAsia="Arial" w:hAnsi="Arial"/>
                <w:sz w:val="18"/>
                <w:szCs w:val="18"/>
                <w:color w:val="auto"/>
                <w:w w:val="90"/>
              </w:rPr>
              <w:t>Corporate, principally cash and investments and deferred taxes</w:t>
            </w: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rPr>
              <w:t>120,104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119,273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$228,536</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2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$221,803</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5"/>
          </w:tcPr>
          <w:p>
            <w:pPr>
              <w:spacing w:after="0"/>
              <w:rPr>
                <w:sz w:val="9"/>
                <w:szCs w:val="9"/>
                <w:color w:val="auto"/>
              </w:rPr>
            </w:pPr>
          </w:p>
        </w:tc>
        <w:tc>
          <w:tcPr>
            <w:tcW w:w="4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Borders>
              <w:right w:val="single" w:sz="8" w:color="808080"/>
            </w:tcBorders>
            <w:gridSpan w:val="3"/>
          </w:tcPr>
          <w:p>
            <w:pPr>
              <w:spacing w:after="0"/>
              <w:rPr>
                <w:sz w:val="5"/>
                <w:szCs w:val="5"/>
                <w:color w:val="auto"/>
              </w:rPr>
            </w:pPr>
          </w:p>
        </w:tc>
        <w:tc>
          <w:tcPr>
            <w:tcW w:w="580" w:type="dxa"/>
            <w:vAlign w:val="bottom"/>
            <w:gridSpan w:val="2"/>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5"/>
          </w:tcPr>
          <w:p>
            <w:pPr>
              <w:spacing w:after="0"/>
              <w:rPr>
                <w:sz w:val="5"/>
                <w:szCs w:val="5"/>
                <w:color w:val="auto"/>
              </w:rPr>
            </w:pPr>
          </w:p>
        </w:tc>
        <w:tc>
          <w:tcPr>
            <w:tcW w:w="420" w:type="dxa"/>
            <w:vAlign w:val="bottom"/>
            <w:gridSpan w:val="2"/>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rPr>
              <w:t>$149,921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8"/>
          </w:tcPr>
          <w:p>
            <w:pPr>
              <w:jc w:val="right"/>
              <w:spacing w:after="0"/>
              <w:rPr>
                <w:sz w:val="20"/>
                <w:szCs w:val="20"/>
                <w:color w:val="auto"/>
              </w:rPr>
            </w:pPr>
            <w:r>
              <w:rPr>
                <w:rFonts w:ascii="Arial" w:cs="Arial" w:eastAsia="Arial" w:hAnsi="Arial"/>
                <w:sz w:val="18"/>
                <w:szCs w:val="18"/>
                <w:color w:val="auto"/>
              </w:rPr>
              <w:t>$140,539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$193,545</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2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$190,094</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240" w:top="419" w:right="559" w:bottom="1440" w:gutter="0" w:footer="0" w:header="0"/>
        </w:sectPr>
      </w:pP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2003</w:t>
      </w:r>
    </w:p>
    <w:p>
      <w:pPr>
        <w:spacing w:after="0" w:line="213"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31" w:lineRule="exact"/>
        <w:rPr>
          <w:rFonts w:ascii="Arial" w:cs="Arial" w:eastAsia="Arial" w:hAnsi="Arial"/>
          <w:sz w:val="18"/>
          <w:szCs w:val="18"/>
          <w:b w:val="1"/>
          <w:bCs w:val="1"/>
          <w:color w:val="auto"/>
        </w:rPr>
      </w:pPr>
    </w:p>
    <w:p>
      <w:pPr>
        <w:ind w:left="560" w:right="6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 xml:space="preserve">Cohu adopted FASB Interpretation No. 45 (“FIN 45”), </w:t>
      </w:r>
      <w:r>
        <w:rPr>
          <w:rFonts w:ascii="Arial" w:cs="Arial" w:eastAsia="Arial" w:hAnsi="Arial"/>
          <w:sz w:val="16"/>
          <w:szCs w:val="16"/>
          <w:i w:val="1"/>
          <w:iCs w:val="1"/>
          <w:color w:val="auto"/>
        </w:rPr>
        <w:t>Guarantor’s Accounting and Disclosure Requirements for Guarantees, Including Indirect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Guarantees of Indebtedness of Others, </w:t>
      </w:r>
      <w:r>
        <w:rPr>
          <w:rFonts w:ascii="Arial" w:cs="Arial" w:eastAsia="Arial" w:hAnsi="Arial"/>
          <w:sz w:val="16"/>
          <w:szCs w:val="16"/>
          <w:color w:val="auto"/>
        </w:rPr>
        <w:t>in 2003. FIN 45 requires disclosures concerning Cohu’s obligations under certain guarantees.</w:t>
      </w:r>
    </w:p>
    <w:p>
      <w:pPr>
        <w:spacing w:after="0" w:line="139" w:lineRule="exact"/>
        <w:rPr>
          <w:rFonts w:ascii="Arial" w:cs="Arial" w:eastAsia="Arial" w:hAnsi="Arial"/>
          <w:sz w:val="18"/>
          <w:szCs w:val="18"/>
          <w:b w:val="1"/>
          <w:bCs w:val="1"/>
          <w:color w:val="auto"/>
        </w:rPr>
      </w:pPr>
    </w:p>
    <w:p>
      <w:pPr>
        <w:ind w:left="5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FIN 45, Cohu is required to disclose product accrued warranty activity. Cohu products are generally sold with a 12-month to 24-month warranty period following sale or installation. Parts and labor are covered under the terms of the warranty agreement. The warranty provision is based on historical experience by product and configuration.</w:t>
      </w:r>
    </w:p>
    <w:p>
      <w:pPr>
        <w:spacing w:after="0" w:line="19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2003 were as follows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2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$ 2,878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60"/>
              <w:spacing w:after="0"/>
              <w:rPr>
                <w:sz w:val="20"/>
                <w:szCs w:val="20"/>
                <w:color w:val="auto"/>
              </w:rPr>
            </w:pPr>
            <w:r>
              <w:rPr>
                <w:rFonts w:ascii="Arial" w:cs="Arial" w:eastAsia="Arial" w:hAnsi="Arial"/>
                <w:sz w:val="18"/>
                <w:szCs w:val="18"/>
                <w:color w:val="auto"/>
              </w:rPr>
              <w:t>Provisions for warranty</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Consumption of reserves</w:t>
            </w:r>
          </w:p>
        </w:tc>
        <w:tc>
          <w:tcPr>
            <w:tcW w:w="26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108"/>
        </w:trPr>
        <w:tc>
          <w:tcPr>
            <w:tcW w:w="3600" w:type="dxa"/>
            <w:vAlign w:val="bottom"/>
            <w:gridSpan w:val="2"/>
          </w:tcPr>
          <w:p>
            <w:pPr>
              <w:spacing w:after="0"/>
              <w:rPr>
                <w:sz w:val="9"/>
                <w:szCs w:val="9"/>
                <w:color w:val="auto"/>
              </w:rPr>
            </w:pPr>
          </w:p>
        </w:tc>
        <w:tc>
          <w:tcPr>
            <w:tcW w:w="1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600" w:type="dxa"/>
            <w:vAlign w:val="bottom"/>
            <w:gridSpan w:val="2"/>
          </w:tcPr>
          <w:p>
            <w:pPr>
              <w:spacing w:after="0"/>
              <w:rPr>
                <w:sz w:val="20"/>
                <w:szCs w:val="20"/>
                <w:color w:val="auto"/>
              </w:rPr>
            </w:pPr>
            <w:r>
              <w:rPr>
                <w:rFonts w:ascii="Arial" w:cs="Arial" w:eastAsia="Arial" w:hAnsi="Arial"/>
                <w:sz w:val="18"/>
                <w:szCs w:val="18"/>
                <w:color w:val="auto"/>
              </w:rPr>
              <w:t>Balance, March 31, 2003</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2,887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Provisions for warranty</w:t>
            </w:r>
          </w:p>
        </w:tc>
        <w:tc>
          <w:tcPr>
            <w:tcW w:w="2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1,308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260"/>
              <w:spacing w:after="0"/>
              <w:rPr>
                <w:sz w:val="20"/>
                <w:szCs w:val="20"/>
                <w:color w:val="auto"/>
              </w:rPr>
            </w:pPr>
            <w:r>
              <w:rPr>
                <w:rFonts w:ascii="Arial" w:cs="Arial" w:eastAsia="Arial" w:hAnsi="Arial"/>
                <w:sz w:val="18"/>
                <w:szCs w:val="18"/>
                <w:color w:val="auto"/>
              </w:rPr>
              <w:t>Consumption of reserves</w:t>
            </w:r>
          </w:p>
        </w:tc>
        <w:tc>
          <w:tcPr>
            <w:tcW w:w="2680" w:type="dxa"/>
            <w:vAlign w:val="bottom"/>
            <w:gridSpan w:val="3"/>
          </w:tcPr>
          <w:p>
            <w:pPr>
              <w:jc w:val="right"/>
              <w:ind w:right="5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Balance, June 30, 2003</w:t>
            </w:r>
          </w:p>
        </w:tc>
        <w:tc>
          <w:tcPr>
            <w:tcW w:w="2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2,909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60"/>
              <w:spacing w:after="0"/>
              <w:rPr>
                <w:sz w:val="20"/>
                <w:szCs w:val="20"/>
                <w:color w:val="auto"/>
              </w:rPr>
            </w:pPr>
            <w:r>
              <w:rPr>
                <w:rFonts w:ascii="Arial" w:cs="Arial" w:eastAsia="Arial" w:hAnsi="Arial"/>
                <w:sz w:val="18"/>
                <w:szCs w:val="18"/>
                <w:color w:val="auto"/>
              </w:rPr>
              <w:t>Provisions for warranty</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Consumption of reserves</w:t>
            </w:r>
          </w:p>
        </w:tc>
        <w:tc>
          <w:tcPr>
            <w:tcW w:w="26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108"/>
        </w:trPr>
        <w:tc>
          <w:tcPr>
            <w:tcW w:w="3600" w:type="dxa"/>
            <w:vAlign w:val="bottom"/>
            <w:gridSpan w:val="2"/>
          </w:tcPr>
          <w:p>
            <w:pPr>
              <w:spacing w:after="0"/>
              <w:rPr>
                <w:sz w:val="9"/>
                <w:szCs w:val="9"/>
                <w:color w:val="auto"/>
              </w:rPr>
            </w:pPr>
          </w:p>
        </w:tc>
        <w:tc>
          <w:tcPr>
            <w:tcW w:w="1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0" w:type="dxa"/>
            <w:vAlign w:val="bottom"/>
            <w:gridSpan w:val="2"/>
          </w:tcPr>
          <w:p>
            <w:pPr>
              <w:spacing w:after="0"/>
              <w:rPr>
                <w:sz w:val="20"/>
                <w:szCs w:val="20"/>
                <w:color w:val="auto"/>
              </w:rPr>
            </w:pPr>
            <w:r>
              <w:rPr>
                <w:rFonts w:ascii="Arial" w:cs="Arial" w:eastAsia="Arial" w:hAnsi="Arial"/>
                <w:sz w:val="18"/>
                <w:szCs w:val="18"/>
                <w:color w:val="auto"/>
              </w:rPr>
              <w:t>Balance, September 30, 2003</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$ 2,790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During the ordinary course of business, Cohu also provides standby letters of credit or other guarantee instruments to certain parties as required. As of September 30, 2003, the maximum potential amount of future payments that Cohu could be required to make under these guarantee agreements is approximately $2.5 million. Cohu has not recorded any liability in connection with these guarantee arrangements beyond that required to appropriately account for the underlying transaction being guaranteed. Cohu does not believe, based on historical experience and information currently available, that it is probable that any amounts will be required to be paid under these guarantee arrangements.</w:t>
      </w:r>
    </w:p>
    <w:p>
      <w:pPr>
        <w:spacing w:after="0" w:line="164"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31" w:lineRule="exact"/>
        <w:rPr>
          <w:rFonts w:ascii="Arial" w:cs="Arial" w:eastAsia="Arial" w:hAnsi="Arial"/>
          <w:sz w:val="18"/>
          <w:szCs w:val="18"/>
          <w:b w:val="1"/>
          <w:bCs w:val="1"/>
          <w:color w:val="auto"/>
        </w:rPr>
      </w:pPr>
    </w:p>
    <w:p>
      <w:pPr>
        <w:ind w:left="540" w:right="6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October 21, 2003, the Cohu Board of Directors declared a $.05 per share cash dividend payable January 9, 2004 to stockholders of record on December 5, 2003.</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Form 10-Q reflect the good faith judgment of our management,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Cohu Annual Report on Form 10-K for the year ended December 31, 2002 filed with the Securities and Exchange Commission, affect the significant judgments and estimates used in the preparation of its consolidated financial statements.</w:t>
      </w:r>
    </w:p>
    <w:p>
      <w:pPr>
        <w:spacing w:after="0" w:line="168"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Cohu generally recognizes revenue upon shipment and title passage for established products (i.e., those that have previously satisfied</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 Cohu maintains an allowance for doubtful accounts for estimated losses resulting from the inability of its customers to make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If the financial condition of Cohu’s customers deteriorates, resulting in an impairment of their ability to make payments, additional allowances may be required.</w:t>
      </w:r>
    </w:p>
    <w:p>
      <w:pPr>
        <w:spacing w:after="0" w:line="186"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estimates are affected by</w:t>
      </w:r>
      <w:r>
        <w:rPr>
          <w:rFonts w:ascii="Arial" w:cs="Arial" w:eastAsia="Arial" w:hAnsi="Arial"/>
          <w:sz w:val="16"/>
          <w:szCs w:val="16"/>
          <w:b w:val="1"/>
          <w:b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Cohu records valuation reserves on its inventory for estimated excess and obsolete inventory equal to the difference between the cost of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estimated market value based upon assumptions about future product demand and market conditions. If future product demand or market conditions are less or more favorable than those projected by management or if continued modifications to products are required to meet specifications or other customer requirements, changes to inventory reserves may be required.</w:t>
      </w:r>
    </w:p>
    <w:p>
      <w:pPr>
        <w:spacing w:after="0" w:line="19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Cohu estimates income taxes based on the various jurisdictions where we conduct business. This requires us to estimate our actual current tax</w:t>
      </w:r>
      <w:r>
        <w:rPr>
          <w:rFonts w:ascii="Arial" w:cs="Arial" w:eastAsia="Arial" w:hAnsi="Arial"/>
          <w:sz w:val="16"/>
          <w:szCs w:val="16"/>
          <w:b w:val="1"/>
          <w:bCs w:val="1"/>
          <w:color w:val="auto"/>
        </w:rPr>
        <w:t xml:space="preserve"> </w:t>
      </w:r>
      <w:r>
        <w:rPr>
          <w:rFonts w:ascii="Arial" w:cs="Arial" w:eastAsia="Arial" w:hAnsi="Arial"/>
          <w:sz w:val="16"/>
          <w:szCs w:val="16"/>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deferred tax assets will not be realized. Establishing a valuation allowance or increasing this allowance in an accounting period results in tax expense in the statement of operations. Cohu must make significant judgments to determine the provision for income taxes, deferred tax assets and liabilities and any valuation allowance to be recorded against net deferred tax assets. Our net deferred tax asset balance as of December 31, 2002 was $6.1 million, net of a valuation allowance of $4.7 million. We recorded the valuation allowance in the fourth quarter of 2002 as a result of our recent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w:t>
      </w:r>
    </w:p>
    <w:p>
      <w:pPr>
        <w:spacing w:after="0" w:line="16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At September 30, 2003, intangible assets other than goodwill were evaluated for impairment using undiscounted cash flows expected to result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use of the assets as required by FASB Statement No. 144 and we concluded there was no impairment loss. Cohu was required to assess goodwill impairment in 2002 using the methodology prescribed by FASB Statement No. 142. Statement No. 142 requires that goodwill be tested for impairment on an annual basis and more frequently in certain circumstances. The required annual goodwill impairment test was performed as of October 1, 2002. Cohu did not recognize any goodwill impairment as a result of performing this annual test.</w:t>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Cohu is subject to certain contingencies that arise in the ordinary course of its businesses. In accordance with FASB Statement No. 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 Contingencies</w:t>
      </w:r>
      <w:r>
        <w:rPr>
          <w:rFonts w:ascii="Arial" w:cs="Arial" w:eastAsia="Arial" w:hAnsi="Arial"/>
          <w:sz w:val="18"/>
          <w:szCs w:val="18"/>
          <w:color w:val="auto"/>
        </w:rPr>
        <w:t>, we assess the likelihood that future events will confirm the existence of a loss or an impairment of an asset. If a loss or asset impairment is</w:t>
      </w:r>
      <w:r>
        <w:rPr>
          <w:rFonts w:ascii="Arial" w:cs="Arial" w:eastAsia="Arial" w:hAnsi="Arial"/>
          <w:sz w:val="18"/>
          <w:szCs w:val="18"/>
          <w:i w:val="1"/>
          <w:iCs w:val="1"/>
          <w:color w:val="auto"/>
        </w:rPr>
        <w:t xml:space="preserve"> </w:t>
      </w:r>
      <w:r>
        <w:rPr>
          <w:rFonts w:ascii="Arial" w:cs="Arial" w:eastAsia="Arial" w:hAnsi="Arial"/>
          <w:sz w:val="18"/>
          <w:szCs w:val="18"/>
          <w:color w:val="auto"/>
        </w:rPr>
        <w:t>probable, as defined in Statement No. 5 and the amount of the loss or impairment is reasonably estimable, we accrue a charge to operations in the period such conditions become known.</w:t>
      </w:r>
    </w:p>
    <w:p>
      <w:pPr>
        <w:spacing w:after="0" w:line="19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In June, 2002, the FASB issued Statement No. 146,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No. 146 addresses financial accounting and reporting for costs associated with exit or disposal activities and nullifies Emerging Issues Task Force Issue No. 94-3. The adoption of Statement No. 146 is effective for exit or disposal activities that are initiated after December 31, 2002, including Cohu’s recent Columbus, Ohio and Littleton, Massachusetts facilities consolidations.</w:t>
      </w:r>
    </w:p>
    <w:p>
      <w:pPr>
        <w:spacing w:after="0" w:line="19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In November, 2002, the FASB Emerging Issues Task Force (“EITF”) reached a consensus on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EITF Issue No. 00-21 provides guidance on how to account for arrangements that involve the delivery or performance of multiple products, services and/or rights to use assets. The provisions of EITF Issue No. 00-21 apply to revenue arrangements entered into in fiscal periods beginning after June 15, 2003. The adoption of EITF Issue No. 00-21 did not have a material effect on our results of operations and financial condition.</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January, 2003, the FASB issued FASB Interpretation No. 46 (“FIN 46”), </w:t>
      </w:r>
      <w:r>
        <w:rPr>
          <w:rFonts w:ascii="Arial" w:cs="Arial" w:eastAsia="Arial" w:hAnsi="Arial"/>
          <w:sz w:val="18"/>
          <w:szCs w:val="18"/>
          <w:i w:val="1"/>
          <w:iCs w:val="1"/>
          <w:color w:val="auto"/>
        </w:rPr>
        <w:t>Consolidation of Variable Interest Entities, an interpretation of ARB No. 51.</w:t>
      </w:r>
      <w:r>
        <w:rPr>
          <w:rFonts w:ascii="Arial" w:cs="Arial" w:eastAsia="Arial" w:hAnsi="Arial"/>
          <w:sz w:val="18"/>
          <w:szCs w:val="18"/>
          <w:color w:val="auto"/>
        </w:rPr>
        <w:t xml:space="preserve"> FIN 46 provides guidance on: 1) the identification of entities for which control is achieved through means other than through voting rights, known as “variable interest entities” (“VIEs”); and 2) which business enterprise is the primary beneficiary and when it should consolidate the VIE. This new model for consolidation applies to entities: 1) where the equity investors (if any) do not have a controlling financial interest; or 2) whose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FIN 46 is effective for all new VIEs created or acquired after January 31, 2003. For VIEs created or acquired prior to February 1, 2003, the provisions of FIN 46 must be applied no later than the end of periods ending after December 15, 2003. Certain disclosures are effective immediately. The adoption of FIN 46 is not expected to effect our results of operations or financial condition.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 xml:space="preserve">In April, 2003, the FASB issued Statement No. 149, </w:t>
      </w:r>
      <w:r>
        <w:rPr>
          <w:rFonts w:ascii="Arial" w:cs="Arial" w:eastAsia="Arial" w:hAnsi="Arial"/>
          <w:sz w:val="18"/>
          <w:szCs w:val="18"/>
          <w:i w:val="1"/>
          <w:iCs w:val="1"/>
          <w:color w:val="auto"/>
        </w:rPr>
        <w:t>Amendment of Statement 133 on Derivative Instruments and Hedging Activities</w:t>
      </w:r>
      <w:r>
        <w:rPr>
          <w:rFonts w:ascii="Arial" w:cs="Arial" w:eastAsia="Arial" w:hAnsi="Arial"/>
          <w:sz w:val="18"/>
          <w:szCs w:val="18"/>
          <w:color w:val="auto"/>
        </w:rPr>
        <w:t>. This statement provides clarification on the financial accounting and reporting of derivative instruments and hedging activities and requires contracts with similar characteristics to be accounted for on a comparable basis. The adoption of No. 149, which is be effective for contracts entered into or modified after June 30, 2003, had no material effect on our financial condition or results of operations.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May, 2003, the FASB issued Statement No. 150,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This statement establishes standards on the classification and measurement of financial instruments with characteristics of both liabilities and equity and is effective for financial instruments entered into or modified after May 31, 2003. The implementation of this pronouncement had no material effect on Cohu’s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Cohu’s primary business activity involves the development, manufacture, marketing and servicing of test handling equipment for the global semiconductor industry. Other businesses include closed circuit television, metal detection and microwave communications equipment.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results of operations for the periods described below, may not be indicative of future operating results. Certain matters discussed below, including expectations of market conditions, challenges and plans, are forward-looking statements that are subject to the risks and uncertainties noted herein. Such risks and uncertainties could cause actual results to differ materially from those projected.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2003 Compared to Third Quarter 2002</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Cohu continued to be impacted by the downturn in the semiconductor equipment industry that began in late 2000. Our net sales decreased 6% to $34.5 million in 2003, compared to net sales of $36.8 million in 2002. Sales of semiconductor test handling equipment in 2003 decreased 2% from the 2002 period and accounted for 82% of consolidated net sales in 2003, versus 79% in 2002. Sales of television cameras and other equipment accounted for 11% of net sales in 2003 and decreased 16% when compared to 2002, while the combined sales of metal detection and microwave equipment decreased 29%.</w:t>
      </w:r>
    </w:p>
    <w:p>
      <w:pPr>
        <w:spacing w:after="0" w:line="16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At September 30, 2003, the Company had deferred revenue totaling approximately $16.5 million and deferred profit of $7.8 million. At December 31, 2002, the Company had deferred revenue totaling approximately $9.8 million and deferred profit of $5.2 million. The increase in deferred revenue and profit is primarily related to the deferral of revenue on certain semiconductor test handler upgrades and new test handlers, including our new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and microwave communications equipment that have been shipped and installed and are awaiting customer acceptance</w:t>
      </w:r>
    </w:p>
    <w:p>
      <w:pPr>
        <w:spacing w:after="0" w:line="16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Gross margin as a percentage of net sales decreased to 30.5% in 2003 from 33.5% in 2002, primarily as a result of changes in product mix and the deferral of revenue under accounting requirements. Cohu computes the majority of its excess and obsolete inventory reserve requirements using a one-year inventory usage forecast. During 2003 and 2002, we recorded net charges to cost of sales of approximately $1.3 million and $1.5 million, respectively, primarily as a result of declines in customer forecasts for certain products and other business issues that negatively impacted our forecasted inventory usage. While we believe our reserves for excess and obsolete inventory are adequate to cover our known exposures at September 30, 2003, reductions in customer forecasts or continued modifications to products, including our recently introduced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 as a result of our failure to meet specifications or other customer requirements will result in additional charges to operations that could negatively impact our gross margin in future periods. Conversely, if our actual inventory usage is greater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than our forecasted usage, our gross margin in future periods may be favorably impacted.</w:t>
      </w:r>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Research and development expense (“R&amp;D”) as a percentage of net sales was 16.2% in 2003, compared to 22.1% in 2002, decreasing in absolute dollars from $8.1 million in 2002, to $5.6 million in 2003. The decrease in R&amp;D was primarily the result of lower R&amp;D material and labor costs for product development in the semiconductor equipment business resulting, in part, from the closure of the Company’s facility in Columbus, Ohio.</w:t>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Selling, general and administrative expense (“SG&amp;A”) as a percentage of net sales increased to 18.4% in 2003, from 16.3% in 2002, increasing from $6.0 million in 2002 to $6.3 million in 2003. The increase in SG&amp;A was primarily due to higher insurance costs.</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Interest income was $0.7 million and $0.6 million in 2003 and 2002, respectively. The increase in interest income was due to gains from securities sales of $0.3 million that were offset by lower interest rates in 2003.</w:t>
      </w:r>
    </w:p>
    <w:p>
      <w:pPr>
        <w:spacing w:after="0" w:line="18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benefit for income taxes expressed as a percentage of the pre-tax loss was 14.0% in 2003 and 51.9% in 2002. The benefit for income taxes is based on the estimated effective tax rate for the entire year and differs from the U.S federal statutory rate primarily due to tax credits and adjustments required to reconcile the benefit to the estimated annual effective rate. At December 31, 2002 and September 30, 2003, Cohu assessed the need for a valuation allowance on its deferred tax assets. Realization of the deferred tax assets is dependent upon the Company generating sufficient taxable income, in appropriate tax jurisdictions, in future years, to obtain benefit from the reversal of temporary differences and net operating tax loss and credit carryforwards. At December 31, 2002, the Company recorded a valuation allowance of approximately $4.7 million against deferred tax assets due to the uncertainties surrounding their realization. The amount of deferred tax assets considered realizable is subject to adjustment in future periods should Cohu determine that estimates of future taxable income are reduced or increased.</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April 10, 2003, Cohu announced that its Delta Design subsidiary was relocating its Littleton, Massachusetts operation to its headquarters facility in Poway, California. Cohu expects the consolidation to be completed by March, 2004. Cohu expects to incur charges in the fourth quarter of 2003 and first quarter of 2004 totaling approximately $1.0 million for severance and other related exit costs. The Company recorded charges to operations in the quarter ended September 30, 2003 totaling approximately $0.4 million primarily for severance.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$0.6 million in both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2003 Compared to Nine Months Ended September 30, 2002</w:t>
      </w:r>
    </w:p>
    <w:p>
      <w:pPr>
        <w:spacing w:after="0" w:line="231"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Our net sales decreased 8% to $97.7 million in 2003 compared to net sales of $106.7 million in 2002. Sales of semiconductor test handling equipment in 2003 decreased 8% from the 2002 period and accounted for 80% of consolidated net sales in 2003 versus 79% in 2002. Sales of television cameras and other equipment accounted for 12% of net sales in 2003 and decreased 5% while the combined sales of metal detection and microwave equipment decreased 15%.</w:t>
      </w:r>
    </w:p>
    <w:p>
      <w:pPr>
        <w:spacing w:after="0" w:line="14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Gross margin as a percentage of net sales decreased to 32.6% in 2003 from 37.3% in 2002 primarily as a result of lower margins in the semiconductor equipment business. Within the semiconductor equipment segment, margins decreased in 2003 primarily as a result of a slight reduction in business volume, changes in product mix, the deferral of revenue under accounting requirements and provisions for excess and obsolete inventory. During 2003, we recorded charges totaling approximately $4.3 million versus $1.7 million in 2002 for excess and obsolete inventory primarily as a result of changes in customer forecasts and other business issues that negatively impacted our forecasted inventory usage.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Research and development expense as a percentage of net sales was 18.5% in 2003, compared to 22.6% in 2002, decreasing from $24.1 million to $18.1 million, primarily due to lower R&amp;D labor and material costs as a result of the closure of the Company’s operations in Columbus, Ohio.</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SG&amp;A expense as a percentage of net sales increased to 18.7% in 2003 from 17.4% in 2002 primarily as a result of the reduction in business volume.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$1.8 million and $2.1 million in 2003 and 2002, respectively. The decline in interest income was due to lower interest rates.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provision (benefit) for income taxes expressed as a percentage of pre-tax income was 22.1% for the first nine months of 2003 and (56.2)% in 2002. The provision (benefit) for income taxes is based on the estimated effective tax rate for the entire year and differs from the U.S federal statutory rate primarily due to tax credits.</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December, 2002, Cohu invested $2.5 million in KryoTech, Inc. preferred stock. Cohu may invest an additional $2.5 million in KryoTech subject to the successful completion of a joint development program between the companies and the satisfaction of certain other conditions. Cohu is accounting for its less than 10% ownership interest in KryoTech under the cost method. It is not currently known when or if Cohu will make the second $2.5 million investment in KryoTech. In the quarter ended June 30, 2003, the Company wrote off the investment and recorded a $2.5 million charge to operating results as the investment was deemed impaired and such impairment was considered other than temporary, pursuant to APB No. 18.</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April, 2003, Cohu’s Delta Design subsidiary completed the relocation of its Columbus, Ohio operations to its headquarters facility in Poway, California. The consolidation is expected to reduce costs without impacting the revenue generating activities of Delta Design. The Company recorded charges to operations in the quarter ended March 31, 2003, totaling $0.6 million for severance and one-time termination benefits and $0.1 million for contract termination costs primarily related to the leased facility. Exit related costs charged to operations subsequent to the quarter ended March 31, 2003 were not significant.</w:t>
      </w:r>
    </w:p>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the net loss was $0.3 million in 2002 compared to net income of $2.1 million in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Our net cash flows used for operating activities in the first nine months of 2003 totaled $8.7 million. The major components of cash flows used for operating activities were net income of $2.1 million, offset by a $7.9 million gain from the sale of land and a $2.5 million investment writedown, the net change in current assets and liabilities totaling $8.8 million, and depreciation and amortization of $3.1 million. Net cash used for investing activities included $27.4 million for the purchase of short-term investments, less sales and maturities, and purchases of property, plant and equipment and other assets of $1.1 million offset by a</w:t>
      </w:r>
    </w:p>
    <w:p>
      <w:pPr>
        <w:spacing w:after="0" w:line="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$0.2 million payment on a note receivable and net proceeds of $8.8 million from the sale of land. Cash provided by financing activities included $4.8 million received from the issuance of stock upon the exercise of stock options offset by $3.2 million for the payment of dividends. Cohu has a $5 million bank line of credit, of which approximately $2.5 million has been allocated to outstanding standby letters of credit, and working capital of $149.9 million at September 30, 2003. Future calendar year minimum payments on operating leases as of September 30, 2003, are: 2003 - $245,000; 2004 - $951,000; 2005 - $713,000; 2006 - $34,000; 2007 - $23,000; totaling $1,966,000. It is anticipated that present working capital and available borrowings under the line of credit will be sufficient to meet our operating requirements for at least the next twelve months.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2002 and 2003.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and reserve requirements. In the nine months ended September 30, 2003 and the years ended December 31, 2002 and 2001, we recorded pretax net inventory-related charges of approximately $4.3 million, $2.5 million and $15.9 million, respectively, primarily as a result of changes in customer forecasts.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a limited number of customers for a substantial percentage of our net sales. In the year ended December 31, 2002, two customers of the semiconductor equipment segment accounted for 53% (44% in 2001, and 38% in 2000)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cost of our existing products and successfully introduce new lower cost products we expect these competitive conditions to negatively impact our gross margin and operating results for the foreseeable future.</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recently introduced Delta </w:t>
      </w:r>
      <w:r>
        <w:rPr>
          <w:rFonts w:ascii="Arial" w:cs="Arial" w:eastAsia="Arial" w:hAnsi="Arial"/>
          <w:sz w:val="16"/>
          <w:szCs w:val="16"/>
          <w:b w:val="1"/>
          <w:bCs w:val="1"/>
          <w:i w:val="1"/>
          <w:iCs w:val="1"/>
          <w:color w:val="auto"/>
        </w:rPr>
        <w:t>EDGE</w:t>
      </w:r>
      <w:r>
        <w:rPr>
          <w:rFonts w:ascii="Arial" w:cs="Arial" w:eastAsia="Arial" w:hAnsi="Arial"/>
          <w:sz w:val="16"/>
          <w:szCs w:val="16"/>
          <w:b w:val="1"/>
          <w:bCs w:val="1"/>
          <w:color w:val="auto"/>
        </w:rPr>
        <w:t>™</w:t>
      </w:r>
      <w:r>
        <w:rPr>
          <w:rFonts w:ascii="Arial" w:cs="Arial" w:eastAsia="Arial" w:hAnsi="Arial"/>
          <w:sz w:val="16"/>
          <w:szCs w:val="16"/>
          <w:color w:val="auto"/>
        </w:rPr>
        <w:t xml:space="preserve"> handler, are likely to adversely impact sales 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the first three quarters of 2001 and the second and third quarter of 2003. Future inventory write-offs and increased inventory reserve requirements could have a material adverse impact on our results of operations and financial condition.</w:t>
      </w:r>
    </w:p>
    <w:p>
      <w:pPr>
        <w:spacing w:after="0" w:line="17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which are as evident today as they have been in the past,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transition from product development to the manufacture of new semiconductor equipment is a difficult process and delays in product introductions and problems in manufacturing such equipment are common. We have in the past and continue to experience difficulties in manufacturing and volume production of our new test handlers including our latest product offering, the Delta </w:t>
      </w:r>
      <w:r>
        <w:rPr>
          <w:rFonts w:ascii="Arial" w:cs="Arial" w:eastAsia="Arial" w:hAnsi="Arial"/>
          <w:sz w:val="18"/>
          <w:szCs w:val="18"/>
          <w:b w:val="1"/>
          <w:bCs w:val="1"/>
          <w:i w:val="1"/>
          <w:iCs w:val="1"/>
          <w:color w:val="auto"/>
        </w:rPr>
        <w:t>EDGE</w:t>
      </w:r>
      <w:r>
        <w:rPr>
          <w:rFonts w:ascii="Arial" w:cs="Arial" w:eastAsia="Arial" w:hAnsi="Arial"/>
          <w:sz w:val="18"/>
          <w:szCs w:val="18"/>
          <w:b w:val="1"/>
          <w:bCs w:val="1"/>
          <w:color w:val="auto"/>
        </w:rPr>
        <w:t>™</w:t>
      </w:r>
      <w:r>
        <w:rPr>
          <w:rFonts w:ascii="Arial" w:cs="Arial" w:eastAsia="Arial" w:hAnsi="Arial"/>
          <w:sz w:val="18"/>
          <w:szCs w:val="18"/>
          <w:color w:val="auto"/>
        </w:rPr>
        <w:t>.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Cohu has made, and may in the future make, acquisitions of, or significant investments in, businesses with complementary products, services and/or technologies. In July, 2001, Cohu acquired the assets of the Automated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Systems business from Schlumberger Technologies, Inc. for $14.2 million in cash. A significant portion of the purchase price was allocated to goodwill and other intangible assets. In the fourth quarter of 2002, Cohu invested $2.5 million in KryoTech, Inc. preferred stock, that was written off in June, 2003, and $1.7 million in intangible assets for certain technology.</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and goodwill that could result in significant charges to operating results in future periods. In addition, such acquisitions or investments may result in immediate charges to operating results. Mergers, acquisitions and investments are inherently risky and the inability to effectively manage these risks could materially and adversely affect Cohu’s business, financial condition and results of operations.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We have taken and will continue to assess the need to take remedial measures to address the slowdown in the market for our products. In particular, we reduced our workforce, including reductions in September and October, 2002 and January and March, 2003, delayed salary increases, reduced senior executives’ pay, implemented furloughs, announced facilities consolidations and reduced expense budgets. In January and April, 2003, we announced the consolidation of Delta Design’s Columbus, Ohio and Littleton, Massachusetts operations into our Poway, California facility. Further workforce reductions are possible if the current worldwide slowdown in demand for high technology products persists. Each of these measures could have long-term effects on our business by reducing our pool of technical talent, decreasing or slowing improvements in our products and making it more difficult for us to respond to customers needs.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September 30, 2003, may not be a reliable indicator of revenues in future periods due to delayed delivery dates or customer requested changes to delivery schedules, order cancellations and delays in recognizing revenue due to accounting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continued in the third and fourth quarter of 2002 and January and March, 2003. In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January and April, 2003, we announced the consolidation of Delta Design’s Columbus, Ohio and Littleton, Massachusetts operations into our Poway, California facility.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Pick-and-place IC handlers used in DRAM applications account for a significant portion of the worldwide IC handler market and Cohu’s market share in the DRAM segment is negligible. While Cohu’s share of the gravity-feed handler market is negligible, such handlers are used in numerous non DRAM applications and continue to represent a significant portion of the worldwide test handler market. Our failure to participate in the DRAM and/or gravity-feed market segments limits our total available sales market and as a result our business and results of operations have been and will continue to be negatively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year ended December 31, 2002, 63% of our total net sales were exported to foreign countries, including 76%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and are not profitable.</w:t>
      </w:r>
    </w:p>
    <w:p>
      <w:pPr>
        <w:spacing w:after="0" w:line="22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In addition, the FASB recently advocated changing the accounting for stock-based compensation requiring the recognition of compensation expense. Such changes could result in additional adjustments to our results of operations that may be reflected in future periods.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$30.65 to $9.78.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proposed changes in securities laws and regulations are likely to increase our costs.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Sarbanes-Oxley Act of 2002 (“SOX”) that became law in July, 2002, requires changes in some of our corporate governance and securities disclosure or compliance practices. SOX also requires the SEC to promulgate new rules on a variety of subjects, in addition to rule proposals already made, and Nasdaq has proposed revisions to its requirements for companies that are Nasdaq-listed. In June, 2003 the SEC adopted certain rules as directed by Section 404 of the SOX. These rules require that publicly-held companies, including Cohu, include in their annual report to shareholders a report of management on the company’s internal control over financial reporting. Our independent auditors will be required to attest to management’s assessment of internal controls over financial reporting. Cohu will be required to comply with this new requirement in its annual report for the year ended December 31, 2004. If our financial reporting controls are not deemed effective, there will be an adverse impact on our reputation that could negatively impact our business.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also expect these developments to increase our legal and accounting compliance costs, and to make some activities more difficult, such as stockholder approval of new stock option plans. We also expect these developments to make it more difficult and more expensive for us to obtain director and officer liability insurance, and we may be required to accept reduced coverage or incur substantially higher costs to obtain coverage. These 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outbreak of SARS in Asia and geopolitical instability caused by terrorist attacks and threats may adversely impact our operations and sales.</w:t>
      </w:r>
    </w:p>
    <w:p>
      <w:pPr>
        <w:spacing w:after="0" w:line="24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Asian sales and service headquarters is located in Singapore and the majority of our sales are made to destinations in Asia. In addition, we recently obtained approval to organize a business in the Philippines to fabricate certain component parts used in our semiconductor test handlers. Our operations and sales in this region may be adversely impacted by Severe Acute Respiratory Syndrome, or SARS, if our business or the businesses of our customers are disrupted by travel restrictions or the illness and quarantine of employees. Furthermore, continued terrorist attacks or threats may cause increased geopolitical instability that may have an adverse effect on the world economy and our business.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2002 Annual Report on Form 10-K, that could cause actual results to differ materially from those projected or forecasted. Cohu undertakes no obligation to update the information, including the forward-looking statements, in this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Interest rate risk.</w:t>
      </w:r>
    </w:p>
    <w:p>
      <w:pPr>
        <w:spacing w:after="0" w:line="19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September 30, 2003 our investment portfolio includes fixed-income securities with a fair value of approximately $101.5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Foreign currency exchange risk.</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Part II</w:t>
        <w:tab/>
        <w:t>OTHER INFORMATION</w:t>
      </w:r>
    </w:p>
    <w:p>
      <w:pPr>
        <w:spacing w:after="0" w:line="1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1160"/>
        <w:spacing w:after="0" w:line="290" w:lineRule="auto"/>
        <w:rPr>
          <w:sz w:val="20"/>
          <w:szCs w:val="20"/>
          <w:color w:val="auto"/>
        </w:rPr>
      </w:pPr>
      <w:r>
        <w:rPr>
          <w:rFonts w:ascii="Arial" w:cs="Arial" w:eastAsia="Arial" w:hAnsi="Arial"/>
          <w:sz w:val="16"/>
          <w:szCs w:val="16"/>
          <w:color w:val="auto"/>
        </w:rPr>
        <w:t>On August 17, 2001, Broadcast Microwave Services, Inc. (“BMS”), a wholly owned subsidiary of Cohu, Inc.,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scheduled for January, 2004. Although the outcome of any litigation cannot be predicted with certainty, Cohu believes the plaintiff’s claims against BMS are without merit and that the resolution of the case will not have a material adverse effect on Cohu’s financial position or results of operations.</w:t>
      </w:r>
    </w:p>
    <w:p>
      <w:pPr>
        <w:spacing w:after="0" w:line="172" w:lineRule="exact"/>
        <w:rPr>
          <w:sz w:val="20"/>
          <w:szCs w:val="20"/>
          <w:color w:val="auto"/>
        </w:rPr>
      </w:pPr>
    </w:p>
    <w:p>
      <w:pPr>
        <w:ind w:left="1160" w:right="140"/>
        <w:spacing w:after="0" w:line="306" w:lineRule="auto"/>
        <w:rPr>
          <w:sz w:val="20"/>
          <w:szCs w:val="20"/>
          <w:color w:val="auto"/>
        </w:rPr>
      </w:pPr>
      <w:r>
        <w:rPr>
          <w:rFonts w:ascii="Arial" w:cs="Arial" w:eastAsia="Arial" w:hAnsi="Arial"/>
          <w:sz w:val="16"/>
          <w:szCs w:val="16"/>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1000" w:type="dxa"/>
            <w:vAlign w:val="bottom"/>
          </w:tcPr>
          <w:p>
            <w:pPr>
              <w:jc w:val="right"/>
              <w:ind w:right="52"/>
              <w:spacing w:after="0"/>
              <w:rPr>
                <w:sz w:val="20"/>
                <w:szCs w:val="20"/>
                <w:color w:val="auto"/>
              </w:rPr>
            </w:pPr>
            <w:r>
              <w:rPr>
                <w:rFonts w:ascii="Arial" w:cs="Arial" w:eastAsia="Arial" w:hAnsi="Arial"/>
                <w:sz w:val="18"/>
                <w:szCs w:val="18"/>
                <w:color w:val="auto"/>
                <w:w w:val="88"/>
              </w:rPr>
              <w:t>(a) Exhibits:</w:t>
            </w:r>
          </w:p>
        </w:tc>
        <w:tc>
          <w:tcPr>
            <w:tcW w:w="500" w:type="dxa"/>
            <w:vAlign w:val="bottom"/>
          </w:tcPr>
          <w:p>
            <w:pPr>
              <w:spacing w:after="0"/>
              <w:rPr>
                <w:sz w:val="19"/>
                <w:szCs w:val="19"/>
                <w:color w:val="auto"/>
              </w:rPr>
            </w:pPr>
          </w:p>
        </w:tc>
        <w:tc>
          <w:tcPr>
            <w:tcW w:w="8760" w:type="dxa"/>
            <w:vAlign w:val="bottom"/>
          </w:tcPr>
          <w:p>
            <w:pPr>
              <w:spacing w:after="0"/>
              <w:rPr>
                <w:sz w:val="19"/>
                <w:szCs w:val="19"/>
                <w:color w:val="auto"/>
              </w:rPr>
            </w:pPr>
          </w:p>
        </w:tc>
      </w:tr>
      <w:tr>
        <w:trPr>
          <w:trHeight w:val="628"/>
        </w:trPr>
        <w:tc>
          <w:tcPr>
            <w:tcW w:w="100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w w:val="92"/>
              </w:rPr>
              <w:t>Amended and Restated Certificate of Incorporation of Cohu, Inc. incorporated herein by reference to Exhibit 3.1(a)</w:t>
            </w:r>
          </w:p>
        </w:tc>
      </w:tr>
      <w:tr>
        <w:trPr>
          <w:trHeight w:val="222"/>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760" w:type="dxa"/>
            <w:vAlign w:val="bottom"/>
          </w:tcPr>
          <w:p>
            <w:pPr>
              <w:ind w:left="300"/>
              <w:spacing w:after="0"/>
              <w:rPr>
                <w:sz w:val="20"/>
                <w:szCs w:val="20"/>
                <w:color w:val="auto"/>
              </w:rPr>
            </w:pPr>
            <w:r>
              <w:rPr>
                <w:rFonts w:ascii="Arial" w:cs="Arial" w:eastAsia="Arial" w:hAnsi="Arial"/>
                <w:sz w:val="18"/>
                <w:szCs w:val="18"/>
                <w:color w:val="auto"/>
              </w:rPr>
              <w:t>from the Cohu, Inc. Form 10-Q for the quarterly period ended June 30, 1999</w:t>
            </w:r>
          </w:p>
        </w:tc>
      </w:tr>
      <w:tr>
        <w:trPr>
          <w:trHeight w:val="426"/>
        </w:trPr>
        <w:tc>
          <w:tcPr>
            <w:tcW w:w="1000" w:type="dxa"/>
            <w:vAlign w:val="bottom"/>
          </w:tcPr>
          <w:p>
            <w:pPr>
              <w:jc w:val="right"/>
              <w:ind w:right="132"/>
              <w:spacing w:after="0"/>
              <w:rPr>
                <w:sz w:val="20"/>
                <w:szCs w:val="20"/>
                <w:color w:val="auto"/>
              </w:rPr>
            </w:pPr>
            <w:r>
              <w:rPr>
                <w:rFonts w:ascii="Arial" w:cs="Arial" w:eastAsia="Arial" w:hAnsi="Arial"/>
                <w:sz w:val="18"/>
                <w:szCs w:val="18"/>
                <w:color w:val="auto"/>
              </w:rPr>
              <w:t>3.1(a)</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w w:val="91"/>
              </w:rPr>
              <w:t>Certificate of Amendment of Amended and Restated Certificate of Incorporation of Cohu, Inc. incorporated herein by</w:t>
            </w:r>
          </w:p>
        </w:tc>
      </w:tr>
      <w:tr>
        <w:trPr>
          <w:trHeight w:val="222"/>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760" w:type="dxa"/>
            <w:vAlign w:val="bottom"/>
          </w:tcPr>
          <w:p>
            <w:pPr>
              <w:ind w:left="300"/>
              <w:spacing w:after="0"/>
              <w:rPr>
                <w:sz w:val="20"/>
                <w:szCs w:val="20"/>
                <w:color w:val="auto"/>
              </w:rPr>
            </w:pPr>
            <w:r>
              <w:rPr>
                <w:rFonts w:ascii="Arial" w:cs="Arial" w:eastAsia="Arial" w:hAnsi="Arial"/>
                <w:sz w:val="18"/>
                <w:szCs w:val="18"/>
                <w:color w:val="auto"/>
              </w:rPr>
              <w:t>reference from the Cohu, Inc. Form S-8 filed June 30, 2000, Exhibit 4.1(a)</w:t>
            </w:r>
          </w:p>
        </w:tc>
      </w:tr>
      <w:tr>
        <w:trPr>
          <w:trHeight w:val="426"/>
        </w:trPr>
        <w:tc>
          <w:tcPr>
            <w:tcW w:w="100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w w:val="88"/>
              </w:rPr>
              <w:t>Amended and Restated Bylaws of Cohu, Inc. incorporated herein by reference to Exhibit 3.2 from the Cohu, Inc. Report</w:t>
            </w:r>
          </w:p>
        </w:tc>
      </w:tr>
      <w:tr>
        <w:trPr>
          <w:trHeight w:val="222"/>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760" w:type="dxa"/>
            <w:vAlign w:val="bottom"/>
          </w:tcPr>
          <w:p>
            <w:pPr>
              <w:ind w:left="300"/>
              <w:spacing w:after="0"/>
              <w:rPr>
                <w:sz w:val="20"/>
                <w:szCs w:val="20"/>
                <w:color w:val="auto"/>
              </w:rPr>
            </w:pPr>
            <w:r>
              <w:rPr>
                <w:rFonts w:ascii="Arial" w:cs="Arial" w:eastAsia="Arial" w:hAnsi="Arial"/>
                <w:sz w:val="18"/>
                <w:szCs w:val="18"/>
                <w:color w:val="auto"/>
              </w:rPr>
              <w:t>on Form 8-K filed with the Securities and Exchange Commission on December 12, 1996</w:t>
            </w:r>
          </w:p>
        </w:tc>
      </w:tr>
      <w:tr>
        <w:trPr>
          <w:trHeight w:val="426"/>
        </w:trPr>
        <w:tc>
          <w:tcPr>
            <w:tcW w:w="100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w w:val="93"/>
              </w:rPr>
              <w:t>Rights Agreement dated November 15, 1996, between Cohu, Inc. and ChaseMellon Shareholder Services, L.L.C.,</w:t>
            </w:r>
          </w:p>
        </w:tc>
      </w:tr>
      <w:tr>
        <w:trPr>
          <w:trHeight w:val="222"/>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760" w:type="dxa"/>
            <w:vAlign w:val="bottom"/>
          </w:tcPr>
          <w:p>
            <w:pPr>
              <w:ind w:left="300"/>
              <w:spacing w:after="0"/>
              <w:rPr>
                <w:sz w:val="20"/>
                <w:szCs w:val="20"/>
                <w:color w:val="auto"/>
              </w:rPr>
            </w:pPr>
            <w:r>
              <w:rPr>
                <w:rFonts w:ascii="Arial" w:cs="Arial" w:eastAsia="Arial" w:hAnsi="Arial"/>
                <w:sz w:val="18"/>
                <w:szCs w:val="18"/>
                <w:color w:val="auto"/>
                <w:w w:val="96"/>
              </w:rPr>
              <w:t>incorporated herein by reference from the Cohu, Inc. Report on Form 8-K filed December 12, 1996, Exhibit 4.1</w:t>
            </w:r>
          </w:p>
        </w:tc>
      </w:tr>
      <w:tr>
        <w:trPr>
          <w:trHeight w:val="432"/>
        </w:trPr>
        <w:tc>
          <w:tcPr>
            <w:tcW w:w="1000" w:type="dxa"/>
            <w:vAlign w:val="bottom"/>
          </w:tcPr>
          <w:p>
            <w:pPr>
              <w:jc w:val="right"/>
              <w:ind w:right="332"/>
              <w:spacing w:after="0"/>
              <w:rPr>
                <w:sz w:val="20"/>
                <w:szCs w:val="20"/>
                <w:color w:val="auto"/>
              </w:rPr>
            </w:pPr>
            <w:r>
              <w:rPr>
                <w:rFonts w:ascii="Arial" w:cs="Arial" w:eastAsia="Arial" w:hAnsi="Arial"/>
                <w:sz w:val="18"/>
                <w:szCs w:val="18"/>
                <w:color w:val="auto"/>
              </w:rPr>
              <w:t>31.1</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00" w:type="dxa"/>
            <w:vAlign w:val="bottom"/>
          </w:tcPr>
          <w:p>
            <w:pPr>
              <w:jc w:val="right"/>
              <w:ind w:right="332"/>
              <w:spacing w:after="0"/>
              <w:rPr>
                <w:sz w:val="20"/>
                <w:szCs w:val="20"/>
                <w:color w:val="auto"/>
              </w:rPr>
            </w:pPr>
            <w:r>
              <w:rPr>
                <w:rFonts w:ascii="Arial" w:cs="Arial" w:eastAsia="Arial" w:hAnsi="Arial"/>
                <w:sz w:val="18"/>
                <w:szCs w:val="18"/>
                <w:color w:val="auto"/>
              </w:rPr>
              <w:t>31.2</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0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00" w:type="dxa"/>
            <w:vAlign w:val="bottom"/>
          </w:tcPr>
          <w:p>
            <w:pPr>
              <w:jc w:val="right"/>
              <w:ind w:right="332"/>
              <w:spacing w:after="0"/>
              <w:rPr>
                <w:sz w:val="20"/>
                <w:szCs w:val="20"/>
                <w:color w:val="auto"/>
              </w:rPr>
            </w:pPr>
            <w:r>
              <w:rPr>
                <w:rFonts w:ascii="Arial" w:cs="Arial" w:eastAsia="Arial" w:hAnsi="Arial"/>
                <w:sz w:val="18"/>
                <w:szCs w:val="18"/>
                <w:color w:val="auto"/>
              </w:rPr>
              <w:t>32.2</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76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169" w:lineRule="exact"/>
        <w:rPr>
          <w:sz w:val="20"/>
          <w:szCs w:val="20"/>
          <w:color w:val="auto"/>
        </w:rPr>
      </w:pPr>
    </w:p>
    <w:p>
      <w:pPr>
        <w:ind w:left="1700" w:right="320" w:hanging="558"/>
        <w:spacing w:after="0" w:line="268"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on Form 8-K: The Company filed a report on Form 8-K with the Securities and Exchange Commission on July 25, 2003. The Form 8-K included the Cohu, Inc. second quarter 2003 Earnings Release, dated July 23, 2003.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October 24, 2003</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October 24, 2003</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Finance &amp; Chief Financial Officer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582"/>
        </w:trPr>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80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9800" w:type="dxa"/>
            <w:vAlign w:val="bottom"/>
            <w:tcBorders>
              <w:bottom w:val="single" w:sz="8" w:color="808080"/>
            </w:tcBorders>
          </w:tcPr>
          <w:p>
            <w:pPr>
              <w:spacing w:after="0"/>
              <w:rPr>
                <w:sz w:val="8"/>
                <w:szCs w:val="8"/>
                <w:color w:val="auto"/>
              </w:rPr>
            </w:pPr>
          </w:p>
        </w:tc>
      </w:tr>
      <w:tr>
        <w:trPr>
          <w:trHeight w:val="30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3.1(a)</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Certificate of Amendment of Amended and Restated Certificate of Incorporation of Cohu, Inc. incorporated herein by reference from the</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Amended and Restated Bylaws of Cohu, Inc. incorporated herein by reference to Exhibit 3.2 from the Cohu, Inc. Report on Form 8-K filed</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Rights Agreement dated November 15, 1996, between Cohu, Inc. and ChaseMellon Shareholder Services, L.L.C., incorporated herein by</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372" w:right="239" w:bottom="1440" w:gutter="0" w:footer="0" w:header="0"/>
        </w:sectPr>
      </w:pPr>
    </w:p>
    <w:bookmarkStart w:id="30" w:name="page31"/>
    <w:bookmarkEnd w:id="30"/>
    <w:p>
      <w:pPr>
        <w:jc w:val="right"/>
        <w:ind w:right="3719"/>
        <w:spacing w:after="0"/>
        <w:rPr>
          <w:sz w:val="20"/>
          <w:szCs w:val="20"/>
          <w:color w:val="auto"/>
        </w:rPr>
      </w:pPr>
      <w:r>
        <w:rPr>
          <w:rFonts w:ascii="Courier New" w:cs="Courier New" w:eastAsia="Courier New" w:hAnsi="Courier New"/>
          <w:sz w:val="14"/>
          <w:szCs w:val="14"/>
          <w:color w:val="auto"/>
        </w:rPr>
        <w:t>Exhibit 31.1</w:t>
      </w:r>
    </w:p>
    <w:p>
      <w:pPr>
        <w:spacing w:after="0" w:line="13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COHU, INC.</w:t>
      </w:r>
    </w:p>
    <w:p>
      <w:pPr>
        <w:jc w:val="center"/>
        <w:ind w:right="3639"/>
        <w:spacing w:after="0" w:line="224" w:lineRule="auto"/>
        <w:rPr>
          <w:sz w:val="20"/>
          <w:szCs w:val="20"/>
          <w:color w:val="auto"/>
        </w:rPr>
      </w:pPr>
      <w:r>
        <w:rPr>
          <w:rFonts w:ascii="Courier New" w:cs="Courier New" w:eastAsia="Courier New" w:hAnsi="Courier New"/>
          <w:sz w:val="14"/>
          <w:szCs w:val="14"/>
          <w:color w:val="auto"/>
        </w:rPr>
        <w:t>SARBANES-OXLEY ACT SECTION 302(a)</w:t>
      </w:r>
    </w:p>
    <w:p>
      <w:pPr>
        <w:jc w:val="center"/>
        <w:ind w:right="3639"/>
        <w:spacing w:after="0" w:line="231" w:lineRule="auto"/>
        <w:rPr>
          <w:sz w:val="20"/>
          <w:szCs w:val="20"/>
          <w:color w:val="auto"/>
        </w:rPr>
      </w:pPr>
      <w:r>
        <w:rPr>
          <w:rFonts w:ascii="Courier New" w:cs="Courier New" w:eastAsia="Courier New" w:hAnsi="Courier New"/>
          <w:sz w:val="14"/>
          <w:szCs w:val="14"/>
          <w:color w:val="auto"/>
        </w:rPr>
        <w:t>CERTIFICATION</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James A. Donahue, certify that:</w:t>
      </w:r>
    </w:p>
    <w:p>
      <w:pPr>
        <w:spacing w:after="0" w:line="139" w:lineRule="exact"/>
        <w:rPr>
          <w:sz w:val="20"/>
          <w:szCs w:val="20"/>
          <w:color w:val="auto"/>
        </w:rPr>
      </w:pPr>
    </w:p>
    <w:p>
      <w:pPr>
        <w:ind w:left="740" w:hanging="489"/>
        <w:spacing w:after="0"/>
        <w:tabs>
          <w:tab w:leader="none" w:pos="7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Form 10-Q of Cohu, Inc.;</w:t>
      </w:r>
    </w:p>
    <w:p>
      <w:pPr>
        <w:spacing w:after="0" w:line="144" w:lineRule="exact"/>
        <w:rPr>
          <w:rFonts w:ascii="Courier New" w:cs="Courier New" w:eastAsia="Courier New" w:hAnsi="Courier New"/>
          <w:sz w:val="14"/>
          <w:szCs w:val="14"/>
          <w:color w:val="auto"/>
        </w:rPr>
      </w:pPr>
    </w:p>
    <w:p>
      <w:pPr>
        <w:ind w:left="740" w:right="3719" w:hanging="489"/>
        <w:spacing w:after="0" w:line="225" w:lineRule="auto"/>
        <w:tabs>
          <w:tab w:leader="none" w:pos="7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Courier New" w:cs="Courier New" w:eastAsia="Courier New" w:hAnsi="Courier New"/>
          <w:sz w:val="14"/>
          <w:szCs w:val="14"/>
          <w:color w:val="auto"/>
        </w:rPr>
      </w:pPr>
    </w:p>
    <w:p>
      <w:pPr>
        <w:ind w:left="740" w:right="3719" w:hanging="489"/>
        <w:spacing w:after="0" w:line="272" w:lineRule="auto"/>
        <w:tabs>
          <w:tab w:leader="none" w:pos="74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Courier New" w:cs="Courier New" w:eastAsia="Courier New" w:hAnsi="Courier New"/>
          <w:sz w:val="12"/>
          <w:szCs w:val="12"/>
          <w:color w:val="auto"/>
        </w:rPr>
      </w:pPr>
    </w:p>
    <w:p>
      <w:pPr>
        <w:ind w:left="740" w:hanging="489"/>
        <w:spacing w:after="0"/>
        <w:tabs>
          <w:tab w:leader="none" w:pos="7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w:t>
      </w:r>
    </w:p>
    <w:p>
      <w:pPr>
        <w:ind w:left="740" w:right="3719"/>
        <w:spacing w:after="0" w:line="22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establishing and maintaining disclosure controls and procedures (as defined in Exchange Act Rules 13a-15(e) and 15d-15(e)) for the registrant and have:</w:t>
      </w:r>
    </w:p>
    <w:p>
      <w:pPr>
        <w:spacing w:after="0" w:line="146" w:lineRule="exact"/>
        <w:rPr>
          <w:rFonts w:ascii="Courier New" w:cs="Courier New" w:eastAsia="Courier New" w:hAnsi="Courier New"/>
          <w:sz w:val="14"/>
          <w:szCs w:val="14"/>
          <w:color w:val="auto"/>
        </w:rPr>
      </w:pPr>
    </w:p>
    <w:p>
      <w:pPr>
        <w:ind w:left="1140" w:right="3719" w:firstLine="2"/>
        <w:spacing w:after="0" w:line="225" w:lineRule="auto"/>
        <w:tabs>
          <w:tab w:leader="none" w:pos="1464"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Courier New" w:cs="Courier New" w:eastAsia="Courier New" w:hAnsi="Courier New"/>
          <w:sz w:val="14"/>
          <w:szCs w:val="14"/>
          <w:color w:val="auto"/>
        </w:rPr>
      </w:pPr>
    </w:p>
    <w:p>
      <w:pPr>
        <w:ind w:left="1140" w:right="3719" w:firstLine="2"/>
        <w:spacing w:after="0" w:line="225" w:lineRule="auto"/>
        <w:tabs>
          <w:tab w:leader="none" w:pos="1464"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Courier New" w:cs="Courier New" w:eastAsia="Courier New" w:hAnsi="Courier New"/>
          <w:sz w:val="14"/>
          <w:szCs w:val="14"/>
          <w:color w:val="auto"/>
        </w:rPr>
      </w:pPr>
    </w:p>
    <w:p>
      <w:pPr>
        <w:ind w:left="1140" w:right="3719" w:firstLine="2"/>
        <w:spacing w:after="0" w:line="268" w:lineRule="auto"/>
        <w:tabs>
          <w:tab w:leader="none" w:pos="1464" w:val="left"/>
        </w:tabs>
        <w:numPr>
          <w:ilvl w:val="1"/>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Courier New" w:cs="Courier New" w:eastAsia="Courier New" w:hAnsi="Courier New"/>
          <w:sz w:val="12"/>
          <w:szCs w:val="12"/>
          <w:color w:val="auto"/>
        </w:rPr>
      </w:pPr>
    </w:p>
    <w:p>
      <w:pPr>
        <w:ind w:left="740" w:right="3819" w:hanging="489"/>
        <w:spacing w:after="0" w:line="225" w:lineRule="auto"/>
        <w:tabs>
          <w:tab w:leader="none" w:pos="7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Courier New" w:cs="Courier New" w:eastAsia="Courier New" w:hAnsi="Courier New"/>
          <w:sz w:val="14"/>
          <w:szCs w:val="14"/>
          <w:color w:val="auto"/>
        </w:rPr>
      </w:pPr>
    </w:p>
    <w:p>
      <w:pPr>
        <w:ind w:left="1140" w:right="3899" w:firstLine="2"/>
        <w:spacing w:after="0" w:line="225" w:lineRule="auto"/>
        <w:tabs>
          <w:tab w:leader="none" w:pos="1464"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Courier New" w:cs="Courier New" w:eastAsia="Courier New" w:hAnsi="Courier New"/>
          <w:sz w:val="14"/>
          <w:szCs w:val="14"/>
          <w:color w:val="auto"/>
        </w:rPr>
      </w:pPr>
    </w:p>
    <w:p>
      <w:pPr>
        <w:ind w:left="1140" w:right="3719" w:firstLine="2"/>
        <w:spacing w:after="0" w:line="226" w:lineRule="auto"/>
        <w:tabs>
          <w:tab w:leader="none" w:pos="1464"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24, 2003</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A. Donahue</w:t>
      </w:r>
    </w:p>
    <w:p>
      <w:pPr>
        <w:ind w:left="180" w:hanging="172"/>
        <w:spacing w:after="0" w:line="224" w:lineRule="auto"/>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James A. Donahue</w:t>
      </w:r>
    </w:p>
    <w:p>
      <w:pPr>
        <w:spacing w:after="0" w:line="23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19"/>
          </w:cols>
          <w:pgMar w:left="240" w:top="426" w:right="1440" w:bottom="1440" w:gutter="0" w:footer="0" w:header="0"/>
        </w:sectPr>
      </w:pPr>
    </w:p>
    <w:bookmarkStart w:id="31" w:name="page32"/>
    <w:bookmarkEnd w:id="31"/>
    <w:p>
      <w:pPr>
        <w:jc w:val="right"/>
        <w:ind w:right="3719"/>
        <w:spacing w:after="0"/>
        <w:rPr>
          <w:sz w:val="20"/>
          <w:szCs w:val="20"/>
          <w:color w:val="auto"/>
        </w:rPr>
      </w:pPr>
      <w:r>
        <w:rPr>
          <w:rFonts w:ascii="Courier New" w:cs="Courier New" w:eastAsia="Courier New" w:hAnsi="Courier New"/>
          <w:sz w:val="14"/>
          <w:szCs w:val="14"/>
          <w:color w:val="auto"/>
        </w:rPr>
        <w:t>Exhibit 31.2</w:t>
      </w:r>
    </w:p>
    <w:p>
      <w:pPr>
        <w:spacing w:after="0" w:line="13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COHU, INC.</w:t>
      </w:r>
    </w:p>
    <w:p>
      <w:pPr>
        <w:jc w:val="center"/>
        <w:ind w:right="3639"/>
        <w:spacing w:after="0" w:line="224" w:lineRule="auto"/>
        <w:rPr>
          <w:sz w:val="20"/>
          <w:szCs w:val="20"/>
          <w:color w:val="auto"/>
        </w:rPr>
      </w:pPr>
      <w:r>
        <w:rPr>
          <w:rFonts w:ascii="Courier New" w:cs="Courier New" w:eastAsia="Courier New" w:hAnsi="Courier New"/>
          <w:sz w:val="14"/>
          <w:szCs w:val="14"/>
          <w:color w:val="auto"/>
        </w:rPr>
        <w:t>SARBANES-OXLEY ACT SECTION 302(a)</w:t>
      </w:r>
    </w:p>
    <w:p>
      <w:pPr>
        <w:jc w:val="center"/>
        <w:ind w:right="3639"/>
        <w:spacing w:after="0" w:line="231" w:lineRule="auto"/>
        <w:rPr>
          <w:sz w:val="20"/>
          <w:szCs w:val="20"/>
          <w:color w:val="auto"/>
        </w:rPr>
      </w:pPr>
      <w:r>
        <w:rPr>
          <w:rFonts w:ascii="Courier New" w:cs="Courier New" w:eastAsia="Courier New" w:hAnsi="Courier New"/>
          <w:sz w:val="14"/>
          <w:szCs w:val="14"/>
          <w:color w:val="auto"/>
        </w:rPr>
        <w:t>CERTIFICATION</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John H. Allen, certify that:</w:t>
      </w:r>
    </w:p>
    <w:p>
      <w:pPr>
        <w:spacing w:after="0" w:line="139" w:lineRule="exact"/>
        <w:rPr>
          <w:sz w:val="20"/>
          <w:szCs w:val="20"/>
          <w:color w:val="auto"/>
        </w:rPr>
      </w:pPr>
    </w:p>
    <w:p>
      <w:pPr>
        <w:ind w:left="740" w:hanging="489"/>
        <w:spacing w:after="0"/>
        <w:tabs>
          <w:tab w:leader="none" w:pos="7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Form 10-Q of Cohu, Inc.;</w:t>
      </w:r>
    </w:p>
    <w:p>
      <w:pPr>
        <w:spacing w:after="0" w:line="144" w:lineRule="exact"/>
        <w:rPr>
          <w:rFonts w:ascii="Courier New" w:cs="Courier New" w:eastAsia="Courier New" w:hAnsi="Courier New"/>
          <w:sz w:val="14"/>
          <w:szCs w:val="14"/>
          <w:color w:val="auto"/>
        </w:rPr>
      </w:pPr>
    </w:p>
    <w:p>
      <w:pPr>
        <w:ind w:left="740" w:right="3719" w:hanging="489"/>
        <w:spacing w:after="0" w:line="225" w:lineRule="auto"/>
        <w:tabs>
          <w:tab w:leader="none" w:pos="7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Courier New" w:cs="Courier New" w:eastAsia="Courier New" w:hAnsi="Courier New"/>
          <w:sz w:val="14"/>
          <w:szCs w:val="14"/>
          <w:color w:val="auto"/>
        </w:rPr>
      </w:pPr>
    </w:p>
    <w:p>
      <w:pPr>
        <w:ind w:left="740" w:right="3719" w:hanging="489"/>
        <w:spacing w:after="0" w:line="272" w:lineRule="auto"/>
        <w:tabs>
          <w:tab w:leader="none" w:pos="74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Courier New" w:cs="Courier New" w:eastAsia="Courier New" w:hAnsi="Courier New"/>
          <w:sz w:val="12"/>
          <w:szCs w:val="12"/>
          <w:color w:val="auto"/>
        </w:rPr>
      </w:pPr>
    </w:p>
    <w:p>
      <w:pPr>
        <w:ind w:left="740" w:hanging="489"/>
        <w:spacing w:after="0"/>
        <w:tabs>
          <w:tab w:leader="none" w:pos="7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w:t>
      </w:r>
    </w:p>
    <w:p>
      <w:pPr>
        <w:ind w:left="740" w:right="3719"/>
        <w:spacing w:after="0" w:line="22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establishing and maintaining disclosure controls and procedures (as defined in Exchange Act Rules 13a-15(e) and 15d-15(e)) for the registrant and have:</w:t>
      </w:r>
    </w:p>
    <w:p>
      <w:pPr>
        <w:spacing w:after="0" w:line="146" w:lineRule="exact"/>
        <w:rPr>
          <w:rFonts w:ascii="Courier New" w:cs="Courier New" w:eastAsia="Courier New" w:hAnsi="Courier New"/>
          <w:sz w:val="14"/>
          <w:szCs w:val="14"/>
          <w:color w:val="auto"/>
        </w:rPr>
      </w:pPr>
    </w:p>
    <w:p>
      <w:pPr>
        <w:ind w:left="1140" w:right="3719" w:firstLine="2"/>
        <w:spacing w:after="0" w:line="225" w:lineRule="auto"/>
        <w:tabs>
          <w:tab w:leader="none" w:pos="146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Courier New" w:cs="Courier New" w:eastAsia="Courier New" w:hAnsi="Courier New"/>
          <w:sz w:val="14"/>
          <w:szCs w:val="14"/>
          <w:color w:val="auto"/>
        </w:rPr>
      </w:pPr>
    </w:p>
    <w:p>
      <w:pPr>
        <w:ind w:left="1140" w:right="3719" w:firstLine="2"/>
        <w:spacing w:after="0" w:line="225" w:lineRule="auto"/>
        <w:tabs>
          <w:tab w:leader="none" w:pos="146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Courier New" w:cs="Courier New" w:eastAsia="Courier New" w:hAnsi="Courier New"/>
          <w:sz w:val="14"/>
          <w:szCs w:val="14"/>
          <w:color w:val="auto"/>
        </w:rPr>
      </w:pPr>
    </w:p>
    <w:p>
      <w:pPr>
        <w:ind w:left="1140" w:right="3719" w:firstLine="2"/>
        <w:spacing w:after="0" w:line="268" w:lineRule="auto"/>
        <w:tabs>
          <w:tab w:leader="none" w:pos="1464"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Courier New" w:cs="Courier New" w:eastAsia="Courier New" w:hAnsi="Courier New"/>
          <w:sz w:val="12"/>
          <w:szCs w:val="12"/>
          <w:color w:val="auto"/>
        </w:rPr>
      </w:pPr>
    </w:p>
    <w:p>
      <w:pPr>
        <w:ind w:left="740" w:right="3819" w:hanging="489"/>
        <w:spacing w:after="0" w:line="225" w:lineRule="auto"/>
        <w:tabs>
          <w:tab w:leader="none" w:pos="7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Courier New" w:cs="Courier New" w:eastAsia="Courier New" w:hAnsi="Courier New"/>
          <w:sz w:val="14"/>
          <w:szCs w:val="14"/>
          <w:color w:val="auto"/>
        </w:rPr>
      </w:pPr>
    </w:p>
    <w:p>
      <w:pPr>
        <w:ind w:left="1140" w:right="3899" w:firstLine="2"/>
        <w:spacing w:after="0" w:line="225" w:lineRule="auto"/>
        <w:tabs>
          <w:tab w:leader="none" w:pos="146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Courier New" w:cs="Courier New" w:eastAsia="Courier New" w:hAnsi="Courier New"/>
          <w:sz w:val="14"/>
          <w:szCs w:val="14"/>
          <w:color w:val="auto"/>
        </w:rPr>
      </w:pPr>
    </w:p>
    <w:p>
      <w:pPr>
        <w:ind w:left="1140" w:right="3719" w:firstLine="2"/>
        <w:spacing w:after="0" w:line="226" w:lineRule="auto"/>
        <w:tabs>
          <w:tab w:leader="none" w:pos="146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24, 2003</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H. Allen</w:t>
      </w:r>
    </w:p>
    <w:p>
      <w:pPr>
        <w:ind w:left="180" w:hanging="172"/>
        <w:spacing w:after="0" w:line="224" w:lineRule="auto"/>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2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 H. Allen</w:t>
      </w:r>
    </w:p>
    <w:p>
      <w:pPr>
        <w:spacing w:after="0" w:line="23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Finance &amp; Chief Financial Officer</w:t>
      </w:r>
    </w:p>
    <w:p>
      <w:pPr>
        <w:sectPr>
          <w:pgSz w:w="11900" w:h="16838" w:orient="portrait"/>
          <w:cols w:equalWidth="0" w:num="1">
            <w:col w:w="10219"/>
          </w:cols>
          <w:pgMar w:left="240" w:top="426" w:right="1440" w:bottom="1440" w:gutter="0" w:footer="0" w:header="0"/>
        </w:sectPr>
      </w:pPr>
    </w:p>
    <w:bookmarkStart w:id="32" w:name="page33"/>
    <w:bookmarkEnd w:id="32"/>
    <w:p>
      <w:pPr>
        <w:jc w:val="right"/>
        <w:ind w:right="3719"/>
        <w:spacing w:after="0"/>
        <w:rPr>
          <w:sz w:val="20"/>
          <w:szCs w:val="20"/>
          <w:color w:val="auto"/>
        </w:rPr>
      </w:pPr>
      <w:r>
        <w:rPr>
          <w:rFonts w:ascii="Courier New" w:cs="Courier New" w:eastAsia="Courier New" w:hAnsi="Courier New"/>
          <w:sz w:val="14"/>
          <w:szCs w:val="14"/>
          <w:color w:val="auto"/>
        </w:rPr>
        <w:t>Exhibit 32.1</w:t>
      </w:r>
    </w:p>
    <w:p>
      <w:pPr>
        <w:spacing w:after="0" w:line="13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COHU, INC.</w:t>
      </w:r>
    </w:p>
    <w:p>
      <w:pPr>
        <w:jc w:val="center"/>
        <w:ind w:right="3719"/>
        <w:spacing w:after="0" w:line="230" w:lineRule="auto"/>
        <w:rPr>
          <w:sz w:val="20"/>
          <w:szCs w:val="20"/>
          <w:color w:val="auto"/>
        </w:rPr>
      </w:pPr>
      <w:r>
        <w:rPr>
          <w:rFonts w:ascii="Courier New" w:cs="Courier New" w:eastAsia="Courier New" w:hAnsi="Courier New"/>
          <w:sz w:val="14"/>
          <w:szCs w:val="14"/>
          <w:color w:val="auto"/>
        </w:rPr>
        <w:t>SARBANES-OXLEY ACT SECTION 906</w:t>
      </w:r>
    </w:p>
    <w:p>
      <w:pPr>
        <w:spacing w:after="0" w:line="13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CERTIFICATION OF CHIEF EXECUTIVE OFFICER</w:t>
      </w:r>
    </w:p>
    <w:p>
      <w:pPr>
        <w:spacing w:after="0" w:line="145" w:lineRule="exact"/>
        <w:rPr>
          <w:sz w:val="20"/>
          <w:szCs w:val="20"/>
          <w:color w:val="auto"/>
        </w:rPr>
      </w:pPr>
    </w:p>
    <w:p>
      <w:pPr>
        <w:ind w:right="3899"/>
        <w:spacing w:after="0" w:line="276" w:lineRule="auto"/>
        <w:rPr>
          <w:sz w:val="20"/>
          <w:szCs w:val="20"/>
          <w:color w:val="auto"/>
        </w:rPr>
      </w:pPr>
      <w:r>
        <w:rPr>
          <w:rFonts w:ascii="Courier New" w:cs="Courier New" w:eastAsia="Courier New" w:hAnsi="Courier New"/>
          <w:sz w:val="12"/>
          <w:szCs w:val="12"/>
          <w:color w:val="auto"/>
        </w:rPr>
        <w:t>I, James A. Donahue, Chief Executive Officer of Cohu, Inc. (the "Registrant"), do hereby certify in accordance with 18 U.S.C. 1350, as adopted pursuant to Section 906 of the Sarbanes-Oxley Act of 2002, that, based on my knowledge:</w:t>
      </w:r>
    </w:p>
    <w:p>
      <w:pPr>
        <w:spacing w:after="0" w:line="125" w:lineRule="exact"/>
        <w:rPr>
          <w:sz w:val="20"/>
          <w:szCs w:val="20"/>
          <w:color w:val="auto"/>
        </w:rPr>
      </w:pPr>
    </w:p>
    <w:p>
      <w:pPr>
        <w:jc w:val="both"/>
        <w:ind w:left="740" w:right="3819" w:hanging="3"/>
        <w:spacing w:after="0" w:line="226" w:lineRule="auto"/>
        <w:tabs>
          <w:tab w:leader="none" w:pos="106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135" w:lineRule="exact"/>
        <w:rPr>
          <w:rFonts w:ascii="Courier New" w:cs="Courier New" w:eastAsia="Courier New" w:hAnsi="Courier New"/>
          <w:sz w:val="14"/>
          <w:szCs w:val="14"/>
          <w:color w:val="auto"/>
        </w:rPr>
      </w:pPr>
    </w:p>
    <w:p>
      <w:pPr>
        <w:ind w:left="1060" w:hanging="323"/>
        <w:spacing w:after="0"/>
        <w:tabs>
          <w:tab w:leader="none" w:pos="10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w:t>
      </w:r>
    </w:p>
    <w:p>
      <w:pPr>
        <w:ind w:left="740" w:right="3719"/>
        <w:spacing w:after="0" w:line="22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respects, the financial condition and results of operations of the Registrant.</w:t>
      </w:r>
    </w:p>
    <w:p>
      <w:pPr>
        <w:sectPr>
          <w:pgSz w:w="11900" w:h="16838" w:orient="portrait"/>
          <w:cols w:equalWidth="0" w:num="1">
            <w:col w:w="10219"/>
          </w:cols>
          <w:pgMar w:left="240" w:top="426" w:right="1440"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Dated: October 24, 2003</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A. Donahue</w:t>
      </w:r>
    </w:p>
    <w:p>
      <w:pPr>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A. Donahue</w:t>
      </w:r>
    </w:p>
    <w:p>
      <w:pPr>
        <w:spacing w:after="0"/>
        <w:rPr>
          <w:sz w:val="20"/>
          <w:szCs w:val="20"/>
          <w:color w:val="auto"/>
        </w:rPr>
      </w:pPr>
      <w:r>
        <w:rPr>
          <w:rFonts w:ascii="Courier New" w:cs="Courier New" w:eastAsia="Courier New" w:hAnsi="Courier New"/>
          <w:sz w:val="12"/>
          <w:szCs w:val="12"/>
          <w:color w:val="auto"/>
        </w:rPr>
        <w:t>President &amp; Chief Executive Officer</w:t>
      </w:r>
    </w:p>
    <w:p>
      <w:pPr>
        <w:sectPr>
          <w:pgSz w:w="11900" w:h="16838" w:orient="portrait"/>
          <w:cols w:equalWidth="0" w:num="2">
            <w:col w:w="2940" w:space="720"/>
            <w:col w:w="6559"/>
          </w:cols>
          <w:pgMar w:left="240" w:top="426" w:right="1440" w:bottom="1440" w:gutter="0" w:footer="0" w:header="0"/>
          <w:type w:val="continuous"/>
        </w:sectPr>
      </w:pPr>
    </w:p>
    <w:bookmarkStart w:id="33" w:name="page34"/>
    <w:bookmarkEnd w:id="33"/>
    <w:p>
      <w:pPr>
        <w:jc w:val="right"/>
        <w:ind w:right="3719"/>
        <w:spacing w:after="0"/>
        <w:rPr>
          <w:sz w:val="20"/>
          <w:szCs w:val="20"/>
          <w:color w:val="auto"/>
        </w:rPr>
      </w:pPr>
      <w:r>
        <w:rPr>
          <w:rFonts w:ascii="Courier New" w:cs="Courier New" w:eastAsia="Courier New" w:hAnsi="Courier New"/>
          <w:sz w:val="14"/>
          <w:szCs w:val="14"/>
          <w:color w:val="auto"/>
        </w:rPr>
        <w:t>Exhibit 32.2</w:t>
      </w:r>
    </w:p>
    <w:p>
      <w:pPr>
        <w:spacing w:after="0" w:line="13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COHU, INC.</w:t>
      </w:r>
    </w:p>
    <w:p>
      <w:pPr>
        <w:jc w:val="center"/>
        <w:ind w:right="3719"/>
        <w:spacing w:after="0" w:line="230" w:lineRule="auto"/>
        <w:rPr>
          <w:sz w:val="20"/>
          <w:szCs w:val="20"/>
          <w:color w:val="auto"/>
        </w:rPr>
      </w:pPr>
      <w:r>
        <w:rPr>
          <w:rFonts w:ascii="Courier New" w:cs="Courier New" w:eastAsia="Courier New" w:hAnsi="Courier New"/>
          <w:sz w:val="14"/>
          <w:szCs w:val="14"/>
          <w:color w:val="auto"/>
        </w:rPr>
        <w:t>SARBANES-OXLEY ACT SECTION 906</w:t>
      </w:r>
    </w:p>
    <w:p>
      <w:pPr>
        <w:spacing w:after="0" w:line="13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CERTIFICATION OF CHIEF FINANCIAL OFFICER</w:t>
      </w:r>
    </w:p>
    <w:p>
      <w:pPr>
        <w:spacing w:after="0" w:line="145" w:lineRule="exact"/>
        <w:rPr>
          <w:sz w:val="20"/>
          <w:szCs w:val="20"/>
          <w:color w:val="auto"/>
        </w:rPr>
      </w:pPr>
    </w:p>
    <w:p>
      <w:pPr>
        <w:ind w:right="3719"/>
        <w:spacing w:after="0" w:line="226" w:lineRule="auto"/>
        <w:rPr>
          <w:sz w:val="20"/>
          <w:szCs w:val="20"/>
          <w:color w:val="auto"/>
        </w:rPr>
      </w:pPr>
      <w:r>
        <w:rPr>
          <w:rFonts w:ascii="Courier New" w:cs="Courier New" w:eastAsia="Courier New" w:hAnsi="Courier New"/>
          <w:sz w:val="14"/>
          <w:szCs w:val="14"/>
          <w:color w:val="auto"/>
        </w:rPr>
        <w:t>I, John H. Allen, Chief Financial Officer of Cohu, Inc. (the "Registrant"), do hereby certify in accordance with 18 U.S.C. 1350, as adopted pursuant to Section 906 of the Sarbanes-Oxley Act of 2002, that, based on my knowledge:</w:t>
      </w:r>
    </w:p>
    <w:p>
      <w:pPr>
        <w:spacing w:after="0" w:line="146" w:lineRule="exact"/>
        <w:rPr>
          <w:sz w:val="20"/>
          <w:szCs w:val="20"/>
          <w:color w:val="auto"/>
        </w:rPr>
      </w:pPr>
    </w:p>
    <w:p>
      <w:pPr>
        <w:jc w:val="both"/>
        <w:ind w:left="740" w:right="3819" w:hanging="3"/>
        <w:spacing w:after="0" w:line="226" w:lineRule="auto"/>
        <w:tabs>
          <w:tab w:leader="none" w:pos="106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135" w:lineRule="exact"/>
        <w:rPr>
          <w:rFonts w:ascii="Courier New" w:cs="Courier New" w:eastAsia="Courier New" w:hAnsi="Courier New"/>
          <w:sz w:val="14"/>
          <w:szCs w:val="14"/>
          <w:color w:val="auto"/>
        </w:rPr>
      </w:pPr>
    </w:p>
    <w:p>
      <w:pPr>
        <w:ind w:left="1060" w:hanging="323"/>
        <w:spacing w:after="0"/>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w:t>
      </w:r>
    </w:p>
    <w:p>
      <w:pPr>
        <w:ind w:left="740" w:right="3719"/>
        <w:spacing w:after="0" w:line="22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respects, the financial condition and results of operations of the Registrant.</w:t>
      </w:r>
    </w:p>
    <w:p>
      <w:pPr>
        <w:sectPr>
          <w:pgSz w:w="11900" w:h="16838" w:orient="portrait"/>
          <w:cols w:equalWidth="0" w:num="1">
            <w:col w:w="10219"/>
          </w:cols>
          <w:pgMar w:left="240" w:top="426" w:right="1440"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Dated: October 24, 2003</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H. Allen</w:t>
      </w:r>
    </w:p>
    <w:p>
      <w:pPr>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H. Allen</w:t>
      </w:r>
    </w:p>
    <w:p>
      <w:pPr>
        <w:spacing w:after="0" w:line="224" w:lineRule="auto"/>
        <w:rPr>
          <w:sz w:val="20"/>
          <w:szCs w:val="20"/>
          <w:color w:val="auto"/>
        </w:rPr>
      </w:pPr>
      <w:r>
        <w:rPr>
          <w:rFonts w:ascii="Courier New" w:cs="Courier New" w:eastAsia="Courier New" w:hAnsi="Courier New"/>
          <w:sz w:val="14"/>
          <w:szCs w:val="14"/>
          <w:color w:val="auto"/>
        </w:rPr>
        <w:t>Vice President Finance &amp;</w:t>
      </w:r>
    </w:p>
    <w:p>
      <w:pPr>
        <w:spacing w:after="0" w:line="231" w:lineRule="auto"/>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2">
            <w:col w:w="2940" w:space="720"/>
            <w:col w:w="6559"/>
          </w:cols>
          <w:pgMar w:left="240" w:top="426" w:right="1440" w:bottom="1440" w:gutter="0" w:footer="0" w:header="0"/>
          <w:type w:val="continuous"/>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121"/>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2019-12-11T17:47:54Z</dcterms:created>
  <dcterms:modified xsi:type="dcterms:W3CDTF">2019-12-11T17:47:54Z</dcterms:modified>
</cp:coreProperties>
</file>