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5866765</wp:posOffset>
            </wp:positionH>
            <wp:positionV relativeFrom="paragraph">
              <wp:posOffset>193040</wp:posOffset>
            </wp:positionV>
            <wp:extent cx="1397635" cy="866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866140"/>
                    </a:xfrm>
                    <a:prstGeom prst="rect">
                      <a:avLst/>
                    </a:prstGeom>
                    <a:noFill/>
                  </pic:spPr>
                </pic:pic>
              </a:graphicData>
            </a:graphic>
          </wp:anchor>
        </w:drawing>
      </w:r>
    </w:p>
    <w:p>
      <w:pPr>
        <w:spacing w:after="0" w:line="336" w:lineRule="exact"/>
        <w:rPr>
          <w:sz w:val="20"/>
          <w:szCs w:val="20"/>
          <w:color w:val="auto"/>
        </w:rPr>
      </w:pPr>
    </w:p>
    <w:p>
      <w:pPr>
        <w:ind w:left="9660"/>
        <w:spacing w:after="0"/>
        <w:rPr>
          <w:sz w:val="20"/>
          <w:szCs w:val="20"/>
          <w:color w:val="auto"/>
        </w:rPr>
      </w:pPr>
      <w:r>
        <w:rPr>
          <w:rFonts w:ascii="Arial" w:cs="Arial" w:eastAsia="Arial" w:hAnsi="Arial"/>
          <w:sz w:val="18"/>
          <w:szCs w:val="18"/>
          <w:color w:val="auto"/>
        </w:rPr>
        <w:t>OMB APPROVAL</w:t>
      </w:r>
    </w:p>
    <w:p>
      <w:pPr>
        <w:ind w:left="9260"/>
        <w:spacing w:after="0"/>
        <w:rPr>
          <w:sz w:val="20"/>
          <w:szCs w:val="20"/>
          <w:color w:val="auto"/>
        </w:rPr>
      </w:pPr>
      <w:r>
        <w:rPr>
          <w:sz w:val="1"/>
          <w:szCs w:val="1"/>
          <w:color w:val="auto"/>
        </w:rPr>
        <w:drawing>
          <wp:inline distT="0" distB="0" distL="0" distR="0">
            <wp:extent cx="34290" cy="180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180975"/>
                    </a:xfrm>
                    <a:prstGeom prst="rect">
                      <a:avLst/>
                    </a:prstGeom>
                    <a:noFill/>
                    <a:ln>
                      <a:noFill/>
                    </a:ln>
                  </pic:spPr>
                </pic:pic>
              </a:graphicData>
            </a:graphic>
          </wp:inline>
        </w:drawing>
      </w:r>
      <w:r>
        <w:rPr>
          <w:rFonts w:ascii="Arial" w:cs="Arial" w:eastAsia="Arial" w:hAnsi="Arial"/>
          <w:sz w:val="16"/>
          <w:szCs w:val="16"/>
          <w:color w:val="auto"/>
        </w:rPr>
        <w:t>OMB Number: 3235-0145</w:t>
      </w:r>
    </w:p>
    <w:p>
      <w:pPr>
        <w:spacing w:after="0" w:line="16" w:lineRule="exact"/>
        <w:rPr>
          <w:sz w:val="20"/>
          <w:szCs w:val="20"/>
          <w:color w:val="auto"/>
        </w:rPr>
      </w:pPr>
    </w:p>
    <w:p>
      <w:pPr>
        <w:ind w:left="9300"/>
        <w:spacing w:after="0"/>
        <w:rPr>
          <w:sz w:val="20"/>
          <w:szCs w:val="20"/>
          <w:color w:val="auto"/>
        </w:rPr>
      </w:pPr>
      <w:r>
        <w:rPr>
          <w:rFonts w:ascii="Arial" w:cs="Arial" w:eastAsia="Arial" w:hAnsi="Arial"/>
          <w:sz w:val="15"/>
          <w:szCs w:val="15"/>
          <w:color w:val="auto"/>
        </w:rPr>
        <w:t>Expires: December 31, 2005</w:t>
      </w:r>
    </w:p>
    <w:p>
      <w:pPr>
        <w:spacing w:after="0" w:line="96" w:lineRule="exact"/>
        <w:rPr>
          <w:sz w:val="20"/>
          <w:szCs w:val="20"/>
          <w:color w:val="auto"/>
        </w:rPr>
      </w:pPr>
    </w:p>
    <w:p>
      <w:pPr>
        <w:ind w:left="9300"/>
        <w:spacing w:after="0"/>
        <w:rPr>
          <w:sz w:val="20"/>
          <w:szCs w:val="20"/>
          <w:color w:val="auto"/>
        </w:rPr>
      </w:pPr>
      <w:r>
        <w:rPr>
          <w:rFonts w:ascii="Arial" w:cs="Arial" w:eastAsia="Arial" w:hAnsi="Arial"/>
          <w:sz w:val="16"/>
          <w:szCs w:val="16"/>
          <w:color w:val="auto"/>
        </w:rPr>
        <w:t>Estimated average burden</w:t>
      </w:r>
    </w:p>
    <w:p>
      <w:pPr>
        <w:spacing w:after="0" w:line="38" w:lineRule="exact"/>
        <w:rPr>
          <w:sz w:val="20"/>
          <w:szCs w:val="20"/>
          <w:color w:val="auto"/>
        </w:rPr>
      </w:pPr>
    </w:p>
    <w:p>
      <w:pPr>
        <w:ind w:left="9300"/>
        <w:spacing w:after="0"/>
        <w:rPr>
          <w:sz w:val="20"/>
          <w:szCs w:val="20"/>
          <w:color w:val="auto"/>
        </w:rPr>
      </w:pPr>
      <w:r>
        <w:rPr>
          <w:rFonts w:ascii="Arial" w:cs="Arial" w:eastAsia="Arial" w:hAnsi="Arial"/>
          <w:sz w:val="18"/>
          <w:szCs w:val="18"/>
          <w:color w:val="auto"/>
        </w:rPr>
        <w:t>hours per response...11</w:t>
      </w:r>
    </w:p>
    <w:p>
      <w:pPr>
        <w:spacing w:after="0" w:line="200" w:lineRule="exact"/>
        <w:rPr>
          <w:sz w:val="20"/>
          <w:szCs w:val="20"/>
          <w:color w:val="auto"/>
        </w:rPr>
      </w:pPr>
    </w:p>
    <w:p>
      <w:pPr>
        <w:spacing w:after="0" w:line="290" w:lineRule="exact"/>
        <w:rPr>
          <w:sz w:val="20"/>
          <w:szCs w:val="20"/>
          <w:color w:val="auto"/>
        </w:rPr>
      </w:pPr>
    </w:p>
    <w:p>
      <w:pPr>
        <w:jc w:val="center"/>
        <w:ind w:right="-119"/>
        <w:spacing w:after="0"/>
        <w:rPr>
          <w:sz w:val="20"/>
          <w:szCs w:val="20"/>
          <w:color w:val="auto"/>
        </w:rPr>
      </w:pPr>
      <w:r>
        <w:rPr>
          <w:rFonts w:ascii="Arial" w:cs="Arial" w:eastAsia="Arial" w:hAnsi="Arial"/>
          <w:sz w:val="24"/>
          <w:szCs w:val="24"/>
          <w:color w:val="auto"/>
        </w:rPr>
        <w:t>UNITED STATES</w:t>
      </w:r>
    </w:p>
    <w:p>
      <w:pPr>
        <w:spacing w:after="0" w:line="28" w:lineRule="exact"/>
        <w:rPr>
          <w:sz w:val="20"/>
          <w:szCs w:val="20"/>
          <w:color w:val="auto"/>
        </w:rPr>
      </w:pPr>
    </w:p>
    <w:p>
      <w:pPr>
        <w:jc w:val="center"/>
        <w:ind w:right="-119"/>
        <w:spacing w:after="0"/>
        <w:rPr>
          <w:sz w:val="20"/>
          <w:szCs w:val="20"/>
          <w:color w:val="auto"/>
        </w:rPr>
      </w:pPr>
      <w:r>
        <w:rPr>
          <w:rFonts w:ascii="Arial" w:cs="Arial" w:eastAsia="Arial" w:hAnsi="Arial"/>
          <w:sz w:val="24"/>
          <w:szCs w:val="24"/>
          <w:color w:val="auto"/>
        </w:rPr>
        <w:t>SECURITIES AND EXCHANGE COMMISSION</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176" w:lineRule="exact"/>
        <w:rPr>
          <w:sz w:val="20"/>
          <w:szCs w:val="20"/>
          <w:color w:val="auto"/>
        </w:rPr>
      </w:pPr>
    </w:p>
    <w:p>
      <w:pPr>
        <w:jc w:val="center"/>
        <w:ind w:right="-119"/>
        <w:spacing w:after="0"/>
        <w:rPr>
          <w:sz w:val="20"/>
          <w:szCs w:val="20"/>
          <w:color w:val="auto"/>
        </w:rPr>
      </w:pPr>
      <w:r>
        <w:rPr>
          <w:rFonts w:ascii="Arial" w:cs="Arial" w:eastAsia="Arial" w:hAnsi="Arial"/>
          <w:sz w:val="32"/>
          <w:szCs w:val="32"/>
          <w:color w:val="auto"/>
        </w:rPr>
        <w:t>SCHEDULE 13G</w:t>
      </w: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(Amendment No. 4)*</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(Name of Issuer)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Common Stock, $1.00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001751-19257610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(Cusip Number)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13d-1 (b)</w:t>
      </w:r>
    </w:p>
    <w:p>
      <w:pPr>
        <w:spacing w:after="0" w:line="255" w:lineRule="exact"/>
        <w:rPr>
          <w:sz w:val="20"/>
          <w:szCs w:val="20"/>
          <w:color w:val="auto"/>
        </w:rPr>
      </w:pPr>
    </w:p>
    <w:p>
      <w:pPr>
        <w:ind w:left="600" w:hanging="241"/>
        <w:spacing w:after="0"/>
        <w:tabs>
          <w:tab w:leader="none" w:pos="6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Rule 13d-1 (c)</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13d-1 (d)</w:t>
      </w:r>
    </w:p>
    <w:p>
      <w:pPr>
        <w:spacing w:after="0" w:line="21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13G</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CUSIP No. 001751-19257610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146050</wp:posOffset>
            </wp:positionV>
            <wp:extent cx="718185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520"/>
        <w:spacing w:after="0"/>
        <w:tabs>
          <w:tab w:leader="none" w:pos="860" w:val="left"/>
        </w:tabs>
        <w:rPr>
          <w:sz w:val="20"/>
          <w:szCs w:val="20"/>
          <w:color w:val="auto"/>
        </w:rPr>
      </w:pPr>
      <w:r>
        <w:rPr>
          <w:rFonts w:ascii="Arial" w:cs="Arial" w:eastAsia="Arial" w:hAnsi="Arial"/>
          <w:sz w:val="15"/>
          <w:szCs w:val="15"/>
          <w:color w:val="auto"/>
        </w:rPr>
        <w:t>1.</w:t>
        <w:tab/>
        <w:t>Name of Reporting Person:</w:t>
      </w:r>
    </w:p>
    <w:p>
      <w:pPr>
        <w:spacing w:after="0" w:line="5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Nicholas J. Cedrone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-2971800</wp:posOffset>
            </wp:positionH>
            <wp:positionV relativeFrom="paragraph">
              <wp:posOffset>297815</wp:posOffset>
            </wp:positionV>
            <wp:extent cx="718185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445" w:lineRule="exact"/>
        <w:rPr>
          <w:sz w:val="20"/>
          <w:szCs w:val="20"/>
          <w:color w:val="auto"/>
        </w:rPr>
      </w:pPr>
    </w:p>
    <w:p>
      <w:pPr>
        <w:sectPr>
          <w:pgSz w:w="11900" w:h="16838" w:orient="portrait"/>
          <w:cols w:equalWidth="0" w:num="2">
            <w:col w:w="4020" w:space="720"/>
            <w:col w:w="6620"/>
          </w:cols>
          <w:pgMar w:left="240" w:top="419" w:right="299" w:bottom="1440" w:gutter="0" w:footer="0" w:header="0"/>
          <w:type w:val="continuous"/>
        </w:sectPr>
      </w:pPr>
    </w:p>
    <w:p>
      <w:pPr>
        <w:spacing w:after="0" w:line="262" w:lineRule="exact"/>
        <w:rPr>
          <w:sz w:val="20"/>
          <w:szCs w:val="20"/>
          <w:color w:val="auto"/>
        </w:rPr>
      </w:pPr>
    </w:p>
    <w:p>
      <w:pPr>
        <w:ind w:left="880" w:hanging="359"/>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04" w:lineRule="exact"/>
        <w:rPr>
          <w:rFonts w:ascii="Arial" w:cs="Arial" w:eastAsia="Arial" w:hAnsi="Arial"/>
          <w:sz w:val="18"/>
          <w:szCs w:val="18"/>
          <w:color w:val="auto"/>
        </w:rPr>
      </w:pPr>
    </w:p>
    <w:p>
      <w:pPr>
        <w:ind w:left="1220" w:hanging="348"/>
        <w:spacing w:after="0"/>
        <w:tabs>
          <w:tab w:leader="none" w:pos="1220" w:val="left"/>
        </w:tabs>
        <w:numPr>
          <w:ilvl w:val="1"/>
          <w:numId w:val="2"/>
        </w:numPr>
        <w:rPr>
          <w:rFonts w:ascii="Arial" w:cs="Arial" w:eastAsia="Arial" w:hAnsi="Arial"/>
          <w:sz w:val="18"/>
          <w:szCs w:val="18"/>
          <w:color w:val="auto"/>
        </w:rPr>
      </w:pPr>
      <w:r>
        <w:rPr>
          <w:rFonts w:ascii="Arial" w:cs="Arial" w:eastAsia="Arial" w:hAnsi="Arial"/>
          <w:sz w:val="22"/>
          <w:szCs w:val="22"/>
          <w:color w:val="auto"/>
        </w:rPr>
        <w:t>o</w:t>
      </w:r>
    </w:p>
    <w:p>
      <w:pPr>
        <w:spacing w:after="0" w:line="98" w:lineRule="exact"/>
        <w:rPr>
          <w:rFonts w:ascii="Arial" w:cs="Arial" w:eastAsia="Arial" w:hAnsi="Arial"/>
          <w:sz w:val="18"/>
          <w:szCs w:val="18"/>
          <w:color w:val="auto"/>
        </w:rPr>
      </w:pPr>
    </w:p>
    <w:p>
      <w:pPr>
        <w:ind w:left="1220" w:hanging="348"/>
        <w:spacing w:after="0"/>
        <w:tabs>
          <w:tab w:leader="none" w:pos="1220" w:val="left"/>
        </w:tabs>
        <w:numPr>
          <w:ilvl w:val="1"/>
          <w:numId w:val="2"/>
        </w:numPr>
        <w:rPr>
          <w:rFonts w:ascii="Arial" w:cs="Arial" w:eastAsia="Arial" w:hAnsi="Arial"/>
          <w:sz w:val="18"/>
          <w:szCs w:val="18"/>
          <w:color w:val="auto"/>
        </w:rPr>
      </w:pPr>
      <w:r>
        <w:rPr>
          <w:rFonts w:ascii="Arial" w:cs="Arial" w:eastAsia="Arial" w:hAnsi="Arial"/>
          <w:sz w:val="22"/>
          <w:szCs w:val="22"/>
          <w:color w:val="auto"/>
        </w:rPr>
        <w:t>o</w:t>
      </w:r>
    </w:p>
    <w:p>
      <w:pPr>
        <w:spacing w:after="0" w:line="200" w:lineRule="exact"/>
        <w:rPr>
          <w:rFonts w:ascii="Arial" w:cs="Arial" w:eastAsia="Arial" w:hAnsi="Arial"/>
          <w:sz w:val="18"/>
          <w:szCs w:val="18"/>
          <w:color w:val="auto"/>
        </w:rPr>
      </w:pPr>
    </w:p>
    <w:p>
      <w:pPr>
        <w:spacing w:after="0" w:line="262" w:lineRule="exact"/>
        <w:rPr>
          <w:rFonts w:ascii="Arial" w:cs="Arial" w:eastAsia="Arial" w:hAnsi="Arial"/>
          <w:sz w:val="18"/>
          <w:szCs w:val="18"/>
          <w:color w:val="auto"/>
        </w:rPr>
      </w:pPr>
    </w:p>
    <w:p>
      <w:pPr>
        <w:ind w:left="880" w:hanging="359"/>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880" w:right="7880" w:hanging="359"/>
        <w:spacing w:after="0" w:line="268"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-872490</wp:posOffset>
            </wp:positionV>
            <wp:extent cx="718185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-443865</wp:posOffset>
            </wp:positionV>
            <wp:extent cx="718185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121285</wp:posOffset>
            </wp:positionV>
            <wp:extent cx="718185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5.</w:t>
            </w:r>
          </w:p>
        </w:tc>
        <w:tc>
          <w:tcPr>
            <w:tcW w:w="99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22"/>
        </w:trPr>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00" w:type="dxa"/>
            <w:vAlign w:val="bottom"/>
          </w:tcPr>
          <w:p>
            <w:pPr>
              <w:ind w:left="100"/>
              <w:spacing w:after="0"/>
              <w:rPr>
                <w:sz w:val="20"/>
                <w:szCs w:val="20"/>
                <w:color w:val="auto"/>
              </w:rPr>
            </w:pPr>
            <w:r>
              <w:rPr>
                <w:rFonts w:ascii="Arial" w:cs="Arial" w:eastAsia="Arial" w:hAnsi="Arial"/>
                <w:sz w:val="18"/>
                <w:szCs w:val="18"/>
                <w:color w:val="auto"/>
              </w:rPr>
              <w:t>1,336,138</w:t>
            </w:r>
          </w:p>
        </w:tc>
        <w:tc>
          <w:tcPr>
            <w:tcW w:w="0" w:type="dxa"/>
            <w:vAlign w:val="bottom"/>
          </w:tcPr>
          <w:p>
            <w:pPr>
              <w:spacing w:after="0"/>
              <w:rPr>
                <w:sz w:val="1"/>
                <w:szCs w:val="1"/>
                <w:color w:val="auto"/>
              </w:rPr>
            </w:pPr>
          </w:p>
        </w:tc>
      </w:tr>
      <w:tr>
        <w:trPr>
          <w:trHeight w:val="228"/>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2"/>
              </w:rPr>
              <w:t>Number of</w:t>
            </w:r>
          </w:p>
        </w:tc>
        <w:tc>
          <w:tcPr>
            <w:tcW w:w="240" w:type="dxa"/>
            <w:vAlign w:val="bottom"/>
            <w:tcBorders>
              <w:bottom w:val="single" w:sz="8" w:color="808080"/>
            </w:tcBorders>
          </w:tcPr>
          <w:p>
            <w:pPr>
              <w:spacing w:after="0"/>
              <w:rPr>
                <w:sz w:val="19"/>
                <w:szCs w:val="19"/>
                <w:color w:val="auto"/>
              </w:rPr>
            </w:pPr>
          </w:p>
        </w:tc>
        <w:tc>
          <w:tcPr>
            <w:tcW w:w="9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0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9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right="114"/>
              <w:spacing w:after="0"/>
              <w:rPr>
                <w:sz w:val="20"/>
                <w:szCs w:val="20"/>
                <w:color w:val="auto"/>
              </w:rPr>
            </w:pPr>
            <w:r>
              <w:rPr>
                <w:rFonts w:ascii="Arial" w:cs="Arial" w:eastAsia="Arial" w:hAnsi="Arial"/>
                <w:sz w:val="18"/>
                <w:szCs w:val="18"/>
                <w:color w:val="auto"/>
                <w:w w:val="80"/>
              </w:rPr>
              <w:t>Shares</w:t>
            </w:r>
          </w:p>
        </w:tc>
        <w:tc>
          <w:tcPr>
            <w:tcW w:w="24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6.</w:t>
            </w:r>
          </w:p>
        </w:tc>
        <w:tc>
          <w:tcPr>
            <w:tcW w:w="990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1"/>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4"/>
              </w:rPr>
              <w:t>Beneficially</w:t>
            </w:r>
          </w:p>
        </w:tc>
        <w:tc>
          <w:tcPr>
            <w:tcW w:w="240" w:type="dxa"/>
            <w:vAlign w:val="bottom"/>
            <w:vMerge w:val="continue"/>
          </w:tcPr>
          <w:p>
            <w:pPr>
              <w:spacing w:after="0"/>
              <w:rPr>
                <w:sz w:val="8"/>
                <w:szCs w:val="8"/>
                <w:color w:val="auto"/>
              </w:rPr>
            </w:pPr>
          </w:p>
        </w:tc>
        <w:tc>
          <w:tcPr>
            <w:tcW w:w="9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1"/>
              </w:rPr>
              <w:t>Owned by</w:t>
            </w:r>
          </w:p>
        </w:tc>
        <w:tc>
          <w:tcPr>
            <w:tcW w:w="240" w:type="dxa"/>
            <w:vAlign w:val="bottom"/>
            <w:tcBorders>
              <w:bottom w:val="single" w:sz="8" w:color="808080"/>
            </w:tcBorders>
          </w:tcPr>
          <w:p>
            <w:pPr>
              <w:spacing w:after="0"/>
              <w:rPr>
                <w:sz w:val="9"/>
                <w:szCs w:val="9"/>
                <w:color w:val="auto"/>
              </w:rPr>
            </w:pPr>
          </w:p>
        </w:tc>
        <w:tc>
          <w:tcPr>
            <w:tcW w:w="9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0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right="114"/>
              <w:spacing w:after="0"/>
              <w:rPr>
                <w:sz w:val="20"/>
                <w:szCs w:val="20"/>
                <w:color w:val="auto"/>
              </w:rPr>
            </w:pPr>
            <w:r>
              <w:rPr>
                <w:rFonts w:ascii="Arial" w:cs="Arial" w:eastAsia="Arial" w:hAnsi="Arial"/>
                <w:sz w:val="18"/>
                <w:szCs w:val="18"/>
                <w:color w:val="auto"/>
                <w:w w:val="82"/>
              </w:rPr>
              <w:t>Each</w:t>
            </w:r>
          </w:p>
        </w:tc>
        <w:tc>
          <w:tcPr>
            <w:tcW w:w="24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7.</w:t>
            </w:r>
          </w:p>
        </w:tc>
        <w:tc>
          <w:tcPr>
            <w:tcW w:w="990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6"/>
        </w:trPr>
        <w:tc>
          <w:tcPr>
            <w:tcW w:w="1060" w:type="dxa"/>
            <w:vAlign w:val="bottom"/>
          </w:tcPr>
          <w:p>
            <w:pPr>
              <w:jc w:val="center"/>
              <w:ind w:right="114"/>
              <w:spacing w:after="0" w:line="136" w:lineRule="exact"/>
              <w:rPr>
                <w:sz w:val="20"/>
                <w:szCs w:val="20"/>
                <w:color w:val="auto"/>
              </w:rPr>
            </w:pPr>
            <w:r>
              <w:rPr>
                <w:rFonts w:ascii="Arial" w:cs="Arial" w:eastAsia="Arial" w:hAnsi="Arial"/>
                <w:sz w:val="15"/>
                <w:szCs w:val="15"/>
                <w:color w:val="auto"/>
              </w:rPr>
              <w:t>Reporting</w:t>
            </w:r>
          </w:p>
        </w:tc>
        <w:tc>
          <w:tcPr>
            <w:tcW w:w="240" w:type="dxa"/>
            <w:vAlign w:val="bottom"/>
            <w:vMerge w:val="continue"/>
          </w:tcPr>
          <w:p>
            <w:pPr>
              <w:spacing w:after="0"/>
              <w:rPr>
                <w:sz w:val="11"/>
                <w:szCs w:val="11"/>
                <w:color w:val="auto"/>
              </w:rPr>
            </w:pPr>
          </w:p>
        </w:tc>
        <w:tc>
          <w:tcPr>
            <w:tcW w:w="9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7206615</wp:posOffset>
            </wp:positionH>
            <wp:positionV relativeFrom="paragraph">
              <wp:posOffset>-718820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774700</wp:posOffset>
            </wp:positionH>
            <wp:positionV relativeFrom="paragraph">
              <wp:posOffset>-718820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-290195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774700</wp:posOffset>
            </wp:positionH>
            <wp:positionV relativeFrom="paragraph">
              <wp:posOffset>-290195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tbl>
      <w:tblPr>
        <w:tblLayout w:type="fixed"/>
        <w:tblInd w:w="160" w:type="dxa"/>
        <w:tblCellMar>
          <w:top w:w="0" w:type="dxa"/>
          <w:left w:w="0" w:type="dxa"/>
          <w:bottom w:w="0" w:type="dxa"/>
          <w:right w:w="0" w:type="dxa"/>
        </w:tblCellMar>
      </w:tblPr>
      <w:tr>
        <w:trPr>
          <w:trHeight w:val="222"/>
        </w:trPr>
        <w:tc>
          <w:tcPr>
            <w:tcW w:w="10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0140" w:type="dxa"/>
            <w:vAlign w:val="bottom"/>
          </w:tcPr>
          <w:p>
            <w:pPr>
              <w:jc w:val="right"/>
              <w:ind w:right="9012"/>
              <w:spacing w:after="0"/>
              <w:rPr>
                <w:sz w:val="20"/>
                <w:szCs w:val="20"/>
                <w:color w:val="auto"/>
              </w:rPr>
            </w:pPr>
            <w:r>
              <w:rPr>
                <w:rFonts w:ascii="Arial" w:cs="Arial" w:eastAsia="Arial" w:hAnsi="Arial"/>
                <w:sz w:val="18"/>
                <w:szCs w:val="18"/>
                <w:color w:val="auto"/>
              </w:rPr>
              <w:t>1,336,138</w:t>
            </w:r>
          </w:p>
        </w:tc>
        <w:tc>
          <w:tcPr>
            <w:tcW w:w="0" w:type="dxa"/>
            <w:vAlign w:val="bottom"/>
          </w:tcPr>
          <w:p>
            <w:pPr>
              <w:spacing w:after="0"/>
              <w:rPr>
                <w:sz w:val="1"/>
                <w:szCs w:val="1"/>
                <w:color w:val="auto"/>
              </w:rPr>
            </w:pPr>
          </w:p>
        </w:tc>
      </w:tr>
      <w:tr>
        <w:trPr>
          <w:trHeight w:val="81"/>
        </w:trPr>
        <w:tc>
          <w:tcPr>
            <w:tcW w:w="1060" w:type="dxa"/>
            <w:vAlign w:val="bottom"/>
            <w:vMerge w:val="continue"/>
          </w:tcPr>
          <w:p>
            <w:pPr>
              <w:spacing w:after="0"/>
              <w:rPr>
                <w:sz w:val="7"/>
                <w:szCs w:val="7"/>
                <w:color w:val="auto"/>
              </w:rPr>
            </w:pPr>
          </w:p>
        </w:tc>
        <w:tc>
          <w:tcPr>
            <w:tcW w:w="10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060" w:type="dxa"/>
            <w:vAlign w:val="bottom"/>
          </w:tcPr>
          <w:p>
            <w:pPr>
              <w:spacing w:after="0"/>
              <w:rPr>
                <w:sz w:val="11"/>
                <w:szCs w:val="11"/>
                <w:color w:val="auto"/>
              </w:rPr>
            </w:pPr>
          </w:p>
        </w:tc>
        <w:tc>
          <w:tcPr>
            <w:tcW w:w="10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7206615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774700</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left="1560" w:hanging="336"/>
        <w:spacing w:after="0"/>
        <w:tabs>
          <w:tab w:leader="none" w:pos="15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880" w:right="5760" w:hanging="359"/>
        <w:spacing w:after="0" w:line="268"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1,336,138</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80" w:right="4340" w:hanging="359"/>
        <w:spacing w:after="0" w:line="268"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80" w:right="6660" w:hanging="359"/>
        <w:spacing w:after="0" w:line="268"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6.40%</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80" w:hanging="359"/>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5"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-2120900</wp:posOffset>
            </wp:positionV>
            <wp:extent cx="718185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-1555115</wp:posOffset>
            </wp:positionV>
            <wp:extent cx="718185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-989330</wp:posOffset>
            </wp:positionV>
            <wp:extent cx="718185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-422910</wp:posOffset>
            </wp:positionV>
            <wp:extent cx="718185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142240</wp:posOffset>
            </wp:positionV>
            <wp:extent cx="718185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3" w:name="page4"/>
    <w:bookmarkEnd w:id="3"/>
    <w:p>
      <w:pPr>
        <w:jc w:val="center"/>
        <w:ind w:right="-15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1.</w:t>
        </w:r>
      </w:hyperlink>
    </w:p>
    <w:p>
      <w:pPr>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2.</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3. If this statement is filed pursuant to §§240.13d-1(b) or 240.13d-2(b) or (c), check whether the person filing is</w:t>
        </w:r>
      </w:hyperlink>
      <w:r>
        <w:rPr>
          <w:rFonts w:ascii="Arial" w:cs="Arial" w:eastAsia="Arial" w:hAnsi="Arial"/>
          <w:sz w:val="22"/>
          <w:szCs w:val="22"/>
          <w:u w:val="single" w:color="auto"/>
          <w:color w:val="0000EE"/>
        </w:rPr>
        <w:t xml:space="preserve"> </w:t>
      </w:r>
      <w:hyperlink w:anchor="page5">
        <w:r>
          <w:rPr>
            <w:rFonts w:ascii="Arial" w:cs="Arial" w:eastAsia="Arial" w:hAnsi="Arial"/>
            <w:sz w:val="22"/>
            <w:szCs w:val="22"/>
            <w:u w:val="single" w:color="auto"/>
            <w:color w:val="0000EE"/>
          </w:rPr>
          <w:t>a:</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4. Ownership.</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5. Ownership of Five Percent or Less of a Class.</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6. Ownership of More than Five Percent on Behalf of Another Person.</w:t>
        </w:r>
      </w:hyperlink>
    </w:p>
    <w:p>
      <w:pPr>
        <w:ind w:right="260"/>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7. Identification and Classification of the Subsidiary Which Acquired the Security Being Reported on By the</w:t>
        </w:r>
      </w:hyperlink>
      <w:r>
        <w:rPr>
          <w:rFonts w:ascii="Arial" w:cs="Arial" w:eastAsia="Arial" w:hAnsi="Arial"/>
          <w:sz w:val="22"/>
          <w:szCs w:val="22"/>
          <w:u w:val="single" w:color="auto"/>
          <w:color w:val="0000EE"/>
        </w:rPr>
        <w:t xml:space="preserve"> </w:t>
      </w:r>
      <w:hyperlink w:anchor="page6">
        <w:r>
          <w:rPr>
            <w:rFonts w:ascii="Arial" w:cs="Arial" w:eastAsia="Arial" w:hAnsi="Arial"/>
            <w:sz w:val="22"/>
            <w:szCs w:val="22"/>
            <w:u w:val="single" w:color="auto"/>
            <w:color w:val="0000EE"/>
          </w:rPr>
          <w:t>Parent Holding Company.</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8. Identification and Classification of Members of the Group.</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9. Notice of Dissolution of Group.</w:t>
        </w:r>
      </w:hyperlink>
    </w:p>
    <w:p>
      <w:pPr>
        <w:spacing w:after="0" w:line="231"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Item 10. Certification.</w:t>
        </w:r>
      </w:hyperlink>
    </w:p>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SIGNATURE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20"/>
          </w:cols>
          <w:pgMar w:left="820" w:top="112" w:right="9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13G</w:t>
      </w:r>
    </w:p>
    <w:p>
      <w:pPr>
        <w:spacing w:after="0" w:line="3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w:t>
      </w:r>
    </w:p>
    <w:p>
      <w:pPr>
        <w:spacing w:after="0" w:line="123" w:lineRule="exact"/>
        <w:rPr>
          <w:sz w:val="20"/>
          <w:szCs w:val="20"/>
          <w:color w:val="auto"/>
        </w:rPr>
      </w:pPr>
    </w:p>
    <w:p>
      <w:pPr>
        <w:ind w:left="1780" w:right="8460" w:hanging="570"/>
        <w:spacing w:after="0" w:line="451" w:lineRule="auto"/>
        <w:tabs>
          <w:tab w:leader="none" w:pos="1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Name of Issuer: Cohu, Inc.</w:t>
      </w:r>
    </w:p>
    <w:p>
      <w:pPr>
        <w:ind w:left="1780" w:right="6200" w:hanging="570"/>
        <w:spacing w:after="0" w:line="472" w:lineRule="auto"/>
        <w:tabs>
          <w:tab w:leader="none" w:pos="1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Address of Issuer’s Principal Executive Offices: 12367 Crosthwaite Circle, Poway, CA 92064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w:t>
      </w:r>
    </w:p>
    <w:p>
      <w:pPr>
        <w:spacing w:after="0" w:line="123" w:lineRule="exact"/>
        <w:rPr>
          <w:sz w:val="20"/>
          <w:szCs w:val="20"/>
          <w:color w:val="auto"/>
        </w:rPr>
      </w:pPr>
    </w:p>
    <w:p>
      <w:pPr>
        <w:ind w:left="1780" w:right="7940" w:hanging="570"/>
        <w:spacing w:after="0" w:line="422" w:lineRule="auto"/>
        <w:tabs>
          <w:tab w:leader="none" w:pos="1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 of Person Filing: Nicholas J. Cedrone</w:t>
      </w:r>
    </w:p>
    <w:p>
      <w:pPr>
        <w:spacing w:after="0" w:line="1" w:lineRule="exact"/>
        <w:rPr>
          <w:rFonts w:ascii="Arial" w:cs="Arial" w:eastAsia="Arial" w:hAnsi="Arial"/>
          <w:sz w:val="16"/>
          <w:szCs w:val="16"/>
          <w:color w:val="auto"/>
        </w:rPr>
      </w:pPr>
    </w:p>
    <w:p>
      <w:pPr>
        <w:ind w:left="1780" w:right="5360" w:hanging="570"/>
        <w:spacing w:after="0" w:line="393" w:lineRule="auto"/>
        <w:tabs>
          <w:tab w:leader="none" w:pos="1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One Monarch Drive, Littleton, MA 01460</w:t>
      </w: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1780" w:right="8640" w:hanging="570"/>
        <w:spacing w:after="0" w:line="451" w:lineRule="auto"/>
        <w:tabs>
          <w:tab w:leader="none" w:pos="1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Citizenship: United States</w:t>
      </w:r>
    </w:p>
    <w:p>
      <w:pPr>
        <w:ind w:left="1780" w:right="7320" w:hanging="570"/>
        <w:spacing w:after="0" w:line="451" w:lineRule="auto"/>
        <w:tabs>
          <w:tab w:leader="none" w:pos="1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Title of Class of Securities: Common Stock, $1.00 par value</w:t>
      </w:r>
    </w:p>
    <w:p>
      <w:pPr>
        <w:ind w:left="1780" w:right="8300" w:hanging="570"/>
        <w:spacing w:after="0" w:line="520" w:lineRule="auto"/>
        <w:tabs>
          <w:tab w:leader="none" w:pos="1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CUSIP Number: 001751-19257610</w:t>
      </w:r>
    </w:p>
    <w:p>
      <w:pPr>
        <w:spacing w:after="0" w:line="200" w:lineRule="exact"/>
        <w:rPr>
          <w:sz w:val="20"/>
          <w:szCs w:val="20"/>
          <w:color w:val="auto"/>
        </w:rPr>
      </w:pPr>
    </w:p>
    <w:p>
      <w:pPr>
        <w:spacing w:after="0" w:line="317" w:lineRule="exact"/>
        <w:rPr>
          <w:sz w:val="20"/>
          <w:szCs w:val="20"/>
          <w:color w:val="auto"/>
        </w:rPr>
      </w:pPr>
    </w:p>
    <w:p>
      <w:pPr>
        <w:ind w:left="60"/>
        <w:spacing w:after="0" w:line="207" w:lineRule="exact"/>
        <w:tabs>
          <w:tab w:leader="none" w:pos="12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 xml:space="preserve">If this statement is filed pursuant to §§240.13d-1(b) or 240.13d-2(b) or (c), check whether the person filing is a:  </w:t>
      </w:r>
      <w:r>
        <w:rPr>
          <w:rFonts w:ascii="MS PGothic" w:cs="MS PGothic" w:eastAsia="MS PGothic" w:hAnsi="MS PGothic"/>
          <w:sz w:val="15"/>
          <w:szCs w:val="15"/>
          <w:color w:val="auto"/>
          <w:highlight w:val="black"/>
        </w:rPr>
        <w:t>☒</w:t>
      </w:r>
    </w:p>
    <w:p>
      <w:pPr>
        <w:spacing w:after="0" w:line="137" w:lineRule="exact"/>
        <w:rPr>
          <w:sz w:val="20"/>
          <w:szCs w:val="20"/>
          <w:color w:val="auto"/>
        </w:rPr>
      </w:pPr>
    </w:p>
    <w:p>
      <w:pPr>
        <w:ind w:left="1780" w:hanging="570"/>
        <w:spacing w:after="0"/>
        <w:tabs>
          <w:tab w:leader="none" w:pos="1780" w:val="left"/>
        </w:tabs>
        <w:numPr>
          <w:ilvl w:val="0"/>
          <w:numId w:val="7"/>
        </w:numPr>
        <w:rPr>
          <w:rFonts w:ascii="Arial" w:cs="Arial" w:eastAsia="Arial" w:hAnsi="Arial"/>
          <w:sz w:val="18"/>
          <w:szCs w:val="18"/>
          <w:color w:val="auto"/>
        </w:rPr>
      </w:pPr>
      <w:r>
        <w:rPr>
          <w:rFonts w:ascii="Arial" w:cs="Arial" w:eastAsia="Arial" w:hAnsi="Arial"/>
          <w:sz w:val="22"/>
          <w:szCs w:val="22"/>
          <w:color w:val="auto"/>
        </w:rPr>
        <w:t>o</w:t>
      </w:r>
      <w:r>
        <w:rPr>
          <w:rFonts w:ascii="Arial" w:cs="Arial" w:eastAsia="Arial" w:hAnsi="Arial"/>
          <w:sz w:val="15"/>
          <w:szCs w:val="15"/>
          <w:color w:val="auto"/>
        </w:rPr>
        <w:t>Broker or dealer registered under section 15 of the Act (15 U.S.C. 78o).</w:t>
      </w:r>
    </w:p>
    <w:p>
      <w:pPr>
        <w:spacing w:after="0" w:line="98" w:lineRule="exact"/>
        <w:rPr>
          <w:rFonts w:ascii="Arial" w:cs="Arial" w:eastAsia="Arial" w:hAnsi="Arial"/>
          <w:sz w:val="18"/>
          <w:szCs w:val="18"/>
          <w:color w:val="auto"/>
        </w:rPr>
      </w:pPr>
    </w:p>
    <w:p>
      <w:pPr>
        <w:ind w:left="1780" w:hanging="570"/>
        <w:spacing w:after="0"/>
        <w:tabs>
          <w:tab w:leader="none" w:pos="1780" w:val="left"/>
        </w:tabs>
        <w:numPr>
          <w:ilvl w:val="0"/>
          <w:numId w:val="7"/>
        </w:numPr>
        <w:rPr>
          <w:rFonts w:ascii="Arial" w:cs="Arial" w:eastAsia="Arial" w:hAnsi="Arial"/>
          <w:sz w:val="18"/>
          <w:szCs w:val="18"/>
          <w:color w:val="auto"/>
        </w:rPr>
      </w:pPr>
      <w:r>
        <w:rPr>
          <w:rFonts w:ascii="Arial" w:cs="Arial" w:eastAsia="Arial" w:hAnsi="Arial"/>
          <w:sz w:val="22"/>
          <w:szCs w:val="22"/>
          <w:color w:val="auto"/>
        </w:rPr>
        <w:t>o</w:t>
      </w:r>
      <w:r>
        <w:rPr>
          <w:rFonts w:ascii="Arial" w:cs="Arial" w:eastAsia="Arial" w:hAnsi="Arial"/>
          <w:sz w:val="16"/>
          <w:szCs w:val="16"/>
          <w:color w:val="auto"/>
        </w:rPr>
        <w:t>Bank as defined in section 3(a)(6) of the Act (15 U.S.C. 78c).</w:t>
      </w:r>
    </w:p>
    <w:p>
      <w:pPr>
        <w:spacing w:after="0" w:line="98" w:lineRule="exact"/>
        <w:rPr>
          <w:rFonts w:ascii="Arial" w:cs="Arial" w:eastAsia="Arial" w:hAnsi="Arial"/>
          <w:sz w:val="18"/>
          <w:szCs w:val="18"/>
          <w:color w:val="auto"/>
        </w:rPr>
      </w:pPr>
    </w:p>
    <w:p>
      <w:pPr>
        <w:ind w:left="1780" w:hanging="570"/>
        <w:spacing w:after="0"/>
        <w:tabs>
          <w:tab w:leader="none" w:pos="1780" w:val="left"/>
        </w:tabs>
        <w:numPr>
          <w:ilvl w:val="0"/>
          <w:numId w:val="7"/>
        </w:numPr>
        <w:rPr>
          <w:rFonts w:ascii="Arial" w:cs="Arial" w:eastAsia="Arial" w:hAnsi="Arial"/>
          <w:sz w:val="18"/>
          <w:szCs w:val="18"/>
          <w:color w:val="auto"/>
        </w:rPr>
      </w:pPr>
      <w:r>
        <w:rPr>
          <w:rFonts w:ascii="Arial" w:cs="Arial" w:eastAsia="Arial" w:hAnsi="Arial"/>
          <w:sz w:val="22"/>
          <w:szCs w:val="22"/>
          <w:color w:val="auto"/>
        </w:rPr>
        <w:t>o</w:t>
      </w:r>
      <w:r>
        <w:rPr>
          <w:rFonts w:ascii="Arial" w:cs="Arial" w:eastAsia="Arial" w:hAnsi="Arial"/>
          <w:sz w:val="15"/>
          <w:szCs w:val="15"/>
          <w:color w:val="auto"/>
        </w:rPr>
        <w:t>Insurance company as defined in section 3(a)(19) of the Act (15 U.S.C. 78c).</w:t>
      </w:r>
    </w:p>
    <w:p>
      <w:pPr>
        <w:spacing w:after="0" w:line="98" w:lineRule="exact"/>
        <w:rPr>
          <w:rFonts w:ascii="Arial" w:cs="Arial" w:eastAsia="Arial" w:hAnsi="Arial"/>
          <w:sz w:val="18"/>
          <w:szCs w:val="18"/>
          <w:color w:val="auto"/>
        </w:rPr>
      </w:pPr>
    </w:p>
    <w:p>
      <w:pPr>
        <w:ind w:left="1780" w:hanging="570"/>
        <w:spacing w:after="0"/>
        <w:tabs>
          <w:tab w:leader="none" w:pos="1780" w:val="left"/>
        </w:tabs>
        <w:numPr>
          <w:ilvl w:val="0"/>
          <w:numId w:val="7"/>
        </w:numPr>
        <w:rPr>
          <w:rFonts w:ascii="Arial" w:cs="Arial" w:eastAsia="Arial" w:hAnsi="Arial"/>
          <w:sz w:val="18"/>
          <w:szCs w:val="18"/>
          <w:color w:val="auto"/>
        </w:rPr>
      </w:pPr>
      <w:r>
        <w:rPr>
          <w:rFonts w:ascii="Arial" w:cs="Arial" w:eastAsia="Arial" w:hAnsi="Arial"/>
          <w:sz w:val="22"/>
          <w:szCs w:val="22"/>
          <w:color w:val="auto"/>
        </w:rPr>
        <w:t>o</w:t>
      </w:r>
      <w:r>
        <w:rPr>
          <w:rFonts w:ascii="Arial" w:cs="Arial" w:eastAsia="Arial" w:hAnsi="Arial"/>
          <w:sz w:val="15"/>
          <w:szCs w:val="15"/>
          <w:color w:val="auto"/>
        </w:rPr>
        <w:t>Investment company registered under section 8 of the Investment Company Act of 1940 (15 U.S.C 80a-8).</w:t>
      </w:r>
    </w:p>
    <w:p>
      <w:pPr>
        <w:spacing w:after="0" w:line="98" w:lineRule="exact"/>
        <w:rPr>
          <w:rFonts w:ascii="Arial" w:cs="Arial" w:eastAsia="Arial" w:hAnsi="Arial"/>
          <w:sz w:val="18"/>
          <w:szCs w:val="18"/>
          <w:color w:val="auto"/>
        </w:rPr>
      </w:pPr>
    </w:p>
    <w:p>
      <w:pPr>
        <w:ind w:left="1780" w:hanging="570"/>
        <w:spacing w:after="0"/>
        <w:tabs>
          <w:tab w:leader="none" w:pos="1780" w:val="left"/>
        </w:tabs>
        <w:numPr>
          <w:ilvl w:val="0"/>
          <w:numId w:val="7"/>
        </w:numPr>
        <w:rPr>
          <w:rFonts w:ascii="Arial" w:cs="Arial" w:eastAsia="Arial" w:hAnsi="Arial"/>
          <w:sz w:val="18"/>
          <w:szCs w:val="18"/>
          <w:color w:val="auto"/>
        </w:rPr>
      </w:pPr>
      <w:r>
        <w:rPr>
          <w:rFonts w:ascii="Arial" w:cs="Arial" w:eastAsia="Arial" w:hAnsi="Arial"/>
          <w:sz w:val="22"/>
          <w:szCs w:val="22"/>
          <w:color w:val="auto"/>
        </w:rPr>
        <w:t>o</w:t>
      </w:r>
      <w:r>
        <w:rPr>
          <w:rFonts w:ascii="Arial" w:cs="Arial" w:eastAsia="Arial" w:hAnsi="Arial"/>
          <w:sz w:val="16"/>
          <w:szCs w:val="16"/>
          <w:color w:val="auto"/>
        </w:rPr>
        <w:t>An investment adviser in accordance with §240.13d-1(b)(1)(ii)(E);</w:t>
      </w:r>
    </w:p>
    <w:p>
      <w:pPr>
        <w:spacing w:after="0" w:line="98" w:lineRule="exact"/>
        <w:rPr>
          <w:rFonts w:ascii="Arial" w:cs="Arial" w:eastAsia="Arial" w:hAnsi="Arial"/>
          <w:sz w:val="18"/>
          <w:szCs w:val="18"/>
          <w:color w:val="auto"/>
        </w:rPr>
      </w:pPr>
    </w:p>
    <w:p>
      <w:pPr>
        <w:ind w:left="1780" w:hanging="570"/>
        <w:spacing w:after="0"/>
        <w:tabs>
          <w:tab w:leader="none" w:pos="1780" w:val="left"/>
        </w:tabs>
        <w:numPr>
          <w:ilvl w:val="0"/>
          <w:numId w:val="7"/>
        </w:numPr>
        <w:rPr>
          <w:rFonts w:ascii="Arial" w:cs="Arial" w:eastAsia="Arial" w:hAnsi="Arial"/>
          <w:sz w:val="18"/>
          <w:szCs w:val="18"/>
          <w:color w:val="auto"/>
        </w:rPr>
      </w:pPr>
      <w:r>
        <w:rPr>
          <w:rFonts w:ascii="Arial" w:cs="Arial" w:eastAsia="Arial" w:hAnsi="Arial"/>
          <w:sz w:val="22"/>
          <w:szCs w:val="22"/>
          <w:color w:val="auto"/>
        </w:rPr>
        <w:t>o</w:t>
      </w:r>
      <w:r>
        <w:rPr>
          <w:rFonts w:ascii="Arial" w:cs="Arial" w:eastAsia="Arial" w:hAnsi="Arial"/>
          <w:sz w:val="16"/>
          <w:szCs w:val="16"/>
          <w:color w:val="auto"/>
        </w:rPr>
        <w:t>An employee benefit plan or endowment fund in accordance with §240.13d-1(b)(1)(ii)(F);</w:t>
      </w:r>
    </w:p>
    <w:p>
      <w:pPr>
        <w:spacing w:after="0" w:line="98" w:lineRule="exact"/>
        <w:rPr>
          <w:rFonts w:ascii="Arial" w:cs="Arial" w:eastAsia="Arial" w:hAnsi="Arial"/>
          <w:sz w:val="18"/>
          <w:szCs w:val="18"/>
          <w:color w:val="auto"/>
        </w:rPr>
      </w:pPr>
    </w:p>
    <w:p>
      <w:pPr>
        <w:ind w:left="1780" w:hanging="570"/>
        <w:spacing w:after="0"/>
        <w:tabs>
          <w:tab w:leader="none" w:pos="1780" w:val="left"/>
        </w:tabs>
        <w:numPr>
          <w:ilvl w:val="0"/>
          <w:numId w:val="7"/>
        </w:numPr>
        <w:rPr>
          <w:rFonts w:ascii="Arial" w:cs="Arial" w:eastAsia="Arial" w:hAnsi="Arial"/>
          <w:sz w:val="18"/>
          <w:szCs w:val="18"/>
          <w:color w:val="auto"/>
        </w:rPr>
      </w:pPr>
      <w:r>
        <w:rPr>
          <w:rFonts w:ascii="Arial" w:cs="Arial" w:eastAsia="Arial" w:hAnsi="Arial"/>
          <w:sz w:val="22"/>
          <w:szCs w:val="22"/>
          <w:color w:val="auto"/>
        </w:rPr>
        <w:t>o</w:t>
      </w:r>
      <w:r>
        <w:rPr>
          <w:rFonts w:ascii="Arial" w:cs="Arial" w:eastAsia="Arial" w:hAnsi="Arial"/>
          <w:sz w:val="16"/>
          <w:szCs w:val="16"/>
          <w:color w:val="auto"/>
        </w:rPr>
        <w:t>A parent holding company or control person in accordance with § 240.13d-1(b)(1)(ii)(G);</w:t>
      </w:r>
    </w:p>
    <w:p>
      <w:pPr>
        <w:spacing w:after="0" w:line="98" w:lineRule="exact"/>
        <w:rPr>
          <w:rFonts w:ascii="Arial" w:cs="Arial" w:eastAsia="Arial" w:hAnsi="Arial"/>
          <w:sz w:val="18"/>
          <w:szCs w:val="18"/>
          <w:color w:val="auto"/>
        </w:rPr>
      </w:pPr>
    </w:p>
    <w:p>
      <w:pPr>
        <w:ind w:left="1780" w:hanging="570"/>
        <w:spacing w:after="0"/>
        <w:tabs>
          <w:tab w:leader="none" w:pos="1780" w:val="left"/>
        </w:tabs>
        <w:numPr>
          <w:ilvl w:val="0"/>
          <w:numId w:val="7"/>
        </w:numPr>
        <w:rPr>
          <w:rFonts w:ascii="Arial" w:cs="Arial" w:eastAsia="Arial" w:hAnsi="Arial"/>
          <w:sz w:val="18"/>
          <w:szCs w:val="18"/>
          <w:color w:val="auto"/>
        </w:rPr>
      </w:pPr>
      <w:r>
        <w:rPr>
          <w:rFonts w:ascii="Arial" w:cs="Arial" w:eastAsia="Arial" w:hAnsi="Arial"/>
          <w:sz w:val="22"/>
          <w:szCs w:val="22"/>
          <w:color w:val="auto"/>
        </w:rPr>
        <w:t>o</w:t>
      </w:r>
      <w:r>
        <w:rPr>
          <w:rFonts w:ascii="Arial" w:cs="Arial" w:eastAsia="Arial" w:hAnsi="Arial"/>
          <w:sz w:val="15"/>
          <w:szCs w:val="15"/>
          <w:color w:val="auto"/>
        </w:rPr>
        <w:t>A savings associations as defined in Section 3(b) of the Federal Deposit Insurance Act (12 U.S.C. 1813);</w:t>
      </w:r>
    </w:p>
    <w:p>
      <w:pPr>
        <w:spacing w:after="0" w:line="111"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360" w:type="dxa"/>
            <w:vAlign w:val="bottom"/>
            <w:vMerge w:val="restart"/>
          </w:tcPr>
          <w:p>
            <w:pPr>
              <w:spacing w:after="0"/>
              <w:rPr>
                <w:sz w:val="20"/>
                <w:szCs w:val="20"/>
                <w:color w:val="auto"/>
              </w:rPr>
            </w:pPr>
            <w:r>
              <w:rPr>
                <w:rFonts w:ascii="Arial" w:cs="Arial" w:eastAsia="Arial" w:hAnsi="Arial"/>
                <w:sz w:val="18"/>
                <w:szCs w:val="18"/>
                <w:color w:val="auto"/>
              </w:rPr>
              <w:t>(i)</w:t>
            </w:r>
          </w:p>
        </w:tc>
        <w:tc>
          <w:tcPr>
            <w:tcW w:w="540" w:type="dxa"/>
            <w:vAlign w:val="bottom"/>
            <w:vMerge w:val="restart"/>
          </w:tcPr>
          <w:p>
            <w:pPr>
              <w:ind w:left="200"/>
              <w:spacing w:after="0"/>
              <w:rPr>
                <w:sz w:val="20"/>
                <w:szCs w:val="20"/>
                <w:color w:val="auto"/>
              </w:rPr>
            </w:pPr>
            <w:r>
              <w:rPr>
                <w:rFonts w:ascii="Arial" w:cs="Arial" w:eastAsia="Arial" w:hAnsi="Arial"/>
                <w:sz w:val="22"/>
                <w:szCs w:val="22"/>
                <w:color w:val="auto"/>
              </w:rPr>
              <w:t>o</w:t>
            </w:r>
          </w:p>
        </w:tc>
        <w:tc>
          <w:tcPr>
            <w:tcW w:w="9240" w:type="dxa"/>
            <w:vAlign w:val="bottom"/>
          </w:tcPr>
          <w:p>
            <w:pPr>
              <w:ind w:left="220"/>
              <w:spacing w:after="0"/>
              <w:rPr>
                <w:sz w:val="20"/>
                <w:szCs w:val="20"/>
                <w:color w:val="auto"/>
              </w:rPr>
            </w:pPr>
            <w:r>
              <w:rPr>
                <w:rFonts w:ascii="Arial" w:cs="Arial" w:eastAsia="Arial" w:hAnsi="Arial"/>
                <w:sz w:val="18"/>
                <w:szCs w:val="18"/>
                <w:color w:val="auto"/>
                <w:w w:val="89"/>
              </w:rPr>
              <w:t>A church plan that is excluded from the definition of an investment company under section 3(c)(14) of the Investment Company</w:t>
            </w:r>
          </w:p>
        </w:tc>
        <w:tc>
          <w:tcPr>
            <w:tcW w:w="0" w:type="dxa"/>
            <w:vAlign w:val="bottom"/>
          </w:tcPr>
          <w:p>
            <w:pPr>
              <w:spacing w:after="0"/>
              <w:rPr>
                <w:sz w:val="1"/>
                <w:szCs w:val="1"/>
                <w:color w:val="auto"/>
              </w:rPr>
            </w:pPr>
          </w:p>
        </w:tc>
      </w:tr>
      <w:tr>
        <w:trPr>
          <w:trHeight w:val="140"/>
        </w:trPr>
        <w:tc>
          <w:tcPr>
            <w:tcW w:w="36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Act of 1940 (15 U.S.C. 80a-3);</w:t>
            </w:r>
          </w:p>
        </w:tc>
        <w:tc>
          <w:tcPr>
            <w:tcW w:w="0" w:type="dxa"/>
            <w:vAlign w:val="bottom"/>
          </w:tcPr>
          <w:p>
            <w:pPr>
              <w:spacing w:after="0"/>
              <w:rPr>
                <w:sz w:val="1"/>
                <w:szCs w:val="1"/>
                <w:color w:val="auto"/>
              </w:rPr>
            </w:pPr>
          </w:p>
        </w:tc>
      </w:tr>
      <w:tr>
        <w:trPr>
          <w:trHeight w:val="83"/>
        </w:trPr>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9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780" w:hanging="570"/>
        <w:spacing w:after="0"/>
        <w:tabs>
          <w:tab w:leader="none" w:pos="1780" w:val="left"/>
        </w:tabs>
        <w:numPr>
          <w:ilvl w:val="0"/>
          <w:numId w:val="8"/>
        </w:numPr>
        <w:rPr>
          <w:rFonts w:ascii="Arial" w:cs="Arial" w:eastAsia="Arial" w:hAnsi="Arial"/>
          <w:sz w:val="18"/>
          <w:szCs w:val="18"/>
          <w:color w:val="auto"/>
        </w:rPr>
      </w:pPr>
      <w:r>
        <w:rPr>
          <w:rFonts w:ascii="Arial" w:cs="Arial" w:eastAsia="Arial" w:hAnsi="Arial"/>
          <w:sz w:val="22"/>
          <w:szCs w:val="22"/>
          <w:color w:val="auto"/>
        </w:rPr>
        <w:t>o</w:t>
      </w:r>
      <w:r>
        <w:rPr>
          <w:rFonts w:ascii="Arial" w:cs="Arial" w:eastAsia="Arial" w:hAnsi="Arial"/>
          <w:sz w:val="16"/>
          <w:szCs w:val="16"/>
          <w:color w:val="auto"/>
        </w:rPr>
        <w:t>Group, in accordance with §240.13d-1(b)(1)(ii)(J).</w:t>
      </w:r>
    </w:p>
    <w:p>
      <w:pPr>
        <w:sectPr>
          <w:pgSz w:w="11900" w:h="16838" w:orient="portrait"/>
          <w:cols w:equalWidth="0" w:num="1">
            <w:col w:w="11360"/>
          </w:cols>
          <w:pgMar w:left="240" w:top="419" w:right="29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13G</w:t>
      </w:r>
    </w:p>
    <w:p>
      <w:pPr>
        <w:spacing w:after="0" w:line="381"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Ownership.</w:t>
      </w:r>
    </w:p>
    <w:p>
      <w:pPr>
        <w:spacing w:after="0" w:line="123" w:lineRule="exact"/>
        <w:rPr>
          <w:sz w:val="20"/>
          <w:szCs w:val="20"/>
          <w:color w:val="auto"/>
        </w:rPr>
      </w:pPr>
    </w:p>
    <w:p>
      <w:pPr>
        <w:ind w:left="1780" w:right="7480" w:hanging="570"/>
        <w:spacing w:after="0" w:line="375" w:lineRule="auto"/>
        <w:tabs>
          <w:tab w:leader="none" w:pos="1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1,336,138</w:t>
      </w:r>
    </w:p>
    <w:p>
      <w:pPr>
        <w:spacing w:after="0" w:line="1" w:lineRule="exact"/>
        <w:rPr>
          <w:rFonts w:ascii="Arial" w:cs="Arial" w:eastAsia="Arial" w:hAnsi="Arial"/>
          <w:sz w:val="18"/>
          <w:szCs w:val="18"/>
          <w:color w:val="auto"/>
        </w:rPr>
      </w:pPr>
    </w:p>
    <w:p>
      <w:pPr>
        <w:ind w:left="1780" w:hanging="570"/>
        <w:spacing w:after="0"/>
        <w:tabs>
          <w:tab w:leader="none" w:pos="1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rFonts w:ascii="Arial" w:cs="Arial" w:eastAsia="Arial" w:hAnsi="Arial"/>
          <w:sz w:val="18"/>
          <w:szCs w:val="18"/>
          <w:color w:val="auto"/>
        </w:rPr>
      </w:pPr>
    </w:p>
    <w:p>
      <w:pPr>
        <w:ind w:left="1780"/>
        <w:spacing w:after="0"/>
        <w:rPr>
          <w:rFonts w:ascii="Arial" w:cs="Arial" w:eastAsia="Arial" w:hAnsi="Arial"/>
          <w:sz w:val="18"/>
          <w:szCs w:val="18"/>
          <w:color w:val="auto"/>
        </w:rPr>
      </w:pPr>
      <w:r>
        <w:rPr>
          <w:rFonts w:ascii="Arial" w:cs="Arial" w:eastAsia="Arial" w:hAnsi="Arial"/>
          <w:sz w:val="18"/>
          <w:szCs w:val="18"/>
          <w:color w:val="auto"/>
        </w:rPr>
        <w:t>6.40%</w:t>
      </w:r>
    </w:p>
    <w:p>
      <w:pPr>
        <w:spacing w:after="0" w:line="117" w:lineRule="exact"/>
        <w:rPr>
          <w:rFonts w:ascii="Arial" w:cs="Arial" w:eastAsia="Arial" w:hAnsi="Arial"/>
          <w:sz w:val="18"/>
          <w:szCs w:val="18"/>
          <w:color w:val="auto"/>
        </w:rPr>
      </w:pPr>
    </w:p>
    <w:p>
      <w:pPr>
        <w:ind w:left="1780" w:hanging="570"/>
        <w:spacing w:after="0"/>
        <w:tabs>
          <w:tab w:leader="none" w:pos="1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340" w:right="6120" w:hanging="563"/>
        <w:spacing w:after="0" w:line="375" w:lineRule="auto"/>
        <w:tabs>
          <w:tab w:leader="none" w:pos="234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1,336,138</w:t>
      </w:r>
    </w:p>
    <w:p>
      <w:pPr>
        <w:spacing w:after="0" w:line="1" w:lineRule="exact"/>
        <w:rPr>
          <w:rFonts w:ascii="Arial" w:cs="Arial" w:eastAsia="Arial" w:hAnsi="Arial"/>
          <w:sz w:val="18"/>
          <w:szCs w:val="18"/>
          <w:color w:val="auto"/>
        </w:rPr>
      </w:pPr>
    </w:p>
    <w:p>
      <w:pPr>
        <w:ind w:left="2340" w:hanging="563"/>
        <w:spacing w:after="0"/>
        <w:tabs>
          <w:tab w:leader="none" w:pos="234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340" w:right="5240" w:hanging="563"/>
        <w:spacing w:after="0" w:line="375" w:lineRule="auto"/>
        <w:tabs>
          <w:tab w:leader="none" w:pos="234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1,336,138</w:t>
      </w:r>
    </w:p>
    <w:p>
      <w:pPr>
        <w:spacing w:after="0" w:line="1" w:lineRule="exact"/>
        <w:rPr>
          <w:rFonts w:ascii="Arial" w:cs="Arial" w:eastAsia="Arial" w:hAnsi="Arial"/>
          <w:sz w:val="18"/>
          <w:szCs w:val="18"/>
          <w:color w:val="auto"/>
        </w:rPr>
      </w:pPr>
    </w:p>
    <w:p>
      <w:pPr>
        <w:ind w:left="2340" w:hanging="563"/>
        <w:spacing w:after="0"/>
        <w:tabs>
          <w:tab w:leader="none" w:pos="234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200" w:lineRule="exact"/>
        <w:rPr>
          <w:sz w:val="20"/>
          <w:szCs w:val="20"/>
          <w:color w:val="auto"/>
        </w:rPr>
      </w:pPr>
    </w:p>
    <w:p>
      <w:pPr>
        <w:spacing w:after="0" w:line="247" w:lineRule="exact"/>
        <w:rPr>
          <w:sz w:val="20"/>
          <w:szCs w:val="20"/>
          <w:color w:val="auto"/>
        </w:rPr>
      </w:pPr>
    </w:p>
    <w:p>
      <w:pPr>
        <w:ind w:left="6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200" w:lineRule="exact"/>
        <w:rPr>
          <w:sz w:val="20"/>
          <w:szCs w:val="20"/>
          <w:color w:val="auto"/>
        </w:rPr>
      </w:pPr>
    </w:p>
    <w:p>
      <w:pPr>
        <w:spacing w:after="0" w:line="2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pacing w:after="0" w:line="2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200" w:lineRule="exact"/>
        <w:rPr>
          <w:sz w:val="20"/>
          <w:szCs w:val="20"/>
          <w:color w:val="auto"/>
        </w:rPr>
      </w:pPr>
    </w:p>
    <w:p>
      <w:pPr>
        <w:spacing w:after="0" w:line="2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ectPr>
          <w:pgSz w:w="11900" w:h="16838" w:orient="portrait"/>
          <w:cols w:equalWidth="0" w:num="1">
            <w:col w:w="11260"/>
          </w:cols>
          <w:pgMar w:left="240" w:top="419" w:right="399" w:bottom="0" w:gutter="0" w:footer="0" w:header="0"/>
        </w:sectPr>
      </w:pPr>
    </w:p>
    <w:p>
      <w:pPr>
        <w:spacing w:after="0" w:line="200" w:lineRule="exact"/>
        <w:rPr>
          <w:sz w:val="20"/>
          <w:szCs w:val="20"/>
          <w:color w:val="auto"/>
        </w:rPr>
      </w:pPr>
    </w:p>
    <w:p>
      <w:pPr>
        <w:spacing w:after="0" w:line="247" w:lineRule="exact"/>
        <w:rPr>
          <w:sz w:val="20"/>
          <w:szCs w:val="20"/>
          <w:color w:val="auto"/>
        </w:rPr>
      </w:pPr>
    </w:p>
    <w:p>
      <w:pPr>
        <w:ind w:left="6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60"/>
          </w:cols>
          <w:pgMar w:left="240" w:top="419" w:right="399" w:bottom="0"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175260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13G</w:t>
      </w:r>
    </w:p>
    <w:p>
      <w:pPr>
        <w:spacing w:after="0" w:line="200" w:lineRule="exact"/>
        <w:rPr>
          <w:sz w:val="20"/>
          <w:szCs w:val="20"/>
          <w:color w:val="auto"/>
        </w:rPr>
      </w:pPr>
    </w:p>
    <w:p>
      <w:pPr>
        <w:spacing w:after="0" w:line="397"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00" w:lineRule="exact"/>
        <w:rPr>
          <w:sz w:val="20"/>
          <w:szCs w:val="20"/>
          <w:color w:val="auto"/>
        </w:rPr>
      </w:pPr>
    </w:p>
    <w:p>
      <w:pPr>
        <w:spacing w:after="0" w:line="247" w:lineRule="exact"/>
        <w:rPr>
          <w:sz w:val="20"/>
          <w:szCs w:val="20"/>
          <w:color w:val="auto"/>
        </w:rPr>
      </w:pPr>
    </w:p>
    <w:p>
      <w:pPr>
        <w:jc w:val="both"/>
        <w:ind w:left="60" w:right="16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Date:</w:t>
            </w:r>
          </w:p>
        </w:tc>
        <w:tc>
          <w:tcPr>
            <w:tcW w:w="3720" w:type="dxa"/>
            <w:vAlign w:val="bottom"/>
          </w:tcPr>
          <w:p>
            <w:pPr>
              <w:spacing w:after="0"/>
              <w:rPr>
                <w:sz w:val="20"/>
                <w:szCs w:val="20"/>
                <w:color w:val="auto"/>
              </w:rPr>
            </w:pPr>
            <w:r>
              <w:rPr>
                <w:rFonts w:ascii="Arial" w:cs="Arial" w:eastAsia="Arial" w:hAnsi="Arial"/>
                <w:sz w:val="18"/>
                <w:szCs w:val="18"/>
                <w:color w:val="auto"/>
              </w:rPr>
              <w:t>January 30, 2003</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3720" w:type="dxa"/>
            <w:vAlign w:val="bottom"/>
          </w:tcPr>
          <w:p>
            <w:pPr>
              <w:spacing w:after="0"/>
              <w:rPr>
                <w:sz w:val="20"/>
                <w:szCs w:val="20"/>
                <w:color w:val="auto"/>
              </w:rPr>
            </w:pPr>
            <w:r>
              <w:rPr>
                <w:rFonts w:ascii="Arial" w:cs="Arial" w:eastAsia="Arial" w:hAnsi="Arial"/>
                <w:sz w:val="18"/>
                <w:szCs w:val="18"/>
                <w:color w:val="auto"/>
              </w:rPr>
              <w:t>/s/ Nicholas J. Cedrone</w:t>
            </w:r>
          </w:p>
        </w:tc>
        <w:tc>
          <w:tcPr>
            <w:tcW w:w="0" w:type="dxa"/>
            <w:vAlign w:val="bottom"/>
          </w:tcPr>
          <w:p>
            <w:pPr>
              <w:spacing w:after="0"/>
              <w:rPr>
                <w:sz w:val="1"/>
                <w:szCs w:val="1"/>
                <w:color w:val="auto"/>
              </w:rPr>
            </w:pPr>
          </w:p>
        </w:tc>
      </w:tr>
      <w:tr>
        <w:trPr>
          <w:trHeight w:val="97"/>
        </w:trPr>
        <w:tc>
          <w:tcPr>
            <w:tcW w:w="840" w:type="dxa"/>
            <w:vAlign w:val="bottom"/>
          </w:tcPr>
          <w:p>
            <w:pPr>
              <w:spacing w:after="0"/>
              <w:rPr>
                <w:sz w:val="8"/>
                <w:szCs w:val="8"/>
                <w:color w:val="auto"/>
              </w:rPr>
            </w:pPr>
          </w:p>
        </w:tc>
        <w:tc>
          <w:tcPr>
            <w:tcW w:w="37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720" w:type="dxa"/>
            <w:vAlign w:val="bottom"/>
          </w:tcPr>
          <w:p>
            <w:pPr>
              <w:spacing w:after="0"/>
              <w:rPr>
                <w:sz w:val="20"/>
                <w:szCs w:val="20"/>
                <w:color w:val="auto"/>
              </w:rPr>
            </w:pPr>
            <w:r>
              <w:rPr>
                <w:rFonts w:ascii="Arial" w:cs="Arial" w:eastAsia="Arial" w:hAnsi="Arial"/>
                <w:sz w:val="18"/>
                <w:szCs w:val="18"/>
                <w:color w:val="auto"/>
              </w:rPr>
              <w:t>Nicholas J. Cedrone</w:t>
            </w:r>
          </w:p>
        </w:tc>
        <w:tc>
          <w:tcPr>
            <w:tcW w:w="0" w:type="dxa"/>
            <w:vAlign w:val="bottom"/>
          </w:tcPr>
          <w:p>
            <w:pPr>
              <w:spacing w:after="0"/>
              <w:rPr>
                <w:sz w:val="1"/>
                <w:szCs w:val="1"/>
                <w:color w:val="auto"/>
              </w:rPr>
            </w:pPr>
          </w:p>
        </w:tc>
      </w:tr>
      <w:tr>
        <w:trPr>
          <w:trHeight w:val="96"/>
        </w:trPr>
        <w:tc>
          <w:tcPr>
            <w:tcW w:w="840" w:type="dxa"/>
            <w:vAlign w:val="bottom"/>
            <w:vMerge w:val="continue"/>
          </w:tcPr>
          <w:p>
            <w:pPr>
              <w:spacing w:after="0"/>
              <w:rPr>
                <w:sz w:val="8"/>
                <w:szCs w:val="8"/>
                <w:color w:val="auto"/>
              </w:rPr>
            </w:pPr>
          </w:p>
        </w:tc>
        <w:tc>
          <w:tcPr>
            <w:tcW w:w="37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sectPr>
      <w:pgSz w:w="11900" w:h="16838" w:orient="portrait"/>
      <w:cols w:equalWidth="0" w:num="1">
        <w:col w:w="11420"/>
      </w:cols>
      <w:pgMar w:left="240" w:top="4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2"/>
    </w:lvl>
    <w:lvl w:ilvl="1">
      <w:lvlJc w:val="left"/>
      <w:lvlText w:val="(%2)"/>
      <w:numFmt w:val="lowerLetter"/>
      <w:start w:val="1"/>
    </w:lvl>
  </w:abstractNum>
  <w:abstractNum w:abstractNumId="2">
    <w:nsid w:val="507ED7AB"/>
    <w:multiLevelType w:val="hybridMultilevel"/>
    <w:lvl w:ilvl="0">
      <w:lvlJc w:val="left"/>
      <w:lvlText w:val="%1"/>
      <w:numFmt w:val="decimal"/>
      <w:start w:val="1"/>
    </w:lvl>
    <w:lvl w:ilvl="1">
      <w:lvlJc w:val="left"/>
      <w:lvlText w:val="%2."/>
      <w:numFmt w:val="decimal"/>
      <w:start w:val="8"/>
    </w:lvl>
  </w:abstractNum>
  <w:abstractNum w:abstractNumId="3">
    <w:nsid w:val="2EB141F2"/>
    <w:multiLevelType w:val="hybridMultilevel"/>
    <w:lvl w:ilvl="0">
      <w:lvlJc w:val="left"/>
      <w:lvlText w:val="%1."/>
      <w:numFmt w:val="decimal"/>
      <w:start w:val="9"/>
    </w:lvl>
    <w:lvl w:ilvl="1">
      <w:lvlJc w:val="left"/>
      <w:lvlText w:val="%2"/>
      <w:numFmt w:val="decimal"/>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0"/>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2019-12-12T09:07:13Z</dcterms:created>
  <dcterms:modified xsi:type="dcterms:W3CDTF">2019-12-12T09:07:13Z</dcterms:modified>
</cp:coreProperties>
</file>