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WASHINGTON, D. C. 20549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38" w:lineRule="exact"/>
        <w:rPr>
          <w:sz w:val="20"/>
          <w:szCs w:val="20"/>
          <w:color w:val="auto"/>
        </w:rPr>
      </w:pPr>
    </w:p>
    <w:p>
      <w:pPr>
        <w:ind w:left="3800" w:right="2200" w:hanging="3792"/>
        <w:spacing w:after="0" w:line="525" w:lineRule="auto"/>
        <w:tabs>
          <w:tab w:leader="none" w:pos="30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2002</w:t>
      </w:r>
    </w:p>
    <w:p>
      <w:pPr>
        <w:spacing w:after="0" w:line="391" w:lineRule="exact"/>
        <w:rPr>
          <w:sz w:val="20"/>
          <w:szCs w:val="20"/>
          <w:color w:val="auto"/>
        </w:rPr>
      </w:pPr>
    </w:p>
    <w:p>
      <w:pPr>
        <w:ind w:right="2180" w:firstLine="8"/>
        <w:spacing w:after="0" w:line="485" w:lineRule="auto"/>
        <w:tabs>
          <w:tab w:leader="none" w:pos="19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Commission file number 1-4298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80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7"/>
              </w:rPr>
              <w:t>95-1934119</w:t>
            </w:r>
          </w:p>
        </w:tc>
      </w:tr>
      <w:tr>
        <w:trPr>
          <w:trHeight w:val="110"/>
        </w:trPr>
        <w:tc>
          <w:tcPr>
            <w:tcW w:w="5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r>
      <w:tr>
        <w:trPr>
          <w:trHeight w:val="309"/>
        </w:trPr>
        <w:tc>
          <w:tcPr>
            <w:tcW w:w="5620" w:type="dxa"/>
            <w:vAlign w:val="bottom"/>
          </w:tcPr>
          <w:p>
            <w:pPr>
              <w:jc w:val="center"/>
              <w:spacing w:after="0"/>
              <w:rPr>
                <w:sz w:val="20"/>
                <w:szCs w:val="20"/>
                <w:color w:val="auto"/>
              </w:rPr>
            </w:pPr>
            <w:r>
              <w:rPr>
                <w:rFonts w:ascii="Arial" w:cs="Arial" w:eastAsia="Arial" w:hAnsi="Arial"/>
                <w:sz w:val="18"/>
                <w:szCs w:val="18"/>
                <w:color w:val="auto"/>
                <w:w w:val="89"/>
              </w:rPr>
              <w:t>(State or other jurisdiction of</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5620" w:type="dxa"/>
            <w:vAlign w:val="bottom"/>
          </w:tcPr>
          <w:p>
            <w:pPr>
              <w:jc w:val="center"/>
              <w:spacing w:after="0"/>
              <w:rPr>
                <w:sz w:val="20"/>
                <w:szCs w:val="20"/>
                <w:color w:val="auto"/>
              </w:rPr>
            </w:pPr>
            <w:r>
              <w:rPr>
                <w:rFonts w:ascii="Arial" w:cs="Arial" w:eastAsia="Arial" w:hAnsi="Arial"/>
                <w:sz w:val="18"/>
                <w:szCs w:val="18"/>
                <w:color w:val="auto"/>
                <w:w w:val="91"/>
              </w:rPr>
              <w:t>Incorporation or Organization)</w:t>
            </w: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59"/>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9"/>
              </w:rPr>
              <w:t>12367 Crosthwaite Circle, Poway, California</w:t>
            </w:r>
          </w:p>
        </w:tc>
        <w:tc>
          <w:tcPr>
            <w:tcW w:w="580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7"/>
              </w:rPr>
              <w:t>92064-6817</w:t>
            </w:r>
          </w:p>
        </w:tc>
      </w:tr>
      <w:tr>
        <w:trPr>
          <w:trHeight w:val="110"/>
        </w:trPr>
        <w:tc>
          <w:tcPr>
            <w:tcW w:w="5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r>
      <w:tr>
        <w:trPr>
          <w:trHeight w:val="316"/>
        </w:trPr>
        <w:tc>
          <w:tcPr>
            <w:tcW w:w="56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w:t>
            </w: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858-848-8100</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bl>
    <w:p>
      <w:pPr>
        <w:spacing w:after="0" w:line="21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[X] No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2002, the Registrant had 20,815,113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w:t>
        </w:r>
      </w:hyperlink>
    </w:p>
    <w:p>
      <w:pPr>
        <w:spacing w:after="0" w:line="8" w:lineRule="exact"/>
        <w:rPr>
          <w:sz w:val="20"/>
          <w:szCs w:val="20"/>
          <w:color w:val="auto"/>
        </w:rPr>
      </w:pPr>
    </w:p>
    <w:p>
      <w:pPr>
        <w:ind w:left="620" w:right="2839"/>
        <w:spacing w:after="0" w:line="267"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CONDENSED CONSOLIDATED BALANCE SHEETS</w:t>
        </w:r>
      </w:hyperlink>
      <w:r>
        <w:rPr>
          <w:rFonts w:ascii="Arial" w:cs="Arial" w:eastAsia="Arial" w:hAnsi="Arial"/>
          <w:sz w:val="19"/>
          <w:szCs w:val="19"/>
          <w:u w:val="single" w:color="auto"/>
          <w:color w:val="0000EE"/>
        </w:rPr>
        <w:t xml:space="preserve"> </w:t>
      </w:r>
      <w:hyperlink w:anchor="page7">
        <w:r>
          <w:rPr>
            <w:rFonts w:ascii="Arial" w:cs="Arial" w:eastAsia="Arial" w:hAnsi="Arial"/>
            <w:sz w:val="19"/>
            <w:szCs w:val="19"/>
            <w:u w:val="single" w:color="auto"/>
            <w:color w:val="0000EE"/>
          </w:rPr>
          <w:t>CONDENSED CONSOLIDATED STATEMENTS OF OPERATIONS</w:t>
        </w:r>
      </w:hyperlink>
      <w:r>
        <w:rPr>
          <w:rFonts w:ascii="Arial" w:cs="Arial" w:eastAsia="Arial" w:hAnsi="Arial"/>
          <w:sz w:val="19"/>
          <w:szCs w:val="19"/>
          <w:u w:val="single" w:color="auto"/>
          <w:color w:val="0000EE"/>
        </w:rPr>
        <w:t xml:space="preserve"> </w:t>
      </w:r>
      <w:hyperlink w:anchor="page8">
        <w:r>
          <w:rPr>
            <w:rFonts w:ascii="Arial" w:cs="Arial" w:eastAsia="Arial" w:hAnsi="Arial"/>
            <w:sz w:val="19"/>
            <w:szCs w:val="19"/>
            <w:u w:val="single" w:color="auto"/>
            <w:color w:val="0000EE"/>
          </w:rPr>
          <w:t>CONDENSED CONSOLIDATED STATEMENTS OF CASH FLOWS</w:t>
        </w:r>
      </w:hyperlink>
    </w:p>
    <w:p>
      <w:pPr>
        <w:ind w:left="320" w:right="959" w:firstLine="311"/>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UNAUDITED CONDENSED CONSOLIDATED FINANCIAL STATEMENTS</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Item 2. MANAGEMENT’S DISCUSSION AND ANALYSIS OF FINANCIAL CONDITION</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Item 4. Controls and Procedures.</w:t>
        </w:r>
      </w:hyperlink>
    </w:p>
    <w:p>
      <w:pPr>
        <w:spacing w:after="0" w:line="233"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Part II OTHER INFORMATION</w:t>
        </w:r>
      </w:hyperlink>
    </w:p>
    <w:p>
      <w:pPr>
        <w:ind w:left="320"/>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5. Other Information</w:t>
        </w:r>
      </w:hyperlink>
    </w:p>
    <w:p>
      <w:pPr>
        <w:ind w:left="3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CERTIFICATION</w:t>
        </w:r>
      </w:hyperlink>
    </w:p>
    <w:p>
      <w:pPr>
        <w:spacing w:after="0" w:line="231" w:lineRule="auto"/>
        <w:rPr>
          <w:sz w:val="20"/>
          <w:szCs w:val="20"/>
          <w:color w:val="auto"/>
        </w:rPr>
      </w:pPr>
      <w:r>
        <w:rPr>
          <w:rFonts w:ascii="Arial" w:cs="Arial" w:eastAsia="Arial" w:hAnsi="Arial"/>
          <w:sz w:val="22"/>
          <w:szCs w:val="22"/>
          <w:u w:val="single" w:color="auto"/>
          <w:color w:val="0000EE"/>
        </w:rPr>
        <w:t>EXHIBIT 99.1</w:t>
      </w:r>
    </w:p>
    <w:p>
      <w:pPr>
        <w:spacing w:after="0"/>
        <w:rPr>
          <w:sz w:val="20"/>
          <w:szCs w:val="20"/>
          <w:color w:val="auto"/>
        </w:rPr>
      </w:pPr>
      <w:r>
        <w:rPr>
          <w:rFonts w:ascii="Arial" w:cs="Arial" w:eastAsia="Arial" w:hAnsi="Arial"/>
          <w:sz w:val="22"/>
          <w:szCs w:val="22"/>
          <w:u w:val="single" w:color="auto"/>
          <w:color w:val="0000EE"/>
        </w:rPr>
        <w:t>EXHIBIT 99.2</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2002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Page Number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shd w:val="clear" w:color="auto" w:fill="EEEEEE"/>
          </w:tcPr>
          <w:p>
            <w:pPr>
              <w:ind w:left="30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tcPr>
          <w:p>
            <w:pPr>
              <w:ind w:left="300"/>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9420" w:type="dxa"/>
            <w:vAlign w:val="bottom"/>
            <w:shd w:val="clear" w:color="auto" w:fill="EEEEEE"/>
          </w:tcPr>
          <w:p>
            <w:pPr>
              <w:ind w:left="840"/>
              <w:spacing w:after="0"/>
              <w:rPr>
                <w:sz w:val="20"/>
                <w:szCs w:val="20"/>
                <w:color w:val="auto"/>
              </w:rPr>
            </w:pPr>
            <w:r>
              <w:rPr>
                <w:rFonts w:ascii="Arial" w:cs="Arial" w:eastAsia="Arial" w:hAnsi="Arial"/>
                <w:sz w:val="18"/>
                <w:szCs w:val="18"/>
                <w:color w:val="auto"/>
              </w:rPr>
              <w:t>Condensed Consolidated Balance Sheets</w:t>
            </w: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shd w:val="clear" w:color="auto" w:fill="EEEEEE"/>
          </w:tcPr>
          <w:p>
            <w:pPr>
              <w:spacing w:after="0"/>
              <w:rPr>
                <w:sz w:val="19"/>
                <w:szCs w:val="19"/>
                <w:color w:val="auto"/>
              </w:rPr>
            </w:pPr>
          </w:p>
        </w:tc>
        <w:tc>
          <w:tcPr>
            <w:tcW w:w="9420" w:type="dxa"/>
            <w:vAlign w:val="bottom"/>
            <w:shd w:val="clear" w:color="auto" w:fill="EEEEEE"/>
          </w:tcPr>
          <w:p>
            <w:pPr>
              <w:ind w:left="840"/>
              <w:spacing w:after="0"/>
              <w:rPr>
                <w:sz w:val="20"/>
                <w:szCs w:val="20"/>
                <w:color w:val="auto"/>
              </w:rPr>
            </w:pPr>
            <w:r>
              <w:rPr>
                <w:rFonts w:ascii="Arial" w:cs="Arial" w:eastAsia="Arial" w:hAnsi="Arial"/>
                <w:sz w:val="18"/>
                <w:szCs w:val="18"/>
                <w:color w:val="auto"/>
              </w:rPr>
              <w:t>September 30, 2002 and December 31, 2001</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20" w:type="dxa"/>
            <w:vAlign w:val="bottom"/>
          </w:tcPr>
          <w:p>
            <w:pPr>
              <w:ind w:left="840"/>
              <w:spacing w:after="0"/>
              <w:rPr>
                <w:sz w:val="20"/>
                <w:szCs w:val="20"/>
                <w:color w:val="auto"/>
              </w:rPr>
            </w:pPr>
            <w:r>
              <w:rPr>
                <w:rFonts w:ascii="Arial" w:cs="Arial" w:eastAsia="Arial" w:hAnsi="Arial"/>
                <w:sz w:val="18"/>
                <w:szCs w:val="18"/>
                <w:color w:val="auto"/>
              </w:rPr>
              <w:t>Condensed Consolidated Statements of Operations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20" w:type="dxa"/>
            <w:vAlign w:val="bottom"/>
          </w:tcPr>
          <w:p>
            <w:pPr>
              <w:ind w:left="840"/>
              <w:spacing w:after="0"/>
              <w:rPr>
                <w:sz w:val="20"/>
                <w:szCs w:val="20"/>
                <w:color w:val="auto"/>
              </w:rPr>
            </w:pPr>
            <w:r>
              <w:rPr>
                <w:rFonts w:ascii="Arial" w:cs="Arial" w:eastAsia="Arial" w:hAnsi="Arial"/>
                <w:sz w:val="18"/>
                <w:szCs w:val="18"/>
                <w:color w:val="auto"/>
              </w:rPr>
              <w:t>Three and Nine Months Ended September 30, 2002 and 2001</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9420" w:type="dxa"/>
            <w:vAlign w:val="bottom"/>
            <w:shd w:val="clear" w:color="auto" w:fill="EEEEEE"/>
          </w:tcPr>
          <w:p>
            <w:pPr>
              <w:ind w:left="840"/>
              <w:spacing w:after="0"/>
              <w:rPr>
                <w:sz w:val="20"/>
                <w:szCs w:val="20"/>
                <w:color w:val="auto"/>
              </w:rPr>
            </w:pPr>
            <w:r>
              <w:rPr>
                <w:rFonts w:ascii="Arial" w:cs="Arial" w:eastAsia="Arial" w:hAnsi="Arial"/>
                <w:sz w:val="18"/>
                <w:szCs w:val="18"/>
                <w:color w:val="auto"/>
              </w:rPr>
              <w:t>Condensed Consolidated Statements of Cash Flows</w:t>
            </w: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shd w:val="clear" w:color="auto" w:fill="EEEEEE"/>
          </w:tcPr>
          <w:p>
            <w:pPr>
              <w:spacing w:after="0"/>
              <w:rPr>
                <w:sz w:val="19"/>
                <w:szCs w:val="19"/>
                <w:color w:val="auto"/>
              </w:rPr>
            </w:pPr>
          </w:p>
        </w:tc>
        <w:tc>
          <w:tcPr>
            <w:tcW w:w="9420" w:type="dxa"/>
            <w:vAlign w:val="bottom"/>
            <w:shd w:val="clear" w:color="auto" w:fill="EEEEEE"/>
          </w:tcPr>
          <w:p>
            <w:pPr>
              <w:ind w:left="840"/>
              <w:spacing w:after="0"/>
              <w:rPr>
                <w:sz w:val="20"/>
                <w:szCs w:val="20"/>
                <w:color w:val="auto"/>
              </w:rPr>
            </w:pPr>
            <w:r>
              <w:rPr>
                <w:rFonts w:ascii="Arial" w:cs="Arial" w:eastAsia="Arial" w:hAnsi="Arial"/>
                <w:sz w:val="18"/>
                <w:szCs w:val="18"/>
                <w:color w:val="auto"/>
              </w:rPr>
              <w:t>Nine Months Ended September 30, 2002 and 2001</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20" w:type="dxa"/>
            <w:vAlign w:val="bottom"/>
          </w:tcPr>
          <w:p>
            <w:pPr>
              <w:ind w:left="840"/>
              <w:spacing w:after="0"/>
              <w:rPr>
                <w:sz w:val="20"/>
                <w:szCs w:val="20"/>
                <w:color w:val="auto"/>
              </w:rPr>
            </w:pPr>
            <w:r>
              <w:rPr>
                <w:rFonts w:ascii="Arial" w:cs="Arial" w:eastAsia="Arial" w:hAnsi="Arial"/>
                <w:sz w:val="18"/>
                <w:szCs w:val="18"/>
                <w:color w:val="auto"/>
              </w:rPr>
              <w:t>Notes to Unaudited Condensed Consolidated Financial Statements</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4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Management's Discussion and Analysis of</w:t>
            </w: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shd w:val="clear" w:color="auto" w:fill="EEEEEE"/>
          </w:tcPr>
          <w:p>
            <w:pPr>
              <w:spacing w:after="0"/>
              <w:rPr>
                <w:sz w:val="19"/>
                <w:szCs w:val="19"/>
                <w:color w:val="auto"/>
              </w:rPr>
            </w:pPr>
          </w:p>
        </w:tc>
        <w:tc>
          <w:tcPr>
            <w:tcW w:w="94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Financial Condition and Results of Operations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4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Controls and Procedures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tcPr>
          <w:p>
            <w:pPr>
              <w:ind w:left="30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94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Other Information</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Item 6.</w:t>
            </w:r>
          </w:p>
        </w:tc>
        <w:tc>
          <w:tcPr>
            <w:tcW w:w="9420" w:type="dxa"/>
            <w:vAlign w:val="bottom"/>
          </w:tcPr>
          <w:p>
            <w:pPr>
              <w:ind w:left="300"/>
              <w:spacing w:after="0"/>
              <w:rPr>
                <w:sz w:val="20"/>
                <w:szCs w:val="20"/>
                <w:color w:val="auto"/>
              </w:rPr>
            </w:pPr>
            <w:r>
              <w:rPr>
                <w:rFonts w:ascii="Arial" w:cs="Arial" w:eastAsia="Arial" w:hAnsi="Arial"/>
                <w:sz w:val="18"/>
                <w:szCs w:val="18"/>
                <w:color w:val="auto"/>
              </w:rPr>
              <w:t>Exhibits and Reports on Form 8-K</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94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Certifications</w:t>
            </w:r>
          </w:p>
        </w:tc>
        <w:tc>
          <w:tcPr>
            <w:tcW w:w="942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20" w:type="dxa"/>
            <w:vAlign w:val="bottom"/>
          </w:tcPr>
          <w:p>
            <w:pPr>
              <w:ind w:left="444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94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 except par value)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 2002</w:t>
            </w:r>
          </w:p>
        </w:tc>
        <w:tc>
          <w:tcPr>
            <w:tcW w:w="240" w:type="dxa"/>
            <w:vAlign w:val="bottom"/>
          </w:tcPr>
          <w:p>
            <w:pPr>
              <w:spacing w:after="0"/>
              <w:rPr>
                <w:sz w:val="15"/>
                <w:szCs w:val="15"/>
                <w:color w:val="auto"/>
              </w:rPr>
            </w:pPr>
          </w:p>
        </w:tc>
        <w:tc>
          <w:tcPr>
            <w:tcW w:w="15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 2001*</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color w:val="auto"/>
                <w:w w:val="87"/>
              </w:rPr>
              <w:t>(unaudited)</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60,102</w:t>
            </w:r>
          </w:p>
        </w:tc>
        <w:tc>
          <w:tcPr>
            <w:tcW w:w="5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65,510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51,583</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24,457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w w:val="95"/>
              </w:rPr>
              <w:t>Accounts receivable, less allowance for doubtful accounts of $1,364 in 2002 and</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630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$1,889 in 2001</w:t>
            </w:r>
          </w:p>
        </w:tc>
        <w:tc>
          <w:tcPr>
            <w:tcW w:w="4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20,549</w:t>
            </w:r>
          </w:p>
        </w:tc>
        <w:tc>
          <w:tcPr>
            <w:tcW w:w="5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25,904</w:t>
            </w:r>
          </w:p>
        </w:tc>
        <w:tc>
          <w:tcPr>
            <w:tcW w:w="5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Raw materials and purchased parts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12,063</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13,982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ind w:left="440"/>
              <w:spacing w:after="0"/>
              <w:rPr>
                <w:sz w:val="20"/>
                <w:szCs w:val="20"/>
                <w:color w:val="auto"/>
              </w:rPr>
            </w:pPr>
            <w:r>
              <w:rPr>
                <w:rFonts w:ascii="Arial" w:cs="Arial" w:eastAsia="Arial" w:hAnsi="Arial"/>
                <w:sz w:val="18"/>
                <w:szCs w:val="18"/>
                <w:color w:val="auto"/>
              </w:rPr>
              <w:t>Work in process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8,961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Finished goods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6,139</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7,005</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27,163</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30,404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15,092</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15,092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1,935</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5,681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176,424</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167,048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Note receivable</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Land and land improvements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Buildings and building improvements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24,708</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24,610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24,289</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23,440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1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57,939</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56,988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23,902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21,139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Net property, plant and equipment</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34,037</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35,849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630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4"/>
              </w:rPr>
              <w:t>Other intangible assets, net of accumulated amortization of $208 in 2002 and $79 in</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12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2001</w:t>
            </w:r>
          </w:p>
        </w:tc>
        <w:tc>
          <w:tcPr>
            <w:tcW w:w="510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5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781</w:t>
            </w:r>
          </w:p>
        </w:tc>
        <w:tc>
          <w:tcPr>
            <w:tcW w:w="5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228,784</w:t>
            </w:r>
          </w:p>
        </w:tc>
        <w:tc>
          <w:tcPr>
            <w:tcW w:w="5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221,559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80" w:type="dxa"/>
            <w:vAlign w:val="bottom"/>
            <w:gridSpan w:val="3"/>
            <w:vMerge w:val="restart"/>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8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6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6,679</w:t>
            </w:r>
          </w:p>
        </w:tc>
        <w:tc>
          <w:tcPr>
            <w:tcW w:w="5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Accrued compensation and benefits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6,166</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5,224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Accrued warranty</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Customer advances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2,608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Deferred profit</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Other accrued liabilities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9,452</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3,932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4"/>
                <w:szCs w:val="24"/>
                <w:color w:val="auto"/>
              </w:rPr>
            </w:pPr>
          </w:p>
        </w:tc>
        <w:tc>
          <w:tcPr>
            <w:tcW w:w="6300" w:type="dxa"/>
            <w:vAlign w:val="bottom"/>
            <w:gridSpan w:val="2"/>
          </w:tcPr>
          <w:p>
            <w:pPr>
              <w:ind w:left="44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33,205</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25,619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6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retiree medical benefits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1,101</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Preferred stock, $1 par value; 1,000 shares authorized, none issued</w:t>
            </w:r>
          </w:p>
        </w:tc>
        <w:tc>
          <w:tcPr>
            <w:tcW w:w="4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w w:val="92"/>
              </w:rPr>
              <w:t>Common stock, $1 par value; 60,000 shares authorized, 20,815 shares issued and</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outstanding in 2002 and 20,543 shares in 2001</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20,815</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20,543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Paid in capital</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14,335</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11,776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154,588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158,012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440</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4"/>
                <w:szCs w:val="24"/>
                <w:color w:val="auto"/>
              </w:rPr>
            </w:pPr>
          </w:p>
        </w:tc>
        <w:tc>
          <w:tcPr>
            <w:tcW w:w="6300" w:type="dxa"/>
            <w:vAlign w:val="bottom"/>
            <w:gridSpan w:val="2"/>
          </w:tcPr>
          <w:p>
            <w:pPr>
              <w:ind w:left="440"/>
              <w:spacing w:after="0"/>
              <w:rPr>
                <w:sz w:val="20"/>
                <w:szCs w:val="20"/>
                <w:color w:val="auto"/>
              </w:rPr>
            </w:pPr>
            <w:r>
              <w:rPr>
                <w:rFonts w:ascii="Arial" w:cs="Arial" w:eastAsia="Arial" w:hAnsi="Arial"/>
                <w:sz w:val="18"/>
                <w:szCs w:val="18"/>
                <w:color w:val="auto"/>
              </w:rPr>
              <w:t>Total stockholders’ equity</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190,178</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190,531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1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228,784</w:t>
            </w:r>
          </w:p>
        </w:tc>
        <w:tc>
          <w:tcPr>
            <w:tcW w:w="5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221,559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8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5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0560"/>
          </w:cols>
          <w:pgMar w:left="240" w:top="419" w:right="1099" w:bottom="0" w:gutter="0" w:footer="0" w:header="0"/>
        </w:sect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Amounts as of December 31, 2001 are derived from audited financial statements included in the Cohu 2001 Annual Report on Form 10-K.</w:t>
      </w:r>
    </w:p>
    <w:p>
      <w:pPr>
        <w:sectPr>
          <w:pgSz w:w="11900" w:h="16838" w:orient="portrait"/>
          <w:cols w:equalWidth="0" w:num="1">
            <w:col w:w="10560"/>
          </w:cols>
          <w:pgMar w:left="240" w:top="419" w:right="1099" w:bottom="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87"/>
              </w:rPr>
              <w:t>September 30,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September 30,</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36,811</w:t>
            </w:r>
          </w:p>
        </w:tc>
        <w:tc>
          <w:tcPr>
            <w:tcW w:w="2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25,430</w:t>
            </w:r>
          </w:p>
        </w:tc>
        <w:tc>
          <w:tcPr>
            <w:tcW w:w="3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106,706</w:t>
            </w:r>
          </w:p>
        </w:tc>
        <w:tc>
          <w:tcPr>
            <w:tcW w:w="8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98,429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24,463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21,387</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66,930</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75,306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8,136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7,004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24,094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22,071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6,015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6,472</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18,530</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19,692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500"/>
              <w:spacing w:after="0"/>
              <w:rPr>
                <w:sz w:val="20"/>
                <w:szCs w:val="20"/>
                <w:color w:val="auto"/>
              </w:rPr>
            </w:pPr>
            <w:r>
              <w:rPr>
                <w:rFonts w:ascii="Arial" w:cs="Arial" w:eastAsia="Arial" w:hAnsi="Arial"/>
                <w:sz w:val="18"/>
                <w:szCs w:val="18"/>
                <w:color w:val="auto"/>
              </w:rPr>
              <w:t>Gain on sale of facilities</w:t>
            </w:r>
          </w:p>
        </w:tc>
        <w:tc>
          <w:tcPr>
            <w:tcW w:w="280" w:type="dxa"/>
            <w:vAlign w:val="bottom"/>
          </w:tcPr>
          <w:p>
            <w:pPr>
              <w:spacing w:after="0"/>
              <w:rPr>
                <w:sz w:val="18"/>
                <w:szCs w:val="18"/>
                <w:color w:val="auto"/>
              </w:rPr>
            </w:pPr>
          </w:p>
        </w:tc>
        <w:tc>
          <w:tcPr>
            <w:tcW w:w="7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(7,746)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38,614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29,167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109,554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111,373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w w:val="91"/>
              </w:rPr>
              <w:t>(1,803)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1"/>
              </w:rPr>
              <w:t>(3,737)</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(2,848)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(12,944)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1,095</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w w:val="91"/>
              </w:rPr>
              <w:t>(1,155)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1"/>
              </w:rPr>
              <w:t>(2,642)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(712)</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19"/>
                <w:szCs w:val="19"/>
                <w:color w:val="auto"/>
              </w:rPr>
            </w:pP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(1,200)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(555)</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1"/>
              </w:rPr>
              <w:t>(1,442)</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(312)</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105"/>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3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(.03)</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(.07)</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(.02)</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560" w:type="dxa"/>
            <w:vAlign w:val="bottom"/>
            <w:gridSpan w:val="2"/>
          </w:tcPr>
          <w:p>
            <w:pPr>
              <w:spacing w:after="0"/>
              <w:rPr>
                <w:sz w:val="9"/>
                <w:szCs w:val="9"/>
                <w:color w:val="auto"/>
              </w:rPr>
            </w:pPr>
          </w:p>
        </w:tc>
        <w:tc>
          <w:tcPr>
            <w:tcW w:w="86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660" w:type="dxa"/>
            <w:vAlign w:val="bottom"/>
            <w:gridSpan w:val="2"/>
          </w:tcPr>
          <w:p>
            <w:pPr>
              <w:spacing w:after="0"/>
              <w:rPr>
                <w:sz w:val="9"/>
                <w:szCs w:val="9"/>
                <w:color w:val="auto"/>
              </w:rPr>
            </w:pPr>
          </w:p>
        </w:tc>
        <w:tc>
          <w:tcPr>
            <w:tcW w:w="920" w:type="dxa"/>
            <w:vAlign w:val="bottom"/>
            <w:gridSpan w:val="3"/>
          </w:tcPr>
          <w:p>
            <w:pPr>
              <w:spacing w:after="0"/>
              <w:rPr>
                <w:sz w:val="9"/>
                <w:szCs w:val="9"/>
                <w:color w:val="auto"/>
              </w:rPr>
            </w:pPr>
          </w:p>
        </w:tc>
        <w:tc>
          <w:tcPr>
            <w:tcW w:w="9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52"/>
              <w:spacing w:after="0"/>
              <w:rPr>
                <w:sz w:val="20"/>
                <w:szCs w:val="20"/>
                <w:color w:val="auto"/>
              </w:rPr>
            </w:pPr>
            <w:r>
              <w:rPr>
                <w:rFonts w:ascii="Arial" w:cs="Arial" w:eastAsia="Arial" w:hAnsi="Arial"/>
                <w:sz w:val="18"/>
                <w:szCs w:val="18"/>
                <w:color w:val="auto"/>
              </w:rPr>
              <w:t>(.03)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in computing net loss per share:</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20,795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20,470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20,409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20,795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20,470</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20,722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20,409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3"/>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2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3"/>
              </w:rPr>
              <w:t>September 30,</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Adjustments to reconcile net loss to net cash provided from operating activities:</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7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Gain on sale of facilities</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76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Decrease in accrued retiree medical benefits</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tcPr>
          <w:p>
            <w:pPr>
              <w:ind w:left="760"/>
              <w:spacing w:after="0"/>
              <w:rPr>
                <w:sz w:val="20"/>
                <w:szCs w:val="20"/>
                <w:color w:val="auto"/>
              </w:rPr>
            </w:pPr>
            <w:r>
              <w:rPr>
                <w:rFonts w:ascii="Arial" w:cs="Arial" w:eastAsia="Arial" w:hAnsi="Arial"/>
                <w:sz w:val="18"/>
                <w:szCs w:val="18"/>
                <w:color w:val="auto"/>
                <w:w w:val="99"/>
              </w:rPr>
              <w:t>Changes in assets and liabilities, net of effects from purchase of Automated</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900"/>
              <w:spacing w:after="0"/>
              <w:rPr>
                <w:sz w:val="20"/>
                <w:szCs w:val="20"/>
                <w:color w:val="auto"/>
              </w:rPr>
            </w:pPr>
            <w:r>
              <w:rPr>
                <w:rFonts w:ascii="Arial" w:cs="Arial" w:eastAsia="Arial" w:hAnsi="Arial"/>
                <w:sz w:val="18"/>
                <w:szCs w:val="18"/>
                <w:color w:val="auto"/>
              </w:rPr>
              <w:t>Systems:</w:t>
            </w: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5,355</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21,166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020"/>
              <w:spacing w:after="0"/>
              <w:rPr>
                <w:sz w:val="20"/>
                <w:szCs w:val="20"/>
                <w:color w:val="auto"/>
              </w:rPr>
            </w:pPr>
            <w:r>
              <w:rPr>
                <w:rFonts w:ascii="Arial" w:cs="Arial" w:eastAsia="Arial" w:hAnsi="Arial"/>
                <w:sz w:val="18"/>
                <w:szCs w:val="18"/>
                <w:color w:val="auto"/>
              </w:rPr>
              <w:t>Note receivable</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3,241</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14,420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02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3,746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(1,166)</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020"/>
              <w:spacing w:after="0"/>
              <w:rPr>
                <w:sz w:val="20"/>
                <w:szCs w:val="20"/>
                <w:color w:val="auto"/>
              </w:rPr>
            </w:pPr>
            <w:r>
              <w:rPr>
                <w:rFonts w:ascii="Arial" w:cs="Arial" w:eastAsia="Arial" w:hAnsi="Arial"/>
                <w:sz w:val="18"/>
                <w:szCs w:val="18"/>
                <w:color w:val="auto"/>
              </w:rPr>
              <w:t>Customer advances</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Deferred profit</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1,780</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1020"/>
              <w:spacing w:after="0"/>
              <w:rPr>
                <w:sz w:val="20"/>
                <w:szCs w:val="20"/>
                <w:color w:val="auto"/>
              </w:rPr>
            </w:pPr>
            <w:r>
              <w:rPr>
                <w:rFonts w:ascii="Arial" w:cs="Arial" w:eastAsia="Arial" w:hAnsi="Arial"/>
                <w:sz w:val="18"/>
                <w:szCs w:val="18"/>
                <w:color w:val="auto"/>
              </w:rPr>
              <w:t>Accrued compensation, warranty and other liabilities</w:t>
            </w: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6,260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Net cash provided from operating activities</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22,744</w:t>
            </w: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14,145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Purchases of short-term investments</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6"/>
              </w:rPr>
              <w:t>(31,030)</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6"/>
              </w:rPr>
              <w:t>(11,119)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500"/>
              <w:spacing w:after="0"/>
              <w:rPr>
                <w:sz w:val="20"/>
                <w:szCs w:val="20"/>
                <w:color w:val="auto"/>
              </w:rPr>
            </w:pPr>
            <w:r>
              <w:rPr>
                <w:rFonts w:ascii="Arial" w:cs="Arial" w:eastAsia="Arial" w:hAnsi="Arial"/>
                <w:sz w:val="18"/>
                <w:szCs w:val="18"/>
                <w:color w:val="auto"/>
              </w:rPr>
              <w:t>Sales and maturities of short-term investments</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4,264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Net proceeds from sale of facilities</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500"/>
              <w:spacing w:after="0"/>
              <w:rPr>
                <w:sz w:val="20"/>
                <w:szCs w:val="20"/>
                <w:color w:val="auto"/>
              </w:rPr>
            </w:pPr>
            <w:r>
              <w:rPr>
                <w:rFonts w:ascii="Arial" w:cs="Arial" w:eastAsia="Arial" w:hAnsi="Arial"/>
                <w:sz w:val="18"/>
                <w:szCs w:val="18"/>
                <w:color w:val="auto"/>
              </w:rPr>
              <w:t>Purchases of property, plant, equipment and other assets</w:t>
            </w:r>
          </w:p>
        </w:tc>
        <w:tc>
          <w:tcPr>
            <w:tcW w:w="4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(1,105)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Purchase of Automated Systems assets</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6"/>
              </w:rPr>
              <w:t>(14,300)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1020"/>
              <w:spacing w:after="0"/>
              <w:rPr>
                <w:sz w:val="20"/>
                <w:szCs w:val="20"/>
                <w:color w:val="auto"/>
              </w:rPr>
            </w:pPr>
            <w:r>
              <w:rPr>
                <w:rFonts w:ascii="Arial" w:cs="Arial" w:eastAsia="Arial" w:hAnsi="Arial"/>
                <w:sz w:val="18"/>
                <w:szCs w:val="18"/>
                <w:color w:val="auto"/>
              </w:rPr>
              <w:t>Net cash used for investing activities</w:t>
            </w:r>
          </w:p>
        </w:tc>
        <w:tc>
          <w:tcPr>
            <w:tcW w:w="4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(27,871)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(22,098)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500"/>
              <w:spacing w:after="0"/>
              <w:rPr>
                <w:sz w:val="20"/>
                <w:szCs w:val="20"/>
                <w:color w:val="auto"/>
              </w:rPr>
            </w:pPr>
            <w:r>
              <w:rPr>
                <w:rFonts w:ascii="Arial" w:cs="Arial" w:eastAsia="Arial" w:hAnsi="Arial"/>
                <w:sz w:val="18"/>
                <w:szCs w:val="18"/>
                <w:color w:val="auto"/>
              </w:rPr>
              <w:t>Issuance of stock, net</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Cash dividends</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(3,112)</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1020"/>
              <w:spacing w:after="0"/>
              <w:rPr>
                <w:sz w:val="20"/>
                <w:szCs w:val="20"/>
                <w:color w:val="auto"/>
              </w:rPr>
            </w:pPr>
            <w:r>
              <w:rPr>
                <w:rFonts w:ascii="Arial" w:cs="Arial" w:eastAsia="Arial" w:hAnsi="Arial"/>
                <w:sz w:val="18"/>
                <w:szCs w:val="18"/>
                <w:color w:val="auto"/>
              </w:rPr>
              <w:t>Net cash used for financing activities</w:t>
            </w:r>
          </w:p>
        </w:tc>
        <w:tc>
          <w:tcPr>
            <w:tcW w:w="4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(5,408)</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65,510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79,119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60,102</w:t>
            </w:r>
          </w:p>
        </w:tc>
        <w:tc>
          <w:tcPr>
            <w:tcW w:w="6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70,015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7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paid (refunded) during the period for:</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760"/>
              <w:spacing w:after="0"/>
              <w:rPr>
                <w:sz w:val="20"/>
                <w:szCs w:val="20"/>
                <w:color w:val="auto"/>
              </w:rPr>
            </w:pPr>
            <w:r>
              <w:rPr>
                <w:rFonts w:ascii="Arial" w:cs="Arial" w:eastAsia="Arial" w:hAnsi="Arial"/>
                <w:sz w:val="18"/>
                <w:szCs w:val="18"/>
                <w:color w:val="auto"/>
              </w:rPr>
              <w:t>Income taxes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(8,968)</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ind w:left="240" w:hanging="229"/>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rFonts w:ascii="Arial" w:cs="Arial" w:eastAsia="Arial" w:hAnsi="Arial"/>
          <w:sz w:val="18"/>
          <w:szCs w:val="18"/>
          <w:b w:val="1"/>
          <w:bCs w:val="1"/>
          <w:color w:val="auto"/>
        </w:rPr>
      </w:pPr>
    </w:p>
    <w:p>
      <w:pPr>
        <w:ind w:left="24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and nine months ended September 30, 2002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2001 and management’s discussion and analysis of financial condition and results of operations included elsewhere herein.</w:t>
      </w:r>
    </w:p>
    <w:p>
      <w:pPr>
        <w:spacing w:after="0" w:line="163" w:lineRule="exact"/>
        <w:rPr>
          <w:rFonts w:ascii="Arial" w:cs="Arial" w:eastAsia="Arial" w:hAnsi="Arial"/>
          <w:sz w:val="18"/>
          <w:szCs w:val="18"/>
          <w:b w:val="1"/>
          <w:bCs w:val="1"/>
          <w:color w:val="auto"/>
        </w:rPr>
      </w:pPr>
    </w:p>
    <w:p>
      <w:pPr>
        <w:ind w:left="240" w:hanging="229"/>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(loss) Per Share</w:t>
      </w:r>
    </w:p>
    <w:p>
      <w:pPr>
        <w:spacing w:after="0" w:line="231" w:lineRule="exact"/>
        <w:rPr>
          <w:rFonts w:ascii="Arial" w:cs="Arial" w:eastAsia="Arial" w:hAnsi="Arial"/>
          <w:sz w:val="18"/>
          <w:szCs w:val="18"/>
          <w:b w:val="1"/>
          <w:bCs w:val="1"/>
          <w:color w:val="auto"/>
        </w:rPr>
      </w:pPr>
    </w:p>
    <w:p>
      <w:pPr>
        <w:ind w:left="24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Income (loss) per share is computed in accordance with Financial Accounting Standards Board (“FASB”) Statement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income (loss) per share is computed using the weighted average number of common shares outstanding during each period. Diluted income (loss) per share includes the dilutive effect of common shares potentially issuable upon the exercise of stock options. For purposes of computing diluted income (loss) per share, stock options with exercise prices that exceed the average fair market value of the Company’s common stock for the period are excluded. The impact of stock options is excluded for loss periods as they would be antidilutive. The following table reconciles the denominators used in computing basic and diluted income (loss) per share:</w:t>
      </w:r>
    </w:p>
    <w:p>
      <w:pPr>
        <w:spacing w:after="0" w:line="200" w:lineRule="exact"/>
        <w:rPr>
          <w:sz w:val="20"/>
          <w:szCs w:val="20"/>
          <w:color w:val="auto"/>
        </w:rPr>
      </w:pPr>
    </w:p>
    <w:p>
      <w:pPr>
        <w:spacing w:after="0" w:line="22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72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98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9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20,795</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20,470</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20,722</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20,409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2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20,795</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24,470</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20,722</w:t>
            </w:r>
          </w:p>
        </w:tc>
        <w:tc>
          <w:tcPr>
            <w:tcW w:w="2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20,409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40" w:hanging="229"/>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Note Receivable</w:t>
      </w:r>
    </w:p>
    <w:p>
      <w:pPr>
        <w:spacing w:after="0" w:line="231" w:lineRule="exact"/>
        <w:rPr>
          <w:rFonts w:ascii="Arial" w:cs="Arial" w:eastAsia="Arial" w:hAnsi="Arial"/>
          <w:sz w:val="18"/>
          <w:szCs w:val="18"/>
          <w:b w:val="1"/>
          <w:bCs w:val="1"/>
          <w:color w:val="auto"/>
        </w:rPr>
      </w:pPr>
    </w:p>
    <w:p>
      <w:pPr>
        <w:ind w:left="24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April 2002, the Company extended the term of the $9.4 million promissory note with TC Kearny Villa, L.P. (“TC”). The 8% non-recourse note is secured by a deed of trust on land and buildings in San Diego, California sold by Cohu to TC in April 2001. The note amendment extended the due date of the note from April 2002 to March 31, 2003 and provided for a principal payment of $191,000. Interest at 8% was to continue to be paid monthly with the remaining principal balance of $9.2 million due on March 31, 2003.</w:t>
      </w:r>
    </w:p>
    <w:p>
      <w:pPr>
        <w:spacing w:after="0" w:line="197" w:lineRule="exact"/>
        <w:rPr>
          <w:rFonts w:ascii="Arial" w:cs="Arial" w:eastAsia="Arial" w:hAnsi="Arial"/>
          <w:sz w:val="18"/>
          <w:szCs w:val="18"/>
          <w:b w:val="1"/>
          <w:bCs w:val="1"/>
          <w:color w:val="auto"/>
        </w:rPr>
      </w:pPr>
    </w:p>
    <w:p>
      <w:pPr>
        <w:ind w:left="2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property is currently unoccupied and is being offered for sale or lease by TC. TC has not paid any interest on the note since May 2002 and an aggregate of $245,000 of interest is in arrears. As a result, the note is in default. If TC continues to fail to make the required interest payments Cohu will need to assess whether it is in its best interests to foreclose on the property. Cohu believes the fair value of the property is in excess of the outstanding note balance. However, while the Company believes the fair value of the property is more than $9.2 million, no assurances can be made that the net sale proceeds from the property, should Cohu dispose of the property through foreclosure, would exceed the outstanding note balance. If the sale proceeds were less than the note balance Cohu would realize a loss that would adversely impact operating results. Due to the uncertainty as to the timing of collection, the note receivable has been reclassified to a noncurrent asset at September 30, 2002. The note receivable at December 31, 2001 has been reclassified from a current to noncurrent asset for consistency of presentation.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ind w:left="240" w:hanging="229"/>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w:t>
      </w:r>
    </w:p>
    <w:p>
      <w:pPr>
        <w:spacing w:after="0" w:line="231" w:lineRule="exact"/>
        <w:rPr>
          <w:rFonts w:ascii="Arial" w:cs="Arial" w:eastAsia="Arial" w:hAnsi="Arial"/>
          <w:sz w:val="18"/>
          <w:szCs w:val="18"/>
          <w:b w:val="1"/>
          <w:bCs w:val="1"/>
          <w:color w:val="auto"/>
        </w:rPr>
      </w:pPr>
    </w:p>
    <w:p>
      <w:pPr>
        <w:ind w:left="24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Cohu had deferred tax assets totaling approximately $15.1 million at September 30, 2002. No valuation allowance has been provided on such assets as the Company believes it is more likely than not that all such assets will be realized. The Company reached this conclusion after considering the availability of taxable income in prior carryback years, tax planning strategies and the likelihood of future taxable income exclusive of reversing temporary differences and carryforwards. Differences between forecasted and actual future operating results could adversely impact the Company’s ability to realize these deferred tax assets.</w:t>
      </w:r>
    </w:p>
    <w:p>
      <w:pPr>
        <w:spacing w:after="0" w:line="196" w:lineRule="exact"/>
        <w:rPr>
          <w:rFonts w:ascii="Arial" w:cs="Arial" w:eastAsia="Arial" w:hAnsi="Arial"/>
          <w:sz w:val="18"/>
          <w:szCs w:val="18"/>
          <w:b w:val="1"/>
          <w:bCs w:val="1"/>
          <w:color w:val="auto"/>
        </w:rPr>
      </w:pPr>
    </w:p>
    <w:p>
      <w:pPr>
        <w:ind w:left="240" w:right="2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If Cohu continues to incur losses for an extended period of time, Cohu could be required to establish a valuation allowance against all or a significant portion of its net deferred tax assets. To the extent Cohu establishes a valuation allowance, a charge will be recorded within the provision for income taxes line in the statement of operations. The Company will continue to evaluate the realizability of deferred tax assets in 2002 by assessing the need for a valuation allowance.</w:t>
      </w:r>
    </w:p>
    <w:p>
      <w:pPr>
        <w:spacing w:after="0" w:line="136" w:lineRule="exact"/>
        <w:rPr>
          <w:rFonts w:ascii="Arial" w:cs="Arial" w:eastAsia="Arial" w:hAnsi="Arial"/>
          <w:sz w:val="18"/>
          <w:szCs w:val="18"/>
          <w:b w:val="1"/>
          <w:bCs w:val="1"/>
          <w:color w:val="auto"/>
        </w:rPr>
      </w:pPr>
    </w:p>
    <w:p>
      <w:pPr>
        <w:ind w:left="240" w:hanging="229"/>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31" w:lineRule="exact"/>
        <w:rPr>
          <w:rFonts w:ascii="Arial" w:cs="Arial" w:eastAsia="Arial" w:hAnsi="Arial"/>
          <w:sz w:val="18"/>
          <w:szCs w:val="18"/>
          <w:b w:val="1"/>
          <w:bCs w:val="1"/>
          <w:color w:val="auto"/>
        </w:rPr>
      </w:pPr>
    </w:p>
    <w:p>
      <w:pPr>
        <w:ind w:left="24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Cohu purchased the assets of the Automated Systems business (“AS”) from Schlumberger Technologies, Inc. in July 2001. The results of AS’s operations, that include approximately $10.8 million of net sales in the first nine months of 2002, have been included in Cohu’s financial statements since July 2001. The purchase price was allocated in accordance with FASB Statement No. 141 with $8.3 million allocated to nonamortizable goodwill and $860,000 allocated to amortizable other intangible assets with an estimated useful life of five years. The goodwill was assigned to Cohu’s semiconductor equipment segment. Cohu evaluated the goodwill and other intangible assets resulting from the AS acquisition for impairment at December 31, 2001 as required by FASB Statement No. 121. The Company compared the carrying value of such assets to estimated undiscounted cash flows expected to result from their use and concluded there was no impairment loss at December 31, 2001.</w:t>
      </w:r>
    </w:p>
    <w:p>
      <w:pPr>
        <w:spacing w:after="0" w:line="172" w:lineRule="exact"/>
        <w:rPr>
          <w:rFonts w:ascii="Arial" w:cs="Arial" w:eastAsia="Arial" w:hAnsi="Arial"/>
          <w:sz w:val="18"/>
          <w:szCs w:val="18"/>
          <w:b w:val="1"/>
          <w:bCs w:val="1"/>
          <w:color w:val="auto"/>
        </w:rPr>
      </w:pPr>
    </w:p>
    <w:p>
      <w:pPr>
        <w:ind w:left="240" w:right="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 xml:space="preserve">In October 2001, the FASB issued Statement No. 144, </w:t>
      </w:r>
      <w:r>
        <w:rPr>
          <w:rFonts w:ascii="Arial" w:cs="Arial" w:eastAsia="Arial" w:hAnsi="Arial"/>
          <w:sz w:val="15"/>
          <w:szCs w:val="15"/>
          <w:i w:val="1"/>
          <w:iCs w:val="1"/>
          <w:color w:val="auto"/>
        </w:rPr>
        <w:t>Accounting for the Impairment or Disposal of Long-Lived Assets,</w:t>
      </w:r>
      <w:r>
        <w:rPr>
          <w:rFonts w:ascii="Arial" w:cs="Arial" w:eastAsia="Arial" w:hAnsi="Arial"/>
          <w:sz w:val="15"/>
          <w:szCs w:val="15"/>
          <w:color w:val="auto"/>
        </w:rPr>
        <w:t xml:space="preserve"> which supersedes Statement No. 121. 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and measurement of long-lived assets to be disposed of by sale. Cohu adopted FASB No. 144 effective January 1, 2002.</w:t>
      </w:r>
    </w:p>
    <w:p>
      <w:pPr>
        <w:spacing w:after="0" w:line="151" w:lineRule="exact"/>
        <w:rPr>
          <w:rFonts w:ascii="Arial" w:cs="Arial" w:eastAsia="Arial" w:hAnsi="Arial"/>
          <w:sz w:val="18"/>
          <w:szCs w:val="18"/>
          <w:b w:val="1"/>
          <w:bCs w:val="1"/>
          <w:color w:val="auto"/>
        </w:rPr>
      </w:pPr>
    </w:p>
    <w:p>
      <w:pPr>
        <w:ind w:left="2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 xml:space="preserve">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was issued in June 2001. Statement No. 142 uses a different goodwill impairment assessment methodology than Statement No. 121. The Company was required to fully adopt Statement No. 142 effective January 1, 2002. The Company completed a transitional goodwill impairment test as of January 1, 2002 in June 2002. The Company did not record an impairment loss as a result of the transitional goodwill impairment test. FASB No. 142 also requires that goodwill be tested for impairment on an annual basis and more frequently in certain circumstances. Cohu will again test goodwill for impairment in the fourth quarter of 2002. This test includes a comparison of asset fair values and carrying values. As a result of this test it is possible that all or a portion of Cohu’s $8.3 million of goodwill at September 30, 2002 may be impaired resulting in a writedown and corresponding charge to operating results in the fourth quarter. The Company evaluated the other intangible assets for impairment at September 30, 2002 under FASB Statement No. 144, and concluded there was no impairment loss. However, effective October 1, 2002, the Company reduced the estimated useful life of such intangible assets to one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ind w:left="240" w:hanging="229"/>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3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Components of comprehensive income (loss), on an after-tax basis where applicable, were as follows:</w:t>
      </w:r>
    </w:p>
    <w:p>
      <w:pPr>
        <w:spacing w:after="0" w:line="200" w:lineRule="exact"/>
        <w:rPr>
          <w:sz w:val="20"/>
          <w:szCs w:val="20"/>
          <w:color w:val="auto"/>
        </w:rPr>
      </w:pPr>
    </w:p>
    <w:p>
      <w:pPr>
        <w:spacing w:after="0" w:line="253"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color w:val="auto"/>
                <w:w w:val="87"/>
              </w:rPr>
              <w:t>Three Months Ended</w:t>
            </w:r>
          </w:p>
        </w:tc>
        <w:tc>
          <w:tcPr>
            <w:tcW w:w="300" w:type="dxa"/>
            <w:vAlign w:val="bottom"/>
          </w:tcPr>
          <w:p>
            <w:pPr>
              <w:spacing w:after="0"/>
              <w:rPr>
                <w:sz w:val="14"/>
                <w:szCs w:val="14"/>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color w:val="auto"/>
                <w:w w:val="85"/>
              </w:rPr>
              <w:t>September 30, 2002</w:t>
            </w:r>
          </w:p>
        </w:tc>
        <w:tc>
          <w:tcPr>
            <w:tcW w:w="30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September 30,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3"/>
          </w:tcPr>
          <w:p>
            <w:pPr>
              <w:jc w:val="right"/>
              <w:ind w:right="92"/>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$(555)</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w w:val="85"/>
              </w:rPr>
              <w:t>(312)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Change in unrealized gain on investments</w:t>
            </w:r>
          </w:p>
        </w:tc>
        <w:tc>
          <w:tcPr>
            <w:tcW w:w="740" w:type="dxa"/>
            <w:vAlign w:val="bottom"/>
            <w:gridSpan w:val="2"/>
          </w:tcPr>
          <w:p>
            <w:pPr>
              <w:jc w:val="center"/>
              <w:ind w:left="460"/>
              <w:spacing w:after="0"/>
              <w:rPr>
                <w:sz w:val="20"/>
                <w:szCs w:val="20"/>
                <w:color w:val="auto"/>
              </w:rPr>
            </w:pPr>
            <w:r>
              <w:rPr>
                <w:rFonts w:ascii="Arial" w:cs="Arial" w:eastAsia="Arial" w:hAnsi="Arial"/>
                <w:sz w:val="18"/>
                <w:szCs w:val="18"/>
                <w:color w:val="auto"/>
                <w:w w:val="79"/>
              </w:rPr>
              <w:t>90</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240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 (loss)</w:t>
            </w:r>
          </w:p>
        </w:tc>
        <w:tc>
          <w:tcPr>
            <w:tcW w:w="1260" w:type="dxa"/>
            <w:vAlign w:val="bottom"/>
            <w:gridSpan w:val="3"/>
            <w:shd w:val="clear" w:color="auto" w:fill="EEEEEE"/>
          </w:tcPr>
          <w:p>
            <w:pPr>
              <w:jc w:val="right"/>
              <w:ind w:right="412"/>
              <w:spacing w:after="0"/>
              <w:rPr>
                <w:sz w:val="20"/>
                <w:szCs w:val="20"/>
                <w:color w:val="auto"/>
              </w:rPr>
            </w:pPr>
            <w:r>
              <w:rPr>
                <w:rFonts w:ascii="Arial" w:cs="Arial" w:eastAsia="Arial" w:hAnsi="Arial"/>
                <w:sz w:val="18"/>
                <w:szCs w:val="18"/>
                <w:color w:val="auto"/>
              </w:rPr>
              <w:t>$(465)</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Accumulated other comprehensive income totaled $440,000 and $200,000 at September 30, 2002 and December 31, 2001, respectively, and was attributed to after-tax unrealized gains on investments.</w:t>
      </w:r>
    </w:p>
    <w:p>
      <w:pPr>
        <w:spacing w:after="0" w:line="180" w:lineRule="exact"/>
        <w:rPr>
          <w:sz w:val="20"/>
          <w:szCs w:val="20"/>
          <w:color w:val="auto"/>
        </w:rPr>
      </w:pPr>
    </w:p>
    <w:p>
      <w:pPr>
        <w:ind w:left="240" w:hanging="229"/>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31" w:lineRule="exact"/>
        <w:rPr>
          <w:rFonts w:ascii="Arial" w:cs="Arial" w:eastAsia="Arial" w:hAnsi="Arial"/>
          <w:sz w:val="18"/>
          <w:szCs w:val="18"/>
          <w:b w:val="1"/>
          <w:bCs w:val="1"/>
          <w:color w:val="auto"/>
        </w:rPr>
      </w:pPr>
    </w:p>
    <w:p>
      <w:pPr>
        <w:ind w:left="240" w:right="6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information is presented pursuant to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Intersegment sales were not significant in any period.</w:t>
      </w:r>
    </w:p>
    <w:p>
      <w:pPr>
        <w:spacing w:after="0" w:line="200" w:lineRule="exact"/>
        <w:rPr>
          <w:sz w:val="20"/>
          <w:szCs w:val="20"/>
          <w:color w:val="auto"/>
        </w:r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7"/>
          </w:tcPr>
          <w:p>
            <w:pPr>
              <w:jc w:val="right"/>
              <w:ind w:right="72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gridSpan w:val="7"/>
          </w:tcPr>
          <w:p>
            <w:pPr>
              <w:jc w:val="right"/>
              <w:ind w:right="880"/>
              <w:spacing w:after="0"/>
              <w:rPr>
                <w:sz w:val="20"/>
                <w:szCs w:val="20"/>
                <w:color w:val="auto"/>
              </w:rPr>
            </w:pPr>
            <w:r>
              <w:rPr>
                <w:rFonts w:ascii="Arial" w:cs="Arial" w:eastAsia="Arial" w:hAnsi="Arial"/>
                <w:sz w:val="14"/>
                <w:szCs w:val="14"/>
                <w:color w:val="auto"/>
                <w:w w:val="85"/>
              </w:rPr>
              <w:t>Nine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right"/>
              <w:ind w:right="880"/>
              <w:spacing w:after="0"/>
              <w:rPr>
                <w:sz w:val="20"/>
                <w:szCs w:val="20"/>
                <w:color w:val="auto"/>
              </w:rPr>
            </w:pPr>
            <w:r>
              <w:rPr>
                <w:rFonts w:ascii="Arial" w:cs="Arial" w:eastAsia="Arial" w:hAnsi="Arial"/>
                <w:sz w:val="14"/>
                <w:szCs w:val="14"/>
                <w:color w:val="auto"/>
                <w:w w:val="84"/>
              </w:rPr>
              <w:t>September 30,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w w:val="87"/>
              </w:rPr>
              <w:t>September 30,</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800" w:type="dxa"/>
            <w:vAlign w:val="bottom"/>
            <w:gridSpan w:val="2"/>
          </w:tcPr>
          <w:p>
            <w:pPr>
              <w:jc w:val="right"/>
              <w:ind w:right="17"/>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22"/>
                <w:szCs w:val="22"/>
                <w:color w:val="auto"/>
              </w:rPr>
            </w:pPr>
          </w:p>
        </w:tc>
        <w:tc>
          <w:tcPr>
            <w:tcW w:w="1340" w:type="dxa"/>
            <w:vAlign w:val="bottom"/>
            <w:gridSpan w:val="4"/>
          </w:tcPr>
          <w:p>
            <w:pPr>
              <w:jc w:val="right"/>
              <w:ind w:right="12"/>
              <w:spacing w:after="0"/>
              <w:rPr>
                <w:sz w:val="20"/>
                <w:szCs w:val="20"/>
                <w:color w:val="auto"/>
              </w:rPr>
            </w:pPr>
            <w:r>
              <w:rPr>
                <w:rFonts w:ascii="Arial" w:cs="Arial" w:eastAsia="Arial" w:hAnsi="Arial"/>
                <w:sz w:val="14"/>
                <w:szCs w:val="14"/>
                <w:color w:val="auto"/>
              </w:rPr>
              <w:t>2001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2002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color w:val="auto"/>
              </w:rPr>
              <w:t>2001</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80" w:type="dxa"/>
            <w:vAlign w:val="bottom"/>
            <w:gridSpan w:val="5"/>
          </w:tcPr>
          <w:p>
            <w:pPr>
              <w:jc w:val="right"/>
              <w:ind w:right="880"/>
              <w:spacing w:after="0"/>
              <w:rPr>
                <w:sz w:val="20"/>
                <w:szCs w:val="20"/>
                <w:color w:val="auto"/>
              </w:rPr>
            </w:pPr>
            <w:r>
              <w:rPr>
                <w:rFonts w:ascii="Arial" w:cs="Arial" w:eastAsia="Arial" w:hAnsi="Arial"/>
                <w:sz w:val="14"/>
                <w:szCs w:val="14"/>
                <w:i w:val="1"/>
                <w:iCs w:val="1"/>
                <w:color w:val="auto"/>
                <w:w w:val="87"/>
              </w:rPr>
              <w:t>(in thousands)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w w:val="90"/>
              </w:rPr>
              <w:t>(in thousands)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sales:</w:t>
            </w: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00"/>
              <w:spacing w:after="0"/>
              <w:rPr>
                <w:sz w:val="20"/>
                <w:szCs w:val="20"/>
                <w:color w:val="auto"/>
              </w:rPr>
            </w:pPr>
            <w:r>
              <w:rPr>
                <w:rFonts w:ascii="Arial" w:cs="Arial" w:eastAsia="Arial" w:hAnsi="Arial"/>
                <w:sz w:val="18"/>
                <w:szCs w:val="18"/>
                <w:color w:val="auto"/>
              </w:rPr>
              <w:t>Semiconductor equipment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$28,946</w:t>
            </w:r>
          </w:p>
        </w:tc>
        <w:tc>
          <w:tcPr>
            <w:tcW w:w="6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$18,032</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84,775</w:t>
            </w:r>
          </w:p>
        </w:tc>
        <w:tc>
          <w:tcPr>
            <w:tcW w:w="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75,056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Television cameras</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4,385</w:t>
            </w:r>
          </w:p>
        </w:tc>
        <w:tc>
          <w:tcPr>
            <w:tcW w:w="60" w:type="dxa"/>
            <w:vAlign w:val="bottom"/>
            <w:shd w:val="clear" w:color="auto" w:fill="EEEEEE"/>
          </w:tcPr>
          <w:p>
            <w:pPr>
              <w:spacing w:after="0"/>
              <w:rPr>
                <w:sz w:val="18"/>
                <w:szCs w:val="18"/>
                <w:color w:val="auto"/>
              </w:rPr>
            </w:pPr>
          </w:p>
        </w:tc>
        <w:tc>
          <w:tcPr>
            <w:tcW w:w="13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4,812</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12,722</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15,729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220" w:type="dxa"/>
            <w:vAlign w:val="bottom"/>
          </w:tcPr>
          <w:p>
            <w:pPr>
              <w:ind w:left="780"/>
              <w:spacing w:after="0"/>
              <w:rPr>
                <w:sz w:val="20"/>
                <w:szCs w:val="20"/>
                <w:color w:val="auto"/>
              </w:rPr>
            </w:pPr>
            <w:r>
              <w:rPr>
                <w:rFonts w:ascii="Arial" w:cs="Arial" w:eastAsia="Arial" w:hAnsi="Arial"/>
                <w:sz w:val="18"/>
                <w:szCs w:val="18"/>
                <w:color w:val="auto"/>
              </w:rPr>
              <w:t>Net sales for reportable segments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33,331</w:t>
            </w:r>
          </w:p>
        </w:tc>
        <w:tc>
          <w:tcPr>
            <w:tcW w:w="6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22,844</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97,497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90,785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All other</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3,480</w:t>
            </w:r>
          </w:p>
        </w:tc>
        <w:tc>
          <w:tcPr>
            <w:tcW w:w="60" w:type="dxa"/>
            <w:vAlign w:val="bottom"/>
            <w:shd w:val="clear" w:color="auto" w:fill="EEEEEE"/>
          </w:tcPr>
          <w:p>
            <w:pPr>
              <w:spacing w:after="0"/>
              <w:rPr>
                <w:sz w:val="18"/>
                <w:szCs w:val="18"/>
                <w:color w:val="auto"/>
              </w:rPr>
            </w:pPr>
          </w:p>
        </w:tc>
        <w:tc>
          <w:tcPr>
            <w:tcW w:w="13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2,586</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9,209</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7,644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Total consolidated net sales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$36,811</w:t>
            </w:r>
          </w:p>
        </w:tc>
        <w:tc>
          <w:tcPr>
            <w:tcW w:w="6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$25,430</w:t>
            </w:r>
          </w:p>
        </w:tc>
        <w:tc>
          <w:tcPr>
            <w:tcW w:w="3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106,706</w:t>
            </w:r>
          </w:p>
        </w:tc>
        <w:tc>
          <w:tcPr>
            <w:tcW w:w="6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98,429</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Profit (loss):</w:t>
            </w: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00"/>
              <w:spacing w:after="0"/>
              <w:rPr>
                <w:sz w:val="20"/>
                <w:szCs w:val="20"/>
                <w:color w:val="auto"/>
              </w:rPr>
            </w:pPr>
            <w:r>
              <w:rPr>
                <w:rFonts w:ascii="Arial" w:cs="Arial" w:eastAsia="Arial" w:hAnsi="Arial"/>
                <w:sz w:val="18"/>
                <w:szCs w:val="18"/>
                <w:color w:val="auto"/>
              </w:rPr>
              <w:t>Semiconductor equipment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 (1,209)</w:t>
            </w:r>
          </w:p>
        </w:tc>
        <w:tc>
          <w:tcPr>
            <w:tcW w:w="1680" w:type="dxa"/>
            <w:vAlign w:val="bottom"/>
            <w:gridSpan w:val="5"/>
          </w:tcPr>
          <w:p>
            <w:pPr>
              <w:jc w:val="right"/>
              <w:ind w:right="300"/>
              <w:spacing w:after="0"/>
              <w:rPr>
                <w:sz w:val="20"/>
                <w:szCs w:val="20"/>
                <w:color w:val="auto"/>
              </w:rPr>
            </w:pPr>
            <w:r>
              <w:rPr>
                <w:rFonts w:ascii="Arial" w:cs="Arial" w:eastAsia="Arial" w:hAnsi="Arial"/>
                <w:sz w:val="18"/>
                <w:szCs w:val="18"/>
                <w:color w:val="auto"/>
              </w:rPr>
              <w:t>$ (8,800)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(956)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(16,801)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Television cameras</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60" w:type="dxa"/>
            <w:vAlign w:val="bottom"/>
            <w:shd w:val="clear" w:color="auto" w:fill="EEEEEE"/>
          </w:tcPr>
          <w:p>
            <w:pPr>
              <w:spacing w:after="0"/>
              <w:rPr>
                <w:sz w:val="18"/>
                <w:szCs w:val="18"/>
                <w:color w:val="auto"/>
              </w:rPr>
            </w:pPr>
          </w:p>
        </w:tc>
        <w:tc>
          <w:tcPr>
            <w:tcW w:w="16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220" w:type="dxa"/>
            <w:vAlign w:val="bottom"/>
          </w:tcPr>
          <w:p>
            <w:pPr>
              <w:ind w:left="780"/>
              <w:spacing w:after="0"/>
              <w:rPr>
                <w:sz w:val="20"/>
                <w:szCs w:val="20"/>
                <w:color w:val="auto"/>
              </w:rPr>
            </w:pPr>
            <w:r>
              <w:rPr>
                <w:rFonts w:ascii="Arial" w:cs="Arial" w:eastAsia="Arial" w:hAnsi="Arial"/>
                <w:sz w:val="18"/>
                <w:szCs w:val="18"/>
                <w:color w:val="auto"/>
              </w:rPr>
              <w:t>Loss for reportable segments</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(985)</w:t>
            </w:r>
          </w:p>
        </w:tc>
        <w:tc>
          <w:tcPr>
            <w:tcW w:w="1680" w:type="dxa"/>
            <w:vAlign w:val="bottom"/>
            <w:gridSpan w:val="5"/>
          </w:tcPr>
          <w:p>
            <w:pPr>
              <w:jc w:val="right"/>
              <w:ind w:right="300"/>
              <w:spacing w:after="0"/>
              <w:rPr>
                <w:sz w:val="20"/>
                <w:szCs w:val="20"/>
                <w:color w:val="auto"/>
              </w:rPr>
            </w:pPr>
            <w:r>
              <w:rPr>
                <w:rFonts w:ascii="Arial" w:cs="Arial" w:eastAsia="Arial" w:hAnsi="Arial"/>
                <w:sz w:val="18"/>
                <w:szCs w:val="18"/>
                <w:color w:val="auto"/>
              </w:rPr>
              <w:t>(8,809)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(16,247)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All other</w:t>
            </w:r>
          </w:p>
        </w:tc>
        <w:tc>
          <w:tcPr>
            <w:tcW w:w="8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(176)</w:t>
            </w:r>
          </w:p>
        </w:tc>
        <w:tc>
          <w:tcPr>
            <w:tcW w:w="16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(566)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Total consolidated loss</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(1,161)</w:t>
            </w:r>
          </w:p>
        </w:tc>
        <w:tc>
          <w:tcPr>
            <w:tcW w:w="1680" w:type="dxa"/>
            <w:vAlign w:val="bottom"/>
            <w:gridSpan w:val="5"/>
          </w:tcPr>
          <w:p>
            <w:pPr>
              <w:jc w:val="right"/>
              <w:ind w:right="300"/>
              <w:spacing w:after="0"/>
              <w:rPr>
                <w:sz w:val="20"/>
                <w:szCs w:val="20"/>
                <w:color w:val="auto"/>
              </w:rPr>
            </w:pPr>
            <w:r>
              <w:rPr>
                <w:rFonts w:ascii="Arial" w:cs="Arial" w:eastAsia="Arial" w:hAnsi="Arial"/>
                <w:sz w:val="18"/>
                <w:szCs w:val="18"/>
                <w:color w:val="auto"/>
              </w:rPr>
              <w:t>(9,029)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(970)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(16,795)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Other unallocated amounts:</w:t>
            </w: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00"/>
              <w:spacing w:after="0"/>
              <w:rPr>
                <w:sz w:val="20"/>
                <w:szCs w:val="20"/>
                <w:color w:val="auto"/>
              </w:rPr>
            </w:pPr>
            <w:r>
              <w:rPr>
                <w:rFonts w:ascii="Arial" w:cs="Arial" w:eastAsia="Arial" w:hAnsi="Arial"/>
                <w:sz w:val="18"/>
                <w:szCs w:val="18"/>
                <w:color w:val="auto"/>
              </w:rPr>
              <w:t>Gain on sale of facilities</w:t>
            </w:r>
          </w:p>
        </w:tc>
        <w:tc>
          <w:tcPr>
            <w:tcW w:w="3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7,746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(2,050)</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00"/>
              <w:spacing w:after="0"/>
              <w:rPr>
                <w:sz w:val="20"/>
                <w:szCs w:val="20"/>
                <w:color w:val="auto"/>
              </w:rPr>
            </w:pPr>
            <w:r>
              <w:rPr>
                <w:rFonts w:ascii="Arial" w:cs="Arial" w:eastAsia="Arial" w:hAnsi="Arial"/>
                <w:sz w:val="18"/>
                <w:szCs w:val="18"/>
                <w:color w:val="auto"/>
              </w:rPr>
              <w:t>Corporate expenses</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(642)</w:t>
            </w:r>
          </w:p>
        </w:tc>
        <w:tc>
          <w:tcPr>
            <w:tcW w:w="1680" w:type="dxa"/>
            <w:vAlign w:val="bottom"/>
            <w:gridSpan w:val="5"/>
          </w:tcPr>
          <w:p>
            <w:pPr>
              <w:jc w:val="right"/>
              <w:ind w:right="300"/>
              <w:spacing w:after="0"/>
              <w:rPr>
                <w:sz w:val="20"/>
                <w:szCs w:val="20"/>
                <w:color w:val="auto"/>
              </w:rPr>
            </w:pPr>
            <w:r>
              <w:rPr>
                <w:rFonts w:ascii="Arial" w:cs="Arial" w:eastAsia="Arial" w:hAnsi="Arial"/>
                <w:sz w:val="18"/>
                <w:szCs w:val="18"/>
                <w:color w:val="auto"/>
              </w:rPr>
              <w:t>(404)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(1,878)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Interest income</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648</w:t>
            </w:r>
          </w:p>
        </w:tc>
        <w:tc>
          <w:tcPr>
            <w:tcW w:w="60" w:type="dxa"/>
            <w:vAlign w:val="bottom"/>
            <w:shd w:val="clear" w:color="auto" w:fill="EEEEEE"/>
          </w:tcPr>
          <w:p>
            <w:pPr>
              <w:spacing w:after="0"/>
              <w:rPr>
                <w:sz w:val="18"/>
                <w:szCs w:val="18"/>
                <w:color w:val="auto"/>
              </w:rPr>
            </w:pPr>
          </w:p>
        </w:tc>
        <w:tc>
          <w:tcPr>
            <w:tcW w:w="13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1,095</w:t>
            </w: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2,136</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3,529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500"/>
              <w:spacing w:after="0"/>
              <w:rPr>
                <w:sz w:val="20"/>
                <w:szCs w:val="20"/>
                <w:color w:val="auto"/>
              </w:rPr>
            </w:pPr>
            <w:r>
              <w:rPr>
                <w:rFonts w:ascii="Arial" w:cs="Arial" w:eastAsia="Arial" w:hAnsi="Arial"/>
                <w:sz w:val="18"/>
                <w:szCs w:val="18"/>
                <w:color w:val="auto"/>
              </w:rPr>
              <w:t>Goodwill amortization/write-down</w:t>
            </w:r>
          </w:p>
        </w:tc>
        <w:tc>
          <w:tcPr>
            <w:tcW w:w="3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Loss before income taxes</w:t>
            </w:r>
          </w:p>
        </w:tc>
        <w:tc>
          <w:tcPr>
            <w:tcW w:w="8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 (1,155)</w:t>
            </w:r>
          </w:p>
        </w:tc>
        <w:tc>
          <w:tcPr>
            <w:tcW w:w="1680" w:type="dxa"/>
            <w:vAlign w:val="bottom"/>
            <w:gridSpan w:val="5"/>
            <w:shd w:val="clear" w:color="auto" w:fill="EEEEEE"/>
          </w:tcPr>
          <w:p>
            <w:pPr>
              <w:jc w:val="right"/>
              <w:ind w:right="300"/>
              <w:spacing w:after="0"/>
              <w:rPr>
                <w:sz w:val="20"/>
                <w:szCs w:val="20"/>
                <w:color w:val="auto"/>
              </w:rPr>
            </w:pPr>
            <w:r>
              <w:rPr>
                <w:rFonts w:ascii="Arial" w:cs="Arial" w:eastAsia="Arial" w:hAnsi="Arial"/>
                <w:sz w:val="18"/>
                <w:szCs w:val="18"/>
                <w:color w:val="auto"/>
              </w:rPr>
              <w:t>$ (2,642)</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(712)</w:t>
            </w: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419" w:right="359" w:bottom="1440" w:gutter="0" w:footer="0" w:header="0"/>
        </w:sectPr>
      </w:pP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2002</w:t>
      </w:r>
    </w:p>
    <w:p>
      <w:pPr>
        <w:spacing w:after="0" w:line="200" w:lineRule="exact"/>
        <w:rPr>
          <w:sz w:val="20"/>
          <w:szCs w:val="20"/>
          <w:color w:val="auto"/>
        </w:rPr>
      </w:pPr>
    </w:p>
    <w:p>
      <w:pPr>
        <w:spacing w:after="0" w:line="260"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5140" w:type="dxa"/>
            <w:vAlign w:val="bottom"/>
          </w:tcPr>
          <w:p>
            <w:pPr>
              <w:spacing w:after="0"/>
              <w:rPr>
                <w:sz w:val="14"/>
                <w:szCs w:val="14"/>
                <w:color w:val="auto"/>
              </w:rPr>
            </w:pPr>
          </w:p>
        </w:tc>
        <w:tc>
          <w:tcPr>
            <w:tcW w:w="2100" w:type="dxa"/>
            <w:vAlign w:val="bottom"/>
            <w:gridSpan w:val="5"/>
          </w:tcPr>
          <w:p>
            <w:pPr>
              <w:ind w:left="240"/>
              <w:spacing w:after="0"/>
              <w:rPr>
                <w:sz w:val="20"/>
                <w:szCs w:val="20"/>
                <w:color w:val="auto"/>
              </w:rPr>
            </w:pPr>
            <w:r>
              <w:rPr>
                <w:rFonts w:ascii="Arial" w:cs="Arial" w:eastAsia="Arial" w:hAnsi="Arial"/>
                <w:sz w:val="14"/>
                <w:szCs w:val="14"/>
                <w:color w:val="auto"/>
              </w:rPr>
              <w:t>September 30, 2002</w:t>
            </w: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December 31, 2001</w:t>
            </w:r>
          </w:p>
        </w:tc>
      </w:tr>
      <w:tr>
        <w:trPr>
          <w:trHeight w:val="95"/>
        </w:trPr>
        <w:tc>
          <w:tcPr>
            <w:tcW w:w="51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250"/>
        </w:trPr>
        <w:tc>
          <w:tcPr>
            <w:tcW w:w="5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3"/>
          </w:tcPr>
          <w:p>
            <w:pPr>
              <w:ind w:left="240"/>
              <w:spacing w:after="0"/>
              <w:rPr>
                <w:sz w:val="20"/>
                <w:szCs w:val="20"/>
                <w:color w:val="auto"/>
              </w:rPr>
            </w:pPr>
            <w:r>
              <w:rPr>
                <w:rFonts w:ascii="Arial" w:cs="Arial" w:eastAsia="Arial" w:hAnsi="Arial"/>
                <w:sz w:val="14"/>
                <w:szCs w:val="14"/>
                <w:i w:val="1"/>
                <w:iCs w:val="1"/>
                <w:color w:val="auto"/>
                <w:w w:val="85"/>
              </w:rPr>
              <w:t>(in thousands)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16"/>
        </w:trPr>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Total assets by segment:</w:t>
            </w:r>
          </w:p>
        </w:tc>
        <w:tc>
          <w:tcPr>
            <w:tcW w:w="5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Semiconductor equipment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87,467</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97,304</w:t>
            </w:r>
          </w:p>
        </w:tc>
        <w:tc>
          <w:tcPr>
            <w:tcW w:w="460" w:type="dxa"/>
            <w:vAlign w:val="bottom"/>
          </w:tcPr>
          <w:p>
            <w:pPr>
              <w:spacing w:after="0"/>
              <w:rPr>
                <w:sz w:val="18"/>
                <w:szCs w:val="18"/>
                <w:color w:val="auto"/>
              </w:rPr>
            </w:pPr>
          </w:p>
        </w:tc>
      </w:tr>
      <w:tr>
        <w:trPr>
          <w:trHeight w:val="216"/>
        </w:trPr>
        <w:tc>
          <w:tcPr>
            <w:tcW w:w="514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Television cameras</w:t>
            </w:r>
          </w:p>
        </w:tc>
        <w:tc>
          <w:tcPr>
            <w:tcW w:w="5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6,612</w:t>
            </w: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9,480</w:t>
            </w:r>
          </w:p>
        </w:tc>
        <w:tc>
          <w:tcPr>
            <w:tcW w:w="460" w:type="dxa"/>
            <w:vAlign w:val="bottom"/>
            <w:shd w:val="clear" w:color="auto" w:fill="EEEEEE"/>
          </w:tcPr>
          <w:p>
            <w:pPr>
              <w:spacing w:after="0"/>
              <w:rPr>
                <w:sz w:val="18"/>
                <w:szCs w:val="18"/>
                <w:color w:val="auto"/>
              </w:rPr>
            </w:pPr>
          </w:p>
        </w:tc>
      </w:tr>
      <w:tr>
        <w:trPr>
          <w:trHeight w:val="108"/>
        </w:trPr>
        <w:tc>
          <w:tcPr>
            <w:tcW w:w="5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r>
      <w:tr>
        <w:trPr>
          <w:trHeight w:val="317"/>
        </w:trPr>
        <w:tc>
          <w:tcPr>
            <w:tcW w:w="5140" w:type="dxa"/>
            <w:vAlign w:val="bottom"/>
          </w:tcPr>
          <w:p>
            <w:pPr>
              <w:ind w:left="980"/>
              <w:spacing w:after="0"/>
              <w:rPr>
                <w:sz w:val="20"/>
                <w:szCs w:val="20"/>
                <w:color w:val="auto"/>
              </w:rPr>
            </w:pPr>
            <w:r>
              <w:rPr>
                <w:rFonts w:ascii="Arial" w:cs="Arial" w:eastAsia="Arial" w:hAnsi="Arial"/>
                <w:sz w:val="18"/>
                <w:szCs w:val="18"/>
                <w:color w:val="auto"/>
              </w:rPr>
              <w:t>Total assets for reportable segments</w:t>
            </w:r>
          </w:p>
        </w:tc>
        <w:tc>
          <w:tcPr>
            <w:tcW w:w="5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94,079</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106,784</w:t>
            </w:r>
          </w:p>
        </w:tc>
        <w:tc>
          <w:tcPr>
            <w:tcW w:w="460" w:type="dxa"/>
            <w:vAlign w:val="bottom"/>
          </w:tcPr>
          <w:p>
            <w:pPr>
              <w:spacing w:after="0"/>
              <w:rPr>
                <w:sz w:val="24"/>
                <w:szCs w:val="24"/>
                <w:color w:val="auto"/>
              </w:rPr>
            </w:pPr>
          </w:p>
        </w:tc>
      </w:tr>
      <w:tr>
        <w:trPr>
          <w:trHeight w:val="217"/>
        </w:trPr>
        <w:tc>
          <w:tcPr>
            <w:tcW w:w="5140" w:type="dxa"/>
            <w:vAlign w:val="bottom"/>
            <w:shd w:val="clear" w:color="auto" w:fill="EEEEEE"/>
          </w:tcPr>
          <w:p>
            <w:pPr>
              <w:ind w:left="640"/>
              <w:spacing w:after="0"/>
              <w:rPr>
                <w:sz w:val="20"/>
                <w:szCs w:val="20"/>
                <w:color w:val="auto"/>
              </w:rPr>
            </w:pPr>
            <w:r>
              <w:rPr>
                <w:rFonts w:ascii="Arial" w:cs="Arial" w:eastAsia="Arial" w:hAnsi="Arial"/>
                <w:sz w:val="18"/>
                <w:szCs w:val="18"/>
                <w:color w:val="auto"/>
              </w:rPr>
              <w:t>All other operating segments</w:t>
            </w:r>
          </w:p>
        </w:tc>
        <w:tc>
          <w:tcPr>
            <w:tcW w:w="5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9,113</w:t>
            </w: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7,009</w:t>
            </w:r>
          </w:p>
        </w:tc>
        <w:tc>
          <w:tcPr>
            <w:tcW w:w="460" w:type="dxa"/>
            <w:vAlign w:val="bottom"/>
            <w:shd w:val="clear" w:color="auto" w:fill="EEEEEE"/>
          </w:tcPr>
          <w:p>
            <w:pPr>
              <w:spacing w:after="0"/>
              <w:rPr>
                <w:sz w:val="18"/>
                <w:szCs w:val="18"/>
                <w:color w:val="auto"/>
              </w:rPr>
            </w:pPr>
          </w:p>
        </w:tc>
      </w:tr>
      <w:tr>
        <w:trPr>
          <w:trHeight w:val="208"/>
        </w:trPr>
        <w:tc>
          <w:tcPr>
            <w:tcW w:w="5140" w:type="dxa"/>
            <w:vAlign w:val="bottom"/>
          </w:tcPr>
          <w:p>
            <w:pPr>
              <w:ind w:left="640"/>
              <w:spacing w:after="0"/>
              <w:rPr>
                <w:sz w:val="20"/>
                <w:szCs w:val="20"/>
                <w:color w:val="auto"/>
              </w:rPr>
            </w:pPr>
            <w:r>
              <w:rPr>
                <w:rFonts w:ascii="Arial" w:cs="Arial" w:eastAsia="Arial" w:hAnsi="Arial"/>
                <w:sz w:val="18"/>
                <w:szCs w:val="18"/>
                <w:color w:val="auto"/>
                <w:w w:val="98"/>
              </w:rPr>
              <w:t>Corporate, principally cash and investments and deferred</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2"/>
        </w:trPr>
        <w:tc>
          <w:tcPr>
            <w:tcW w:w="5140" w:type="dxa"/>
            <w:vAlign w:val="bottom"/>
          </w:tcPr>
          <w:p>
            <w:pPr>
              <w:ind w:left="760"/>
              <w:spacing w:after="0"/>
              <w:rPr>
                <w:sz w:val="20"/>
                <w:szCs w:val="20"/>
                <w:color w:val="auto"/>
              </w:rPr>
            </w:pPr>
            <w:r>
              <w:rPr>
                <w:rFonts w:ascii="Arial" w:cs="Arial" w:eastAsia="Arial" w:hAnsi="Arial"/>
                <w:sz w:val="18"/>
                <w:szCs w:val="18"/>
                <w:color w:val="auto"/>
              </w:rPr>
              <w:t>taxes</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125,592</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107,766</w:t>
            </w:r>
          </w:p>
        </w:tc>
        <w:tc>
          <w:tcPr>
            <w:tcW w:w="460" w:type="dxa"/>
            <w:vAlign w:val="bottom"/>
          </w:tcPr>
          <w:p>
            <w:pPr>
              <w:spacing w:after="0"/>
              <w:rPr>
                <w:sz w:val="19"/>
                <w:szCs w:val="19"/>
                <w:color w:val="auto"/>
              </w:rPr>
            </w:pPr>
          </w:p>
        </w:tc>
      </w:tr>
      <w:tr>
        <w:trPr>
          <w:trHeight w:val="110"/>
        </w:trPr>
        <w:tc>
          <w:tcPr>
            <w:tcW w:w="5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r>
      <w:tr>
        <w:trPr>
          <w:trHeight w:val="102"/>
        </w:trPr>
        <w:tc>
          <w:tcPr>
            <w:tcW w:w="5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6"/>
        </w:trPr>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228,784</w:t>
            </w: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221,559</w:t>
            </w:r>
          </w:p>
        </w:tc>
        <w:tc>
          <w:tcPr>
            <w:tcW w:w="460" w:type="dxa"/>
            <w:vAlign w:val="bottom"/>
            <w:shd w:val="clear" w:color="auto" w:fill="EEEEEE"/>
          </w:tcPr>
          <w:p>
            <w:pPr>
              <w:spacing w:after="0"/>
              <w:rPr>
                <w:sz w:val="18"/>
                <w:szCs w:val="18"/>
                <w:color w:val="auto"/>
              </w:rPr>
            </w:pPr>
          </w:p>
        </w:tc>
      </w:tr>
      <w:tr>
        <w:trPr>
          <w:trHeight w:val="105"/>
        </w:trPr>
        <w:tc>
          <w:tcPr>
            <w:tcW w:w="5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61"/>
        </w:trPr>
        <w:tc>
          <w:tcPr>
            <w:tcW w:w="51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r>
      <w:tr>
        <w:trPr>
          <w:trHeight w:val="320"/>
        </w:trPr>
        <w:tc>
          <w:tcPr>
            <w:tcW w:w="5140" w:type="dxa"/>
            <w:vAlign w:val="bottom"/>
          </w:tcPr>
          <w:p>
            <w:pPr>
              <w:spacing w:after="0"/>
              <w:rPr>
                <w:sz w:val="20"/>
                <w:szCs w:val="20"/>
                <w:color w:val="auto"/>
              </w:rPr>
            </w:pPr>
            <w:r>
              <w:rPr>
                <w:rFonts w:ascii="Arial" w:cs="Arial" w:eastAsia="Arial" w:hAnsi="Arial"/>
                <w:sz w:val="18"/>
                <w:szCs w:val="18"/>
                <w:color w:val="auto"/>
              </w:rPr>
              <w:t>Working capital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143,219</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141,429</w:t>
            </w:r>
          </w:p>
        </w:tc>
        <w:tc>
          <w:tcPr>
            <w:tcW w:w="460" w:type="dxa"/>
            <w:vAlign w:val="bottom"/>
          </w:tcPr>
          <w:p>
            <w:pPr>
              <w:spacing w:after="0"/>
              <w:rPr>
                <w:sz w:val="24"/>
                <w:szCs w:val="24"/>
                <w:color w:val="auto"/>
              </w:rPr>
            </w:pPr>
          </w:p>
        </w:tc>
      </w:tr>
      <w:tr>
        <w:trPr>
          <w:trHeight w:val="217"/>
        </w:trPr>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190,178</w:t>
            </w: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190,531</w:t>
            </w:r>
          </w:p>
        </w:tc>
        <w:tc>
          <w:tcPr>
            <w:tcW w:w="46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ind w:left="240" w:hanging="229"/>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31" w:lineRule="exact"/>
        <w:rPr>
          <w:rFonts w:ascii="Arial" w:cs="Arial" w:eastAsia="Arial" w:hAnsi="Arial"/>
          <w:sz w:val="18"/>
          <w:szCs w:val="18"/>
          <w:b w:val="1"/>
          <w:bCs w:val="1"/>
          <w:color w:val="auto"/>
        </w:rPr>
      </w:pPr>
    </w:p>
    <w:p>
      <w:pPr>
        <w:ind w:left="2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Cohu is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condition or results of operations.</w:t>
      </w:r>
    </w:p>
    <w:p>
      <w:pPr>
        <w:spacing w:after="0" w:line="154" w:lineRule="exact"/>
        <w:rPr>
          <w:rFonts w:ascii="Arial" w:cs="Arial" w:eastAsia="Arial" w:hAnsi="Arial"/>
          <w:sz w:val="18"/>
          <w:szCs w:val="18"/>
          <w:b w:val="1"/>
          <w:bCs w:val="1"/>
          <w:color w:val="auto"/>
        </w:rPr>
      </w:pPr>
    </w:p>
    <w:p>
      <w:pPr>
        <w:ind w:left="240" w:hanging="229"/>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1" w:lineRule="exact"/>
        <w:rPr>
          <w:sz w:val="20"/>
          <w:szCs w:val="20"/>
          <w:color w:val="auto"/>
        </w:rPr>
      </w:pPr>
    </w:p>
    <w:p>
      <w:pPr>
        <w:ind w:left="240" w:right="120"/>
        <w:spacing w:after="0" w:line="298" w:lineRule="auto"/>
        <w:rPr>
          <w:sz w:val="20"/>
          <w:szCs w:val="20"/>
          <w:color w:val="auto"/>
        </w:rPr>
      </w:pPr>
      <w:r>
        <w:rPr>
          <w:rFonts w:ascii="Arial" w:cs="Arial" w:eastAsia="Arial" w:hAnsi="Arial"/>
          <w:sz w:val="16"/>
          <w:szCs w:val="16"/>
          <w:color w:val="auto"/>
        </w:rPr>
        <w:t>On October 1, 2002 Broadcast Microwave Services, Inc. (“BMS”), a wholly owned subsidiary of Cohu, entered into a Technology Transfer and License Agreement (the “Agreement”) with LiveTools Technology SA (“LiveTools”). The Agreement provides that BMS pay LiveTools approximately $1.65 million in cash for the rights to certain intellectual property and know-how used in the design, manufacture and sale of digital microwave transmission products for a variety of electronic news gathering (ENG) and other microwave communications applications.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2002</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and similar expressions are intended to identify such statements.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 going basis, Cohu evaluates its estimates, including those related to bad debts, inventories, intangible assets, income taxes, warranty obligations and contingencies and litigation. Cohu bases its estimates on historical experience and current developments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the 2001 Annual Report on Form 10-K filed with the Securities and Exchange Commission, affect the significant judgments and estimates used in the preparation of its consolidated financial statements.</w:t>
      </w:r>
    </w:p>
    <w:p>
      <w:pPr>
        <w:spacing w:after="0" w:line="17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Cohu generally </w:t>
      </w:r>
      <w:r>
        <w:rPr>
          <w:rFonts w:ascii="Arial" w:cs="Arial" w:eastAsia="Arial" w:hAnsi="Arial"/>
          <w:sz w:val="16"/>
          <w:szCs w:val="16"/>
          <w:i w:val="1"/>
          <w:iCs w:val="1"/>
          <w:color w:val="auto"/>
        </w:rPr>
        <w:t>recognizes revenue</w:t>
      </w:r>
      <w:r>
        <w:rPr>
          <w:rFonts w:ascii="Arial" w:cs="Arial" w:eastAsia="Arial" w:hAnsi="Arial"/>
          <w:sz w:val="16"/>
          <w:szCs w:val="16"/>
          <w:color w:val="auto"/>
        </w:rPr>
        <w:t xml:space="preserve"> upon shipment and title passage for established products (i.e. those that have previously satisfied customer acceptance requirements) that provide for full payment tied to shipment. Revenue for products that have not previously satisfied customer acceptance requirements or from sales where customer payment dates are not determinable is recognized upon customer acceptance. Cohu maintains an </w:t>
      </w: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xml:space="preserve"> for estimated losses resulting from the inability of its customers to make required payments. If the financial condition of Cohu’s customers were to deteriorate, resulting in an impairment of their ability to make payments, additional allowances may be required. Cohu provides for the estimated costs of </w:t>
      </w:r>
      <w:r>
        <w:rPr>
          <w:rFonts w:ascii="Arial" w:cs="Arial" w:eastAsia="Arial" w:hAnsi="Arial"/>
          <w:sz w:val="16"/>
          <w:szCs w:val="16"/>
          <w:i w:val="1"/>
          <w:iCs w:val="1"/>
          <w:color w:val="auto"/>
        </w:rPr>
        <w:t>product warranties</w:t>
      </w:r>
      <w:r>
        <w:rPr>
          <w:rFonts w:ascii="Arial" w:cs="Arial" w:eastAsia="Arial" w:hAnsi="Arial"/>
          <w:sz w:val="16"/>
          <w:szCs w:val="16"/>
          <w:color w:val="auto"/>
        </w:rPr>
        <w:t xml:space="preserve"> in the period sales are recognized. Cohu’s warranty obligation is affected by 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 Cohu records </w:t>
      </w:r>
      <w:r>
        <w:rPr>
          <w:rFonts w:ascii="Arial" w:cs="Arial" w:eastAsia="Arial" w:hAnsi="Arial"/>
          <w:sz w:val="16"/>
          <w:szCs w:val="16"/>
          <w:i w:val="1"/>
          <w:iCs w:val="1"/>
          <w:color w:val="auto"/>
        </w:rPr>
        <w:t>valuation reserves on its inventory</w:t>
      </w:r>
      <w:r>
        <w:rPr>
          <w:rFonts w:ascii="Arial" w:cs="Arial" w:eastAsia="Arial" w:hAnsi="Arial"/>
          <w:sz w:val="16"/>
          <w:szCs w:val="16"/>
          <w:color w:val="auto"/>
        </w:rPr>
        <w:t xml:space="preserve"> for estimated excess and obsolete inventory equal to the difference between the cost of inventory and the estimated market value based upon assumptions about future product demand and market conditions. If future product demand or market conditions are less or more favorable than those projected by management, changes to inventory reserves may be required. At September 30, 2002, Cohu assessed the need for a </w:t>
      </w:r>
      <w:r>
        <w:rPr>
          <w:rFonts w:ascii="Arial" w:cs="Arial" w:eastAsia="Arial" w:hAnsi="Arial"/>
          <w:sz w:val="16"/>
          <w:szCs w:val="16"/>
          <w:i w:val="1"/>
          <w:iCs w:val="1"/>
          <w:color w:val="auto"/>
        </w:rPr>
        <w:t>valuation allowance on its deferred tax assets</w:t>
      </w:r>
      <w:r>
        <w:rPr>
          <w:rFonts w:ascii="Arial" w:cs="Arial" w:eastAsia="Arial" w:hAnsi="Arial"/>
          <w:sz w:val="16"/>
          <w:szCs w:val="16"/>
          <w:color w:val="auto"/>
        </w:rPr>
        <w:t xml:space="preserve">. Cohu believes it is more likely than not that all such assets will be realized and as a result no valuation allowance was recorded. Should Cohu determine that it would not be able to realize all or part of its net deferred tax assets in the future, an adjustment to the deferred tax assets would be charged to operations in the period such determination was made. At December 31, 2001, </w:t>
      </w:r>
      <w:r>
        <w:rPr>
          <w:rFonts w:ascii="Arial" w:cs="Arial" w:eastAsia="Arial" w:hAnsi="Arial"/>
          <w:sz w:val="16"/>
          <w:szCs w:val="16"/>
          <w:i w:val="1"/>
          <w:iCs w:val="1"/>
          <w:color w:val="auto"/>
        </w:rPr>
        <w:t xml:space="preserve">Goodwill and other intangible assets </w:t>
      </w:r>
      <w:r>
        <w:rPr>
          <w:rFonts w:ascii="Arial" w:cs="Arial" w:eastAsia="Arial" w:hAnsi="Arial"/>
          <w:sz w:val="16"/>
          <w:szCs w:val="16"/>
          <w:color w:val="auto"/>
        </w:rPr>
        <w:t>were evaluated for impairment using undiscounted cash flows expected to result from the use of the assets as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FASB Statement No. 121. We concluded that there was no impairment loss at December 31, 2001. Cohu is required to reassess goodwill impairment in 2002 using the methodology prescribed by FASB Statement No. 142. FASB No. 142 requires that a transitional goodwill impairment test be performed as of January 1, 2002 and completed by June 30, 2002. Cohu did not recognize any goodwill impairment as a result of performing this transitional test. FASB No. 142 also requires that goodwill be tested for impairment on an annual basis and more frequently in certain circumstances. The required annual goodwill impairment test will be performed in the fourth quarter of 2002. As a result of this test it is possible that all or a portion of Cohu’s $8.3 million of goodwill at September 30, 2002 may be impaired resulting in a writedown and corresponding charge to operating results in the fourth quarter. The Company evaluated the other intangible assets for impairment at September 30, 2002 under FASB Statement No. 144, and concluded there was no impairment loss.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historical results of operations, including the periods described herein, may not be indicative of future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2002 Compared to Third Quarter 2001</w:t>
      </w:r>
    </w:p>
    <w:p>
      <w:pPr>
        <w:spacing w:after="0" w:line="231"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Cohu continued to be impacted by the downturn in the semiconductor equipment industry that began in late 2000. Despite the downturn, our net sales increased 45% to $36.8 million in 2002 compared to extremely depressed net sales of $25.4 million in 2001. Sales of semiconductor test handling equipment in 2002 increased 61% from the 2001 period and accounted for 79% of consolidated net sales in 2002 versus 71% in 2001. Sales of television cameras and other equipment accounted for 12% of net sales in 2002 and decreased 9% while the combined sales of metal detection and microwave equipment increased 35%.</w:t>
      </w:r>
    </w:p>
    <w:p>
      <w:pPr>
        <w:spacing w:after="0" w:line="1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Cohu recognized a pretax gain in the third quarter of 2001 of approximately $7.7 million from the sale of its San Diego facilities. The third quarter of 2001 was also impacted by a pretax charge of approximately $2.1 million for acquired in-process research and development as a result of Cohu’s July 16, 2001 purchase of the assets of Automated Systems.</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Gross margin as a percentage of net sales increased to 33.5% in 2002 from 15.9% in 2001 primarily as a result of higher margins in the semiconductor equipment business. Within the semiconductor equipment segment, margins increased in 2002 primarily as a result of increased business volume and decreased provisions for excess and obsolete inventory. Cohu computes the majority of its excess and obsolete inventory reserve requirements using a one-year inventory usage forecast. During the third quarter of 2002 and 2001, we recorded net charges to cost of sales of approximately $1.5 million and $4.7 million, respectively, primarily as a result of declines in customer forecasts that negatively impacted our forecasted inventory usage. While we believe our reserves for excess and obsolete inventory are adequate to cover our exposures at September 30, 2002, reductions in customer forecasts may require additional charges to operations that could negatively impact our gross margin in future periods. Conversely, if our forecasted inventory usage is lower than our actual usage, reductions to our inventory reserve requirements may favorably impact gross margin in future periods. Our gross margin in future periods will continue to be adversely impacted by a less favorable product sales mix than we experienced in the first nine months of 2002 and, to a lesser extent, lower average selling prices due to increased competitive pricing pressure.</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Research and development expense (“R&amp;D”) as a percentage of net sales was 22.1% in 2002, compared to 27.5% in 2001, increasing in absolute dollars from $7.0 million in 2001 to $8.1 million in 2002. The increase in R&amp;D was primarily the result of higher R&amp;D labor costs as a result of the Automated Systems acquisition completed in July 2001 and increased spending on product development in the semiconductor equipment business. Selling, general and administrative (“SG&amp;A”) expense as a percentage of net sales decreased to 16.3% in 2002 from 25.5% in 2001 primarily as a result of the increase in business volume. SG&amp;A expense in 2002 includes a $0.2 million reduction in the allowance for doubtful accounts and bad debt expense. Interest income was $0.6 million and $1.1 million in 2002 and 2001, respectively. The decline in interest income was due to lower interest rates. The benefit for income taxes expressed as a percentage of pre-tax income was 51.9% in the third quarter of 2002 and 45.4% in 2001. As a result of the factors set forth above, the net loss was $0.6 million in 2002 compared to a net loss of $1.4 million 2001.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2002 Compared to Nine Months Ended September 30, 2001</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net sales increased 8% to $106.7 million in 2002 compared to net sales of $98.4 million in 2001. Sales of semiconductor test handling equipment in 2002 increased 13% from the 2001 period and accounted for 79%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2002</w:t>
      </w:r>
    </w:p>
    <w:p>
      <w:pPr>
        <w:spacing w:after="0" w:line="21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consolidated net sales in 2002 versus 76% in 2001. Sales of television cameras and other equipment accounted for 12% of net sales in 2002 and decreased 19% while the combined sales of metal detection and microwave equipment increased 20%.</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Gross margin as a percentage of net sales increased to 37.3% in 2002 from 23.5% in 2001 primarily as a result of higher margins in the semiconductor equipment business. Within the semiconductor equipment segment, margins increased in 2002 primarily as a result of a reduction in provisions for excess and obsolete inventory. During 2002 and 2001, we recorded net charges to cost of sales totaling approximately $1.7 million and $13.5 million, respectively, primarily as a result of declines in customer forecasts that negatively impacted our forecasted inventory usage. Our gross margin in future periods will continue to be adversely impacted by a less favorable product sales mix than we experienced in the first nine months of 2002 and, to a lesser extent, lower average selling prices due to increased competitive pricing pressure.</w:t>
      </w:r>
    </w:p>
    <w:p>
      <w:pPr>
        <w:spacing w:after="0" w:line="174"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Research and development expense as a percentage of net sales was 22.6% in 2002, compared to 22.4% in 2001, increasing from $22.1 million to $24.1 million primarily due to higher R&amp;D costs as a result of the Automated Systems acquisition and increased spending on product development in the semiconductor equipment business. SG&amp;A expense as a percentage of net sales decreased to 17.4% in 2002 from 20.0% in 2001 primarily as a result of slightly higher business volume. SG&amp;A expense in 2001 includes $0.6 million of goodwill amortization offset by a $0.7 million reduction in the allowance for doubtful accounts and bad debt expense ($0.4 million reduction in 2002). Interest income was $2.1 million and $3.5 million in 2002 and 2001, respectively. The decline in interest income was due to lower interest rates. The benefit for income taxes expressed as a percentage of the pre-tax loss was 56.2% for the first nine months of 2002 and 40.4% in 2001. As a result of the factors set forth above, the net loss was $0.3 million in 2002 compared to a net loss of $5.6 million in 2001.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Company’s net cash flows provided by operating activities in the first nine months of 2002 totaled $22.7 million. The major components of cash flows provided by operating activities were a net loss of $0.3 million, the net change in assets and liabilities totaling $20.0 million and depreciation and amortization of $3.1 million. In September 2002, the Company received approximately $9.5 million in income tax refunds resulting from the 2001 tax loss carryback. Net cash used for investing activities included $26.8 million for the purchase of short-term investments, less sales and maturities, and purchases of property, plant and equipment and other assets of $1.1 million. Net cash used for financing activities was $0.3 million. Cash provided by financing activities included $2.8 million received from the issuance of stock upon the exercise of stock options offset by $3.1 million for the payment of dividends. The Company had $5.0 million available under its bank line of credit and working capital of $143.2 million at September 30, 2002. It is anticipated that present working capital and available borrowings under the line of credit will be sufficient to meet the Company’s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and 2002. Reductions in capital equipment investment by semiconductor manufacturers and semiconductor test subcontractors will materially and adversely affect our business, financial position and results of operations. In addition, the volatile and unpredictable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nature of semiconductor equipment demand has in the past and may in the future expose us to significant excess and obsolete inventory write-offs and reserve requirements. In the year ended December 31, 2001, the Company recorded pretax inventory related charges of approximately $16 million primarily as a result of changes in customer forecasts.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We rely on a limited number of customers for a substantial percentage of our net sales. In 2001, three customers of the semiconductor equipment segment accounted for 45% (48% in 2000 and 43% in 1999) of our net sales. One customer alone in 2001 accounted for 34% of our net sales. This customer represented approximately 31% of our net sales during the first nine months of 2002. During the past five years, the percentage of Cohu’s sales derived from each of these and other significant customers has varied greatly. Such variations are due to changes in the customer’s business and their purchase of products from our competitors. It is common in the IC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IC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smaller,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 the cost of our existing products and successfully introduce new lower cost products we expect these competitive conditions to negatively impact our gross margin and operating results for the foreseeable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$14.3 million in cash. A significant portion of the purchase price was allocated to goodwill and other intangible assets.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including goodwill, that could result in significant charges to operating results in future periods. In addition, such acquisitions or investments may result in immediate charges to operating results. Mergers and acquisitions are inherently risky and the inability to effectively manage these risks could materially and adversely affect Cohu’s business, financial condition and results of operations.</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 that may affect our ability to be competitive.</w:t>
      </w:r>
    </w:p>
    <w:p>
      <w:pPr>
        <w:spacing w:after="0" w:line="186" w:lineRule="exact"/>
        <w:rPr>
          <w:sz w:val="20"/>
          <w:szCs w:val="20"/>
          <w:color w:val="auto"/>
        </w:rPr>
      </w:pPr>
    </w:p>
    <w:p>
      <w:pPr>
        <w:jc w:val="both"/>
        <w:ind w:right="160"/>
        <w:spacing w:after="0" w:line="303" w:lineRule="auto"/>
        <w:rPr>
          <w:sz w:val="20"/>
          <w:szCs w:val="20"/>
          <w:color w:val="auto"/>
        </w:rPr>
      </w:pPr>
      <w:r>
        <w:rPr>
          <w:rFonts w:ascii="Arial" w:cs="Arial" w:eastAsia="Arial" w:hAnsi="Arial"/>
          <w:sz w:val="15"/>
          <w:szCs w:val="15"/>
          <w:color w:val="auto"/>
        </w:rPr>
        <w:t>We have taken and will continue to assess the need to take remedial measures to address the slowdown in the market for our products. In particular, we continue to reduce our workforce, including reductions in September and October 2002, delayed salary increases, reduced senior executives’ pay, implemented furloughs and reduced our expense budgets. Further workforce reductions are likely if the current worldwide slowdown in demand for high technology products persists.</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Each of these measures could have long-term effects on our business by reducing our pool of technical talent, decreasing or slowing improvements in our products, and making it more difficult for us to respond to customers.</w:t>
      </w:r>
    </w:p>
    <w:p>
      <w:pPr>
        <w:spacing w:after="0" w:line="19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IC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the first three quarters of 2001 and the third quarter of 2002. Future inventory write-offs and increased inventory reserve requirements could have a material adverse impact on our results of operations and financial condition.</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Our revenues in recent quarters were, however, significantly lower than our backlog at the end of the preceding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new accounting requirements, our backlog at any point in time may not be representative of sales in any future period. In September 2002, we reduced backlog by approximately $2.5 million due to customer cancellations. Furthermore, all orders are subject to cancellation or rescheduling by the customer with limited penalty. A reduction in backlog during any particular period could have a material adverse effect on our business, financial condition and results of operations. In addition, backlog at September 30, 2002 may not be a reliable indicator of revenues in future periods due to customer requested changes to delivery schedules, order cancellations and delays in recognizing revenue due to accounting requirements.</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have continued in the third and fourth quarter of 2002.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that currently represent an insignificant percentage of our test handler revenues. Although pick-and-place IC handlers used in DRAM applications account for a significant portion of the worldwide IC handler market, Cohu’s market share in this segment is negligible. While Cohu has an insignificant position in the gravity-feed handler market, such handlers are used in numerous non DRAM applications and continue to represent a significant portion of the worldwide test handler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Our reliance on protection provided by such laws, and our costs to prosecute and defend such rights have increased significantly as a result of the intellectual property we acquired in conjunction with the Automated Systems acquisition in July 2001.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inability to license the infringed technology or to substitute similar non-infringing technology, our business, financial condition and results of operations could be adversely affected.</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2001, 51% of our total net sales were exported to foreign countries, including 64% of the sales in the semiconductor equipment segment. The majority of our export sales are made to destinations in Asia. Instability in global economic markets,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 semiconductor equipment businesses have experienced little or no growth over the last five years.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these businesses over the last several years and the future prospects for certain of these businesses remain uncertain. We may not be able to continue to compete successfully in these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increases in our electricity costs and we may be exposed to power shortages.</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Cohu is a significant user of electricity. The state of California has deregulated the price of electricity. Deregulation combined with increases in the cost of generating electricity have resulted in a rise in Cohu’s electricity costs. Market forecasts predict significant increases in electricity prices in the future that will result in increased costs to Cohu that could have an adverse impact on our results of operations. In addition, our electricity costs have increased as a result of moving certain of our San Diego operations to a significantly larger facility in Poway, California in June 2001.</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 (cont.)</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Power shortages have caused “blackouts” throughout California and San Diego County. In March 2001, Cohu’s operations were temporarily suspended as a result of a blackout. We currently do not have back-up generators or alternate sources of power in the event of a blackout. Further blackouts could result in our failure to meet customer delivery requirements damaging our reputation and resulting in lost revenue that would have a material adverse impact on our business,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the timing of revenue recognition and operating results.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Such changes could result in additional adjustments to our results of operations that may be reflected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a closing high of $61.75 to a closing low of $9.98.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2001 Annual Report on Form 10-K, that could cause actual results to differ materially from those projected or forecasted. Cohu undertakes no obligation to update the information, including the forward-looking statements, in this Form 10-Q.</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 September 30, 2002, our investment portfolio includes fixed-income securities with a fair value of approximately $61.4 million. These securities are subject to interest rate risk and will decline in value if interest rates increase. Due to the relatively short duration of our investment portfolio, an immediate ten percent (10%) change (e.g. 3.00% to 3.30%) in interest rates would have no material impact on our financial condition or results of operations.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(10%) change in foreign exchange rates would not have a material impact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left="320" w:hanging="291"/>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rFonts w:ascii="Arial" w:cs="Arial" w:eastAsia="Arial" w:hAnsi="Arial"/>
          <w:sz w:val="18"/>
          <w:szCs w:val="18"/>
          <w:color w:val="auto"/>
        </w:rPr>
      </w:pPr>
    </w:p>
    <w:p>
      <w:pPr>
        <w:ind w:left="320" w:right="240"/>
        <w:spacing w:after="0" w:line="370" w:lineRule="auto"/>
        <w:rPr>
          <w:rFonts w:ascii="Arial" w:cs="Arial" w:eastAsia="Arial" w:hAnsi="Arial"/>
          <w:sz w:val="18"/>
          <w:szCs w:val="18"/>
          <w:color w:val="auto"/>
        </w:rPr>
      </w:pPr>
      <w:r>
        <w:rPr>
          <w:rFonts w:ascii="Arial" w:cs="Arial" w:eastAsia="Arial" w:hAnsi="Arial"/>
          <w:sz w:val="15"/>
          <w:szCs w:val="15"/>
          <w:color w:val="auto"/>
        </w:rPr>
        <w:t>The Company’s Chief Executive Officer and Chief Financial Officer believe Cohu’s disclosure controls and procedures, as defined in Securities Exchange Act Rules 13a-14 and 15d-14, are effective. This conclusion was reached after an evaluation of these controls and procedures as of September 30, 2002.</w:t>
      </w:r>
    </w:p>
    <w:p>
      <w:pPr>
        <w:spacing w:after="0" w:line="116" w:lineRule="exact"/>
        <w:rPr>
          <w:rFonts w:ascii="Arial" w:cs="Arial" w:eastAsia="Arial" w:hAnsi="Arial"/>
          <w:sz w:val="18"/>
          <w:szCs w:val="18"/>
          <w:color w:val="auto"/>
        </w:rPr>
      </w:pPr>
    </w:p>
    <w:p>
      <w:pPr>
        <w:ind w:left="320" w:hanging="301"/>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rFonts w:ascii="Arial" w:cs="Arial" w:eastAsia="Arial" w:hAnsi="Arial"/>
          <w:sz w:val="18"/>
          <w:szCs w:val="18"/>
          <w:color w:val="auto"/>
        </w:rPr>
      </w:pPr>
    </w:p>
    <w:p>
      <w:pPr>
        <w:ind w:left="320" w:right="180"/>
        <w:spacing w:after="0" w:line="268" w:lineRule="auto"/>
        <w:rPr>
          <w:rFonts w:ascii="Arial" w:cs="Arial" w:eastAsia="Arial" w:hAnsi="Arial"/>
          <w:sz w:val="18"/>
          <w:szCs w:val="18"/>
          <w:color w:val="auto"/>
        </w:rPr>
      </w:pPr>
      <w:r>
        <w:rPr>
          <w:rFonts w:ascii="Arial" w:cs="Arial" w:eastAsia="Arial" w:hAnsi="Arial"/>
          <w:sz w:val="18"/>
          <w:szCs w:val="18"/>
          <w:color w:val="auto"/>
        </w:rPr>
        <w:t>We are not aware of any significant changes in the Company’s internal controls, including any corrective actions with regard to significant deficiencies and material weaknesses, or in other factors that could significantly affect these controls after September 30, 2002.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ind w:left="240"/>
        <w:spacing w:after="0" w:line="298" w:lineRule="auto"/>
        <w:rPr>
          <w:sz w:val="20"/>
          <w:szCs w:val="20"/>
          <w:color w:val="auto"/>
        </w:rPr>
      </w:pPr>
      <w:r>
        <w:rPr>
          <w:rFonts w:ascii="Arial" w:cs="Arial" w:eastAsia="Arial" w:hAnsi="Arial"/>
          <w:sz w:val="16"/>
          <w:szCs w:val="16"/>
          <w:color w:val="auto"/>
        </w:rPr>
        <w:t>On October 1, 2002 Broadcast Microwave Services, Inc. (“BMS”), a wholly owned subsidiary of Cohu, entered into a Technology Transfer and License Agreement (the “Agreement”) with LiveTools Technology SA (“LiveTools”). The Agreement provides that BMS pay LiveTools approximately $1.65 million in cash for the rights to certain intellectual property and know-how used in the design, manufacture and sale of digital microwave transmission products for a variety of electronic news gathering (ENG) and other microwave communications applications.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68" w:lineRule="exact"/>
        <w:rPr>
          <w:sz w:val="20"/>
          <w:szCs w:val="20"/>
          <w:color w:val="auto"/>
        </w:rPr>
      </w:pPr>
    </w:p>
    <w:p>
      <w:pPr>
        <w:ind w:left="2140" w:right="1820" w:hanging="914"/>
        <w:spacing w:after="0" w:line="286" w:lineRule="auto"/>
        <w:tabs>
          <w:tab w:leader="none" w:pos="2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 Amended and Restated Certificate of Incorporation of Cohu, Inc. incorporated herein by reference to Exhibit 3.1(a) from the Cohu, Inc. Form 10-Q for the quarterly period ended June 30, 1999</w:t>
      </w:r>
    </w:p>
    <w:p>
      <w:pPr>
        <w:ind w:left="2140" w:right="1320" w:hanging="914"/>
        <w:spacing w:after="0" w:line="250" w:lineRule="auto"/>
        <w:tabs>
          <w:tab w:leader="none" w:pos="2120" w:val="left"/>
        </w:tabs>
        <w:rPr>
          <w:sz w:val="20"/>
          <w:szCs w:val="20"/>
          <w:color w:val="auto"/>
        </w:rPr>
      </w:pPr>
      <w:r>
        <w:rPr>
          <w:rFonts w:ascii="Arial" w:cs="Arial" w:eastAsia="Arial" w:hAnsi="Arial"/>
          <w:sz w:val="18"/>
          <w:szCs w:val="18"/>
          <w:color w:val="auto"/>
        </w:rPr>
        <w:t>3.1(a)</w:t>
        <w:tab/>
        <w:t>- - Certificate of Amendment of Amended and Restated Certificate of Incorporation of Cohu, Inc. incorporated herein by reference from the Cohu, Inc. Form S-8 filed June 30, 2000, Exhibit 4.1(a)</w:t>
      </w:r>
    </w:p>
    <w:p>
      <w:pPr>
        <w:spacing w:after="0" w:line="1" w:lineRule="exact"/>
        <w:rPr>
          <w:sz w:val="20"/>
          <w:szCs w:val="20"/>
          <w:color w:val="auto"/>
        </w:rPr>
      </w:pPr>
    </w:p>
    <w:p>
      <w:pPr>
        <w:jc w:val="both"/>
        <w:ind w:left="2140" w:right="1360" w:hanging="914"/>
        <w:spacing w:after="0" w:line="281" w:lineRule="auto"/>
        <w:tabs>
          <w:tab w:leader="none" w:pos="21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 - Amended and Restated Bylaws of Cohu, Inc. incorporated herein by reference to Exhibit 3.2 from the Cohu, Inc. Report on Form 8-K filed with the Securities and Exchange Commission on December 12, 1996</w:t>
      </w:r>
    </w:p>
    <w:p>
      <w:pPr>
        <w:spacing w:after="0" w:line="1" w:lineRule="exact"/>
        <w:rPr>
          <w:sz w:val="20"/>
          <w:szCs w:val="20"/>
          <w:color w:val="auto"/>
        </w:rPr>
      </w:pPr>
    </w:p>
    <w:p>
      <w:pPr>
        <w:jc w:val="both"/>
        <w:ind w:left="2140" w:right="1380" w:hanging="914"/>
        <w:spacing w:after="0" w:line="250" w:lineRule="auto"/>
        <w:tabs>
          <w:tab w:leader="none" w:pos="21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 Rights Agreement dated November 15, 1996, between Cohu, Inc. and Chase Mellon Shareholder Services, L.L.C., incorporated herein by reference to Exhibit 4.1 to the Cohu, Inc. Report on Form 8-K filed with the Securities and Exchange Commission on December 12, 1996</w:t>
      </w:r>
    </w:p>
    <w:p>
      <w:pPr>
        <w:spacing w:after="0" w:line="1" w:lineRule="exact"/>
        <w:rPr>
          <w:sz w:val="20"/>
          <w:szCs w:val="20"/>
          <w:color w:val="auto"/>
        </w:rPr>
      </w:pPr>
    </w:p>
    <w:p>
      <w:pPr>
        <w:ind w:left="1440"/>
        <w:spacing w:after="0"/>
        <w:tabs>
          <w:tab w:leader="none" w:pos="2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 - Certification of Chief Executive Officer</w:t>
      </w:r>
    </w:p>
    <w:p>
      <w:pPr>
        <w:spacing w:after="0" w:line="9" w:lineRule="exact"/>
        <w:rPr>
          <w:sz w:val="20"/>
          <w:szCs w:val="20"/>
          <w:color w:val="auto"/>
        </w:rPr>
      </w:pPr>
    </w:p>
    <w:p>
      <w:pPr>
        <w:ind w:left="1440"/>
        <w:spacing w:after="0"/>
        <w:tabs>
          <w:tab w:leader="none" w:pos="21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 - Certification of Chief Financial Officer</w:t>
      </w:r>
    </w:p>
    <w:p>
      <w:pPr>
        <w:spacing w:after="0" w:line="219" w:lineRule="exact"/>
        <w:rPr>
          <w:sz w:val="20"/>
          <w:szCs w:val="20"/>
          <w:color w:val="auto"/>
        </w:rPr>
      </w:pPr>
    </w:p>
    <w:p>
      <w:pPr>
        <w:ind w:left="5620" w:right="2200" w:hanging="5290"/>
        <w:spacing w:after="0" w:line="519" w:lineRule="auto"/>
        <w:tabs>
          <w:tab w:leader="none" w:pos="6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on Form 8-K: The Company did not file any reports on Form 8-K during the quarter ended September 30, 2002.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 2002</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Chief Executive Officer</w:t>
      </w:r>
    </w:p>
    <w:p>
      <w:pPr>
        <w:spacing w:after="0" w:line="24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 2002</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&amp; Chief Financial Officer</w:t>
      </w: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9"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Cohu, Inc.;</w:t>
      </w:r>
    </w:p>
    <w:p>
      <w:pPr>
        <w:spacing w:after="0" w:line="225" w:lineRule="exact"/>
        <w:rPr>
          <w:rFonts w:ascii="Arial" w:cs="Arial" w:eastAsia="Arial" w:hAnsi="Arial"/>
          <w:sz w:val="18"/>
          <w:szCs w:val="18"/>
          <w:color w:val="auto"/>
        </w:rPr>
      </w:pPr>
    </w:p>
    <w:p>
      <w:pPr>
        <w:ind w:firstLine="8"/>
        <w:spacing w:after="0" w:line="370" w:lineRule="auto"/>
        <w:tabs>
          <w:tab w:leader="none" w:pos="176"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rFonts w:ascii="Arial" w:cs="Arial" w:eastAsia="Arial" w:hAnsi="Arial"/>
          <w:sz w:val="15"/>
          <w:szCs w:val="15"/>
          <w:color w:val="auto"/>
        </w:rPr>
      </w:pPr>
    </w:p>
    <w:p>
      <w:pPr>
        <w:ind w:right="26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right="80" w:firstLine="8"/>
        <w:spacing w:after="0" w:line="268" w:lineRule="auto"/>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480" w:right="80" w:firstLine="1"/>
        <w:spacing w:after="0" w:line="332"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480" w:right="400" w:firstLine="1"/>
        <w:spacing w:after="0" w:line="268" w:lineRule="auto"/>
        <w:tabs>
          <w:tab w:leader="none" w:pos="6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480" w:right="340" w:firstLine="1"/>
        <w:spacing w:after="0" w:line="268"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460" w:firstLine="8"/>
        <w:spacing w:after="0" w:line="268" w:lineRule="auto"/>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480" w:right="680" w:firstLine="1"/>
        <w:spacing w:after="0" w:line="332"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680" w:hanging="199"/>
        <w:spacing w:after="0"/>
        <w:tabs>
          <w:tab w:leader="none" w:pos="6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right="140" w:firstLine="8"/>
        <w:spacing w:after="0" w:line="259" w:lineRule="auto"/>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2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 2002</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Chief Executive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Cohu, Inc.;</w:t>
      </w:r>
    </w:p>
    <w:p>
      <w:pPr>
        <w:spacing w:after="0" w:line="225" w:lineRule="exact"/>
        <w:rPr>
          <w:rFonts w:ascii="Arial" w:cs="Arial" w:eastAsia="Arial" w:hAnsi="Arial"/>
          <w:sz w:val="18"/>
          <w:szCs w:val="18"/>
          <w:color w:val="auto"/>
        </w:rPr>
      </w:pPr>
    </w:p>
    <w:p>
      <w:pPr>
        <w:ind w:firstLine="8"/>
        <w:spacing w:after="0" w:line="370" w:lineRule="auto"/>
        <w:tabs>
          <w:tab w:leader="none" w:pos="176"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rFonts w:ascii="Arial" w:cs="Arial" w:eastAsia="Arial" w:hAnsi="Arial"/>
          <w:sz w:val="15"/>
          <w:szCs w:val="15"/>
          <w:color w:val="auto"/>
        </w:rPr>
      </w:pPr>
    </w:p>
    <w:p>
      <w:pPr>
        <w:ind w:right="26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right="80" w:firstLine="8"/>
        <w:spacing w:after="0" w:line="268" w:lineRule="auto"/>
        <w:tabs>
          <w:tab w:leader="none" w:pos="1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480" w:right="80" w:firstLine="1"/>
        <w:spacing w:after="0" w:line="33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480" w:right="400" w:firstLine="1"/>
        <w:spacing w:after="0" w:line="268" w:lineRule="auto"/>
        <w:tabs>
          <w:tab w:leader="none" w:pos="67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480" w:right="340" w:firstLine="1"/>
        <w:spacing w:after="0" w:line="268"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right="460" w:firstLine="8"/>
        <w:spacing w:after="0" w:line="268" w:lineRule="auto"/>
        <w:tabs>
          <w:tab w:leader="none" w:pos="1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85" w:lineRule="exact"/>
        <w:rPr>
          <w:rFonts w:ascii="Arial" w:cs="Arial" w:eastAsia="Arial" w:hAnsi="Arial"/>
          <w:sz w:val="18"/>
          <w:szCs w:val="18"/>
          <w:color w:val="auto"/>
        </w:rPr>
      </w:pPr>
    </w:p>
    <w:p>
      <w:pPr>
        <w:ind w:left="480" w:right="680" w:firstLine="1"/>
        <w:spacing w:after="0" w:line="33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680" w:hanging="199"/>
        <w:spacing w:after="0"/>
        <w:tabs>
          <w:tab w:leader="none" w:pos="6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right="140" w:firstLine="8"/>
        <w:spacing w:after="0" w:line="259" w:lineRule="auto"/>
        <w:tabs>
          <w:tab w:leader="none" w:pos="1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2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 2002</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71120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&amp; Chief Financial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19" w:right="279" w:bottom="1440" w:gutter="0" w:footer="0" w:header="0"/>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 James A. Donahue, Chief Executive Officer of Cohu, Inc. (the "Registrant"), do hereby certify in accordance with 18 U.S.C. 1350, as adopted pursuant to Section 906 of the Sarbanes-Oxley Act of 2002, that, based on my knowledge:</w:t>
      </w:r>
    </w:p>
    <w:p>
      <w:pPr>
        <w:spacing w:after="0" w:line="178" w:lineRule="exact"/>
        <w:rPr>
          <w:sz w:val="20"/>
          <w:szCs w:val="20"/>
          <w:color w:val="auto"/>
        </w:rPr>
      </w:pPr>
    </w:p>
    <w:p>
      <w:pPr>
        <w:jc w:val="both"/>
        <w:ind w:left="860" w:right="1779" w:hanging="9"/>
        <w:spacing w:after="0" w:line="237" w:lineRule="auto"/>
        <w:tabs>
          <w:tab w:leader="none" w:pos="128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of the Securities Exchange Act of 1934 (15 U.S.C. 78m); and</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8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1, 2002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tab/>
        <w:t>James A. Donahue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Donahue</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ectPr>
          <w:pgSz w:w="11900" w:h="16838" w:orient="portrait"/>
          <w:cols w:equalWidth="0" w:num="2">
            <w:col w:w="3500" w:space="720"/>
            <w:col w:w="5999"/>
          </w:cols>
          <w:pgMar w:left="240" w:top="339" w:right="1440" w:bottom="1440" w:gutter="0" w:footer="0" w:header="0"/>
          <w:type w:val="continuous"/>
        </w:sectPr>
      </w:pPr>
    </w:p>
    <w:bookmarkStart w:id="27" w:name="page28"/>
    <w:bookmarkEnd w:id="27"/>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 John H. Allen, Chief Financial Officer of Cohu, Inc. (the "Registrant"), do hereby certify in accordance with 18 U.S.C. 1350, as adopted pursuant to Section 906 of the Sarbanes-Oxley Act of 2002, that, based on my knowledge:</w:t>
      </w:r>
    </w:p>
    <w:p>
      <w:pPr>
        <w:spacing w:after="0" w:line="209" w:lineRule="exact"/>
        <w:rPr>
          <w:sz w:val="20"/>
          <w:szCs w:val="20"/>
          <w:color w:val="auto"/>
        </w:rPr>
      </w:pPr>
    </w:p>
    <w:p>
      <w:pPr>
        <w:jc w:val="both"/>
        <w:ind w:left="860" w:right="1779" w:hanging="9"/>
        <w:spacing w:after="0" w:line="237" w:lineRule="auto"/>
        <w:tabs>
          <w:tab w:leader="none" w:pos="128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of the Securities Exchange Act of 1934 (15 U.S.C. 78m); and</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8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744"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1, 2002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tab/>
        <w:t>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w:t>
      </w: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4240" w:space="720"/>
        <w:col w:w="5259"/>
      </w:cols>
      <w:pgMar w:left="240" w:top="7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4"/>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2019-12-12T22:38:45Z</dcterms:created>
  <dcterms:modified xsi:type="dcterms:W3CDTF">2019-12-12T22:38:45Z</dcterms:modified>
</cp:coreProperties>
</file>