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b w:val="1"/>
          <w:bCs w:val="1"/>
          <w:color w:val="auto"/>
        </w:rPr>
        <w:t>ANNUAL REPORT PURSUANT TO SECTION 13 OR 15(d) OF THE SECURITIES</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EXCHANGE ACT OF 1934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color w:val="auto"/>
        </w:rPr>
        <w:t>TRANSITION REPORT PURSUANT TO SECTION 13 OR 15(d) OF THE SECURITIES</w:t>
      </w:r>
    </w:p>
    <w:p>
      <w:pPr>
        <w:spacing w:after="0" w:line="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EXCHANGE ACT OF 1934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file number 1-4298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200" w:type="dxa"/>
        <w:tblCellMar>
          <w:top w:w="0" w:type="dxa"/>
          <w:left w:w="0" w:type="dxa"/>
          <w:bottom w:w="0" w:type="dxa"/>
          <w:right w:w="0" w:type="dxa"/>
        </w:tblCellMar>
      </w:tblPr>
      <w:tr>
        <w:trPr>
          <w:trHeight w:val="222"/>
        </w:trPr>
        <w:tc>
          <w:tcPr>
            <w:tcW w:w="486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Delaware</w:t>
            </w:r>
          </w:p>
        </w:tc>
        <w:tc>
          <w:tcPr>
            <w:tcW w:w="406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95-1934119</w:t>
            </w:r>
          </w:p>
        </w:tc>
      </w:tr>
      <w:tr>
        <w:trPr>
          <w:trHeight w:val="216"/>
        </w:trPr>
        <w:tc>
          <w:tcPr>
            <w:tcW w:w="4860" w:type="dxa"/>
            <w:vAlign w:val="bottom"/>
          </w:tcPr>
          <w:p>
            <w:pPr>
              <w:jc w:val="center"/>
              <w:ind w:right="1452"/>
              <w:spacing w:after="0"/>
              <w:rPr>
                <w:sz w:val="20"/>
                <w:szCs w:val="20"/>
                <w:color w:val="auto"/>
              </w:rPr>
            </w:pPr>
            <w:r>
              <w:rPr>
                <w:rFonts w:ascii="Arial" w:cs="Arial" w:eastAsia="Arial" w:hAnsi="Arial"/>
                <w:sz w:val="18"/>
                <w:szCs w:val="18"/>
                <w:color w:val="auto"/>
                <w:w w:val="90"/>
              </w:rPr>
              <w:t>(State or other jurisdiction of</w:t>
            </w:r>
          </w:p>
        </w:tc>
        <w:tc>
          <w:tcPr>
            <w:tcW w:w="4060" w:type="dxa"/>
            <w:vAlign w:val="bottom"/>
          </w:tcPr>
          <w:p>
            <w:pPr>
              <w:jc w:val="center"/>
              <w:ind w:left="143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4860" w:type="dxa"/>
            <w:vAlign w:val="bottom"/>
          </w:tcPr>
          <w:p>
            <w:pPr>
              <w:jc w:val="center"/>
              <w:ind w:right="1452"/>
              <w:spacing w:after="0"/>
              <w:rPr>
                <w:sz w:val="20"/>
                <w:szCs w:val="20"/>
                <w:color w:val="auto"/>
              </w:rPr>
            </w:pPr>
            <w:r>
              <w:rPr>
                <w:rFonts w:ascii="Arial" w:cs="Arial" w:eastAsia="Arial" w:hAnsi="Arial"/>
                <w:sz w:val="18"/>
                <w:szCs w:val="18"/>
                <w:color w:val="auto"/>
                <w:w w:val="90"/>
              </w:rPr>
              <w:t>Incorporation or Organization)</w:t>
            </w:r>
          </w:p>
        </w:tc>
        <w:tc>
          <w:tcPr>
            <w:tcW w:w="4060" w:type="dxa"/>
            <w:vAlign w:val="bottom"/>
          </w:tcPr>
          <w:p>
            <w:pPr>
              <w:spacing w:after="0"/>
              <w:rPr>
                <w:sz w:val="19"/>
                <w:szCs w:val="19"/>
                <w:color w:val="auto"/>
              </w:rPr>
            </w:pPr>
          </w:p>
        </w:tc>
      </w:tr>
      <w:tr>
        <w:trPr>
          <w:trHeight w:val="453"/>
        </w:trPr>
        <w:tc>
          <w:tcPr>
            <w:tcW w:w="486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4060" w:type="dxa"/>
            <w:vAlign w:val="bottom"/>
          </w:tcPr>
          <w:p>
            <w:pPr>
              <w:jc w:val="center"/>
              <w:ind w:left="1432"/>
              <w:spacing w:after="0"/>
              <w:rPr>
                <w:sz w:val="20"/>
                <w:szCs w:val="20"/>
                <w:color w:val="auto"/>
              </w:rPr>
            </w:pPr>
            <w:r>
              <w:rPr>
                <w:rFonts w:ascii="Arial" w:cs="Arial" w:eastAsia="Arial" w:hAnsi="Arial"/>
                <w:sz w:val="18"/>
                <w:szCs w:val="18"/>
                <w:b w:val="1"/>
                <w:bCs w:val="1"/>
                <w:color w:val="auto"/>
                <w:w w:val="89"/>
              </w:rPr>
              <w:t>92064-6817</w:t>
            </w:r>
          </w:p>
        </w:tc>
      </w:tr>
      <w:tr>
        <w:trPr>
          <w:trHeight w:val="222"/>
        </w:trPr>
        <w:tc>
          <w:tcPr>
            <w:tcW w:w="486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4060" w:type="dxa"/>
            <w:vAlign w:val="bottom"/>
          </w:tcPr>
          <w:p>
            <w:pPr>
              <w:jc w:val="center"/>
              <w:ind w:left="14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848-8100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$1.00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Purchase Rights, $1.00 par value</w:t>
      </w:r>
    </w:p>
    <w:p>
      <w:pPr>
        <w:spacing w:after="0" w:line="219"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0"/>
          <w:szCs w:val="20"/>
          <w:color w:val="auto"/>
        </w:rPr>
      </w:pPr>
    </w:p>
    <w:p>
      <w:pPr>
        <w:ind w:right="60" w:firstLine="216"/>
        <w:spacing w:after="0" w:line="335"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$364,000,000 as of February 14, 2002.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14, 2002, the Registrant had 20,593,000 shares of its $1.00 par value common stock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III incorporates certain information by reference from the Proxy Statement for Cohu, Inc.’s 2002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46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5. MARKET FOR THE REGISTRANT’S COMMON EQUITY AND RELATED STOCKHOLDER</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MATTERS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46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8. FINANCIAL STATEMENTS AND SUPPLEMENTARY DATA</w:t>
        </w:r>
      </w:hyperlink>
    </w:p>
    <w:p>
      <w:pPr>
        <w:spacing w:after="0" w:line="1" w:lineRule="exact"/>
        <w:rPr>
          <w:sz w:val="20"/>
          <w:szCs w:val="20"/>
          <w:color w:val="auto"/>
        </w:rPr>
      </w:pPr>
    </w:p>
    <w:p>
      <w:pPr>
        <w:ind w:left="320" w:right="68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FINANCIAL DISCLOSURE</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264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80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13. CERTAIN RELATIONSHIPS AND RELATED TRANSACTIONS</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PART IV</w:t>
        </w:r>
      </w:hyperlink>
    </w:p>
    <w:p>
      <w:pPr>
        <w:spacing w:after="0" w:line="1" w:lineRule="exact"/>
        <w:rPr>
          <w:sz w:val="20"/>
          <w:szCs w:val="20"/>
          <w:color w:val="auto"/>
        </w:rPr>
      </w:pPr>
    </w:p>
    <w:p>
      <w:pPr>
        <w:ind w:left="620" w:right="1040" w:hanging="31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14. EXHIBITS, FINANCIAL STATEMENT SCHEDULES, AND REPORTS ON FORM 8-K</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CONSOLIDATED BALANCE SHEETS</w:t>
        </w:r>
      </w:hyperlink>
    </w:p>
    <w:p>
      <w:pPr>
        <w:spacing w:after="0" w:line="1" w:lineRule="exact"/>
        <w:rPr>
          <w:sz w:val="20"/>
          <w:szCs w:val="20"/>
          <w:color w:val="auto"/>
        </w:rPr>
      </w:pPr>
    </w:p>
    <w:p>
      <w:pPr>
        <w:ind w:left="620" w:right="340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CONSOLIDATED STATEMENTS OF OPERATIONS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CONSOLIDATED STATEMENTS OF STOCKHOLDERS’ EQUITY</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CONSOLIDATED STATEMENTS OF CASH FLOWS</w:t>
        </w:r>
      </w:hyperlink>
    </w:p>
    <w:p>
      <w:pPr>
        <w:ind w:left="620"/>
        <w:spacing w:after="0" w:line="232"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NOTES TO CONSOLIDATED FINANCIAL STATEMENTS</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Index to Exhibits</w:t>
        </w:r>
      </w:hyperlink>
    </w:p>
    <w:p>
      <w:pPr>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SIGNATURES</w:t>
        </w:r>
      </w:hyperlink>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23</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certain risks and uncertainties, including but not limited to those discussed herein and, in particular, under the caption “Trends, Risks and Uncertainties” beginning on page 12 that could cause actual results to differ materially from those projected.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 predecessor of Cohu, Inc. (“Cohu” or the “Company”)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Cohu has two reportable segments as defined by Financial Accounting Standards Board (“FASB”) Statement No. 131, </w:t>
      </w:r>
      <w:r>
        <w:rPr>
          <w:rFonts w:ascii="Arial" w:cs="Arial" w:eastAsia="Arial" w:hAnsi="Arial"/>
          <w:sz w:val="16"/>
          <w:szCs w:val="16"/>
          <w:i w:val="1"/>
          <w:iCs w:val="1"/>
          <w:color w:val="auto"/>
        </w:rPr>
        <w:t>Disclosures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and Related Information. </w:t>
      </w:r>
      <w:r>
        <w:rPr>
          <w:rFonts w:ascii="Arial" w:cs="Arial" w:eastAsia="Arial" w:hAnsi="Arial"/>
          <w:sz w:val="16"/>
          <w:szCs w:val="16"/>
          <w:color w:val="auto"/>
        </w:rPr>
        <w:t>The semiconductor equipment segment, operated under Cohu’s wholly owned subsidiary Delta Design, Inc., designs,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manufactures and sells semiconductor test handling equipment to semiconductor manufacturers and semiconductor test subcontractors throughout the world. The television camera segment (the “Electronics Division”) designs, manufactures and sells closed circuit television cameras and systems to original equipment manufacturers, contractors and government agencies. Cohu’s other operating segments include Fisher Research Laboratory, Inc. (“FRL”), a metal detection instrumentation business, and Broadcast Microwave Services, Inc. (“BMS”), a microwave communications equipment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Sales by segment, expressed as a percentage of total consolidated net sales, for the last three years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Semiconductor equipment</w:t>
            </w: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75%</w:t>
            </w:r>
          </w:p>
        </w:tc>
        <w:tc>
          <w:tcPr>
            <w:tcW w:w="8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87%</w:t>
            </w:r>
          </w:p>
        </w:tc>
        <w:tc>
          <w:tcPr>
            <w:tcW w:w="9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Television cameras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pages 9 (Selected Financial Data) and 28 (Note 9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Effective January 1, 2000, Cohu united its semiconductor equipment operations, Delta Design (San Diego, CA) and Daymarc (Littleton, MA) under the Delta Design name. On July 16, 2001, the Company purchased the assets of the Automated Systems business (“AS”) from Schlumberger Technologies, Inc. AS designs, manufactures and sells semiconductor equipment including pick and place test handlers and burn-in board loaders and unloaders. AS has technology and intellectual property associated with precise temperature control and heat dissipation of high-speed, high-power ICs during test. Based on 2000 market data compiled by VLSI Research, Delta Design (“Delta”) was the largest U.S. based and the second largest worldwide supplier of semiconductor test handling equipment. Delta designs, manufactures, markets and services a broad line of test handlers, capable of handling a wide range of integrated circuit (“IC”) packages. Test handlers are electromechanical systems that are used to automate the IC final test process. Testing determines the quality and performance of the IC prior to shipment to customers. While testers are designed for specific IC types, such as microprocessor, logic, DRAM or mixed signal, handlers are engineered to process and position for testing, one or more of the various plastic or ceramic packages that protect the micro-circuitry and provide electrical connection to the printed circuit board or substrate.</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test handlers use either gravity-feed or pick-and-place technologies to process ICs. Delta’s product lines include both pick-and-place and gravity-feed handlers. The IC package type normally determines the appropriate handling approach. Because gravity-feed handling is simple, reliable and fast, it is the preferred technique for handling packages with leads on only two sides, including the dual-in-line (“DIP”) and Small Outline (“SOIC”). ICs with leads on all four sides, such as the Quad Flat Pack and certain low profile ICs with leads on two sides, such as the thin small outline package (“TSOP”), are predominately run in pick-and-place systems. In gravity-feed handlers, ICs are automatically unloaded from plastic tubes or metal magazines at the top of the machine and flow through the system, from top to bottom,</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propelled along precision trackwork by the force of gravity. After testing, the ICs are sorted and reloaded into tubes or magazines for additional process steps or for shipment. In pick-and-place systems, ICs are picked from waffle-like trays, placed in precision transport boats or carriers and cycled through the system. At the output, ICs are sorted and reloaded into designated trays, based on test results.</w:t>
      </w:r>
    </w:p>
    <w:p>
      <w:pPr>
        <w:spacing w:after="0" w:line="194"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To ensure the quality of the ICs produced, semiconductor manufacturers typically test ICs at hot and/or cold temperatures, which accelerates failure mechanisms within the IC. As a significant portion of IC test is performed at hot and/or cold temperatures, many of Delta’s test handlers are designed to provide a precisely controlled test environment over the range of -60 degrees C to +160 degrees C. As semiconductor manufacturers continue to reduce the size of ICs while providing higher performance and speed, test handler manufacturers have faced the additional and substantial challenge of dissipating the large amount of heat that is generated within the IC during the test process. This heat is capable of damaging or destroying the IC and can result in speed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and size and reliability.</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Handlers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 Delta has a large installed base of pick-and-place test handlers, with over 3,000 systems shipped to more than 130 locations worldwide.</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Delta Flex™, available in three models with various levels of automation, provides hot/cold test capability and broad versatility in IC package and media (tray or tube) handling. Through Delta’s continuous product improvement process, the handler has been successfully adapted to meet the evolving needs of IC manufacturers.</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Model 2040, or RFS™, is a fast-index time, pick-and-place handler, designed for high volume production applications. The handler’s large thermal storage capacity enables an uninterrupted flow of thermally conditioned devices to the test site. The RFS™ utilizes a patented contactor indexing mechanism to achieve an index time of approximately 500 milliseconds.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Model 1688 is an ambient pick-and-place handler, which uses the same fast contactor indexing mechanism as the RFS™. The handler’s small footprint, combined with high speed and dependable operation, make the 1688 a highly cost effective solution for test applications where environmental capability is not required, such as the testing of chips for certain wireless products.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Delta’s Castle handlers incorporate an innovative vertical tray handling system which provides high input/output automation in an extremely small footprint. The system is available in both memory and logic configurations. Castle Mx32 provides parallel testing of up to thirty-two devices. Castle Lx offers the same small footprint as the Mx32.</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Delta’s Summit handler is designed to meet the requirements of manufacturers of advanced microprocessors and other high speed, high power devices. Summit utilizes chilled fluid to control test temperatures and dissipate the considerable heat generated by these devices during test.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Delta develops, manufactures and sells primarily two lines of gravity-feed test handlers: the 1888 Series and the 3000 Series.</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1888 Series test handler processes small outline packages used in wireless applications and is designed specifically for the demanding requirements of RF device testing. The 3000 Series handlers are designed for a wide range of gravity-feed devices, including DIPs and SOICs. These handlers may be configured to test 1-32 devices in parallel. The 3000 Series handlers provide tri-temperature operation and input/output automation for increased productivity.</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Delta is developing a test handler using an emerging technology known as test-on-strip. In pick-and-place and gravity-feed handlers, ICs are processed in singulated format, after they are excised from leadframes or laminate substrates. In test-on-strip, the ICs are tested on the leadframe or substrate before singulation, and are excised in a subsequent operation. Test-on-strip may provide advantages in some applications, such as when testing very small ICs and when testing multiple ICs simultaneously (parallel testing).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Cohu’s Electronics Division has developed, manufactured and sold closed circuit television (“CCTV”) cameras and systems for nearly 50 years. The customer base for these products is broadly distributed between machine vision, traffic control and management, scientific imaging and security/surveillance markets. The current product line represents a broad array of indoor and outdoor CCTV cameras and camera control equipment. To support its camera products, the Electronics Division offers a wide selection of accessories including monitors, lenses and camera test equipment.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FRL designs, manufactures and sells metal detectors and related underground detection instruments for consumer and industrial markets. Industrial products include pipe and cable locators, water leak detectors, property marker locators and instruments for locating reinforcing bars in concrete. Consumer metal detectors include models for prospectors, relic hunters, sports divers and treasure hunters.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BMS designs, manufactures and sells microwave communications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customers include semiconductor manufacturers and subcontractors (“test houses”) that perform test services for IC manufacturers. Repeat sales to existing customers represent a significant portion of our sales in this business segment. We believe that our installed customer base represents a significant competitive advantage.</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on a limited number of customers for a substantial percentage of our net sales. In 2001 Intel and Texas Instruments accounted for 34% and 10%, respectively, of our net sales. In 2000 Intel, Texas Instruments and Motorola accounted for 26%, 12% and 10%, respectively, of our net sales. In 1999 Motorola and Texas Instruments accounted for 24% and 12%, respectively, of our net sales. The loss of or a significant reduction in orders by these or other significant customers, including reductions due to market, economic or competitive conditions or the outsourcing of final IC test to subcontractors that are not our customers would adversely affect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and Other Businesses</w:t>
      </w:r>
    </w:p>
    <w:p>
      <w:pPr>
        <w:spacing w:after="0" w:line="22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Cohu’s customer base in the television cameras industry segment is diverse and includes government agencies, original equipment manufacturers, contractors and value-added resellers throughout the world. No single customer of this segment accounted for 10% or more of our consolidated net sales in 2001, 2000 or 1999.</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customer base in the other operating businesses (FRL and BMS) is also diverse and includes government agencies, original equipment manufacturers, contractors, distributors and consumers throughout the world. No single customer of either FRL or BMS accounted for 10% or more of our consolidated net sales in 2001, 2000 or 1999.</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Contracts, including subcontract work, with U.S. Government agencies accounted for net sales of $3.5 million, $2.0 million and $3.4 million in 2001, 2000 and 1999, respectively. Such contracts are frequently subject to termination provisions at the convenience of the Government.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a geographic area where we believe there is sufficient sales potential, we maintain sales offices staffed with our own sales personnel. We maintain U.S.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Sales in Europe are derived primarily through independent sales representatives.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based on 2000 market data, we believe we were the second largest worldwide supplier of semiconductor test handling equipment after Advantest Corporation of Japan, we face substantial competition in the U.S. and throughout the world.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products in the television cameras segment and other businesses are sold in highly competitive markets throughout the world, where competition is on the basis of price, product performance and integration with customer requirements, service and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The dollar amount of our order backlog as of December 31, 2001 was $38.2 million as compared to $50.9 million at December 31, 2000. Of these amounts, $29.9 million ($41.2 million in 2000) was in semiconductor test handling equipment, $5.7 million ($8.8 million in 2000) was in television cameras and</w:t>
      </w:r>
    </w:p>
    <w:p>
      <w:pPr>
        <w:spacing w:after="0" w:line="253" w:lineRule="auto"/>
        <w:rPr>
          <w:sz w:val="20"/>
          <w:szCs w:val="20"/>
          <w:color w:val="auto"/>
        </w:rPr>
      </w:pPr>
      <w:r>
        <w:rPr>
          <w:rFonts w:ascii="Arial" w:cs="Arial" w:eastAsia="Arial" w:hAnsi="Arial"/>
          <w:sz w:val="18"/>
          <w:szCs w:val="18"/>
          <w:color w:val="auto"/>
        </w:rPr>
        <w:t>$2.6 million ($.9 million in 2000) from FRL and BMS. Virtually all backlog is expected to be shipped within the next twelve months.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All orders are subject to cancellation or rescheduling by the customer with limited penalty. There is no significant seasonal aspect to the business of Cohu.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manufacturing operations are currently located in Poway, California (BMS and Delta Design), San Diego, California (Electronics Division), Littleton, Massachusetts (Delta Design), Columbus, Ohio (Delta Design) and Los Banos, California (FRL). Many of the components and subassemblies we utilize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adversely affect our operations while we attempted to locate and qualify replacement suppliers.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Cohu protects its proprietary technology through various intellectual property laws. Our reliance on protection provided by such laws increased significantly as a result of the Automated Systems acquisition in July 2001. However, we believe that, due to the rapid pace of technological change in the semiconductor equipment industry, the successful manufacture and sale of our products generally depend upon our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we may be vulnerable to competitors who attempt to copy or imitate our products or processes. We believe our intellectual property has value (and includes trademark rights and trade names other than Cohu),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effect on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Certain of the markets in which Cohu competes,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Total research and development expenses were $29.7 million in 2001, $32.6 million in 2000 and $20.5 million in 1999. Total dollar expenditures have increased over the 1999 level primarily due to increased spending for research and development in our semiconductor test handling equipment business. There was no significant customer-funded product development during these years.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work closely with our key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occasion, Cohu is notified by local authorities of instances of noncompliance with local and/or state environmental laws.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Cohu.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31, 2001, we had approximately 930 employees. Our workforce declined approximately thirty percent in 2001 due to reductions primarily as a result of a downturn in the semiconductor equipment industry. None of these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Cohu will be able to attract, hire, assimilate and retain a sufficient number of qualified employees.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information concerning Cohu’s principal properties at December 31, 2001 identified by business segment is set forth below:</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tcPr>
          <w:p>
            <w:pPr>
              <w:jc w:val="right"/>
              <w:ind w:right="632"/>
              <w:spacing w:after="0"/>
              <w:rPr>
                <w:sz w:val="20"/>
                <w:szCs w:val="20"/>
                <w:color w:val="auto"/>
              </w:rPr>
            </w:pPr>
            <w:r>
              <w:rPr>
                <w:rFonts w:ascii="Arial" w:cs="Arial" w:eastAsia="Arial" w:hAnsi="Arial"/>
                <w:sz w:val="14"/>
                <w:szCs w:val="14"/>
                <w:b w:val="1"/>
                <w:bCs w:val="1"/>
                <w:color w:val="auto"/>
              </w:rPr>
              <w:t>Approximate</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4"/>
        </w:trPr>
        <w:tc>
          <w:tcPr>
            <w:tcW w:w="40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460" w:type="dxa"/>
            <w:vAlign w:val="bottom"/>
          </w:tcPr>
          <w:p>
            <w:pPr>
              <w:spacing w:after="0"/>
              <w:rPr>
                <w:sz w:val="15"/>
                <w:szCs w:val="15"/>
                <w:color w:val="auto"/>
              </w:rPr>
            </w:pPr>
          </w:p>
        </w:tc>
        <w:tc>
          <w:tcPr>
            <w:tcW w:w="2140" w:type="dxa"/>
            <w:vAlign w:val="bottom"/>
          </w:tcPr>
          <w:p>
            <w:pPr>
              <w:jc w:val="right"/>
              <w:ind w:right="672"/>
              <w:spacing w:after="0"/>
              <w:rPr>
                <w:sz w:val="20"/>
                <w:szCs w:val="20"/>
                <w:color w:val="auto"/>
              </w:rPr>
            </w:pPr>
            <w:r>
              <w:rPr>
                <w:rFonts w:ascii="Arial" w:cs="Arial" w:eastAsia="Arial" w:hAnsi="Arial"/>
                <w:sz w:val="14"/>
                <w:szCs w:val="14"/>
                <w:b w:val="1"/>
                <w:bCs w:val="1"/>
                <w:color w:val="auto"/>
              </w:rPr>
              <w:t>Sq. Footage</w:t>
            </w:r>
          </w:p>
        </w:tc>
        <w:tc>
          <w:tcPr>
            <w:tcW w:w="4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r>
      <w:tr>
        <w:trPr>
          <w:trHeight w:val="95"/>
        </w:trPr>
        <w:tc>
          <w:tcPr>
            <w:tcW w:w="40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r>
        <w:trPr>
          <w:trHeight w:val="102"/>
        </w:trPr>
        <w:tc>
          <w:tcPr>
            <w:tcW w:w="4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Poway, CA(1)(3)(5)</w:t>
            </w:r>
          </w:p>
        </w:tc>
        <w:tc>
          <w:tcPr>
            <w:tcW w:w="260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338,000</w:t>
            </w:r>
          </w:p>
        </w:tc>
        <w:tc>
          <w:tcPr>
            <w:tcW w:w="460" w:type="dxa"/>
            <w:vAlign w:val="bottom"/>
            <w:shd w:val="clear" w:color="auto" w:fill="EEEEEE"/>
          </w:tcPr>
          <w:p>
            <w:pPr>
              <w:spacing w:after="0"/>
              <w:rPr>
                <w:sz w:val="18"/>
                <w:szCs w:val="18"/>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Littleton, MA(1)</w:t>
            </w:r>
          </w:p>
        </w:tc>
        <w:tc>
          <w:tcPr>
            <w:tcW w:w="2600" w:type="dxa"/>
            <w:vAlign w:val="bottom"/>
            <w:gridSpan w:val="2"/>
          </w:tcPr>
          <w:p>
            <w:pPr>
              <w:jc w:val="right"/>
              <w:ind w:right="772"/>
              <w:spacing w:after="0"/>
              <w:rPr>
                <w:sz w:val="20"/>
                <w:szCs w:val="20"/>
                <w:color w:val="auto"/>
              </w:rPr>
            </w:pPr>
            <w:r>
              <w:rPr>
                <w:rFonts w:ascii="Arial" w:cs="Arial" w:eastAsia="Arial" w:hAnsi="Arial"/>
                <w:sz w:val="18"/>
                <w:szCs w:val="18"/>
                <w:color w:val="auto"/>
              </w:rPr>
              <w:t>102,000</w:t>
            </w:r>
          </w:p>
        </w:tc>
        <w:tc>
          <w:tcPr>
            <w:tcW w:w="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Columbus, OH(1)</w:t>
            </w:r>
          </w:p>
        </w:tc>
        <w:tc>
          <w:tcPr>
            <w:tcW w:w="260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29,000</w:t>
            </w:r>
          </w:p>
        </w:tc>
        <w:tc>
          <w:tcPr>
            <w:tcW w:w="460" w:type="dxa"/>
            <w:vAlign w:val="bottom"/>
            <w:shd w:val="clear" w:color="auto" w:fill="EEEEEE"/>
          </w:tcPr>
          <w:p>
            <w:pPr>
              <w:spacing w:after="0"/>
              <w:rPr>
                <w:sz w:val="18"/>
                <w:szCs w:val="18"/>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1"/>
              </w:rPr>
              <w:t>Leased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Singapore(1)</w:t>
            </w:r>
          </w:p>
        </w:tc>
        <w:tc>
          <w:tcPr>
            <w:tcW w:w="2600" w:type="dxa"/>
            <w:vAlign w:val="bottom"/>
            <w:gridSpan w:val="2"/>
          </w:tcPr>
          <w:p>
            <w:pPr>
              <w:jc w:val="right"/>
              <w:ind w:right="772"/>
              <w:spacing w:after="0"/>
              <w:rPr>
                <w:sz w:val="20"/>
                <w:szCs w:val="20"/>
                <w:color w:val="auto"/>
              </w:rPr>
            </w:pPr>
            <w:r>
              <w:rPr>
                <w:rFonts w:ascii="Arial" w:cs="Arial" w:eastAsia="Arial" w:hAnsi="Arial"/>
                <w:sz w:val="18"/>
                <w:szCs w:val="18"/>
                <w:color w:val="auto"/>
              </w:rPr>
              <w:t>13,000</w:t>
            </w:r>
          </w:p>
        </w:tc>
        <w:tc>
          <w:tcPr>
            <w:tcW w:w="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1"/>
              </w:rPr>
              <w:t>Leased</w:t>
            </w:r>
          </w:p>
        </w:tc>
      </w:t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San Diego, CA(2)</w:t>
            </w:r>
          </w:p>
        </w:tc>
        <w:tc>
          <w:tcPr>
            <w:tcW w:w="260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57,000</w:t>
            </w:r>
          </w:p>
        </w:tc>
        <w:tc>
          <w:tcPr>
            <w:tcW w:w="460" w:type="dxa"/>
            <w:vAlign w:val="bottom"/>
            <w:shd w:val="clear" w:color="auto" w:fill="EEEEEE"/>
          </w:tcPr>
          <w:p>
            <w:pPr>
              <w:spacing w:after="0"/>
              <w:rPr>
                <w:sz w:val="18"/>
                <w:szCs w:val="18"/>
                <w:color w:val="auto"/>
              </w:rPr>
            </w:pP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1"/>
              </w:rPr>
              <w:t>Leased</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Los Banos, CA(4)</w:t>
            </w:r>
          </w:p>
        </w:tc>
        <w:tc>
          <w:tcPr>
            <w:tcW w:w="2600" w:type="dxa"/>
            <w:vAlign w:val="bottom"/>
            <w:gridSpan w:val="2"/>
          </w:tcPr>
          <w:p>
            <w:pPr>
              <w:jc w:val="right"/>
              <w:ind w:right="772"/>
              <w:spacing w:after="0"/>
              <w:rPr>
                <w:sz w:val="20"/>
                <w:szCs w:val="20"/>
                <w:color w:val="auto"/>
              </w:rPr>
            </w:pPr>
            <w:r>
              <w:rPr>
                <w:rFonts w:ascii="Arial" w:cs="Arial" w:eastAsia="Arial" w:hAnsi="Arial"/>
                <w:sz w:val="18"/>
                <w:szCs w:val="18"/>
                <w:color w:val="auto"/>
              </w:rPr>
              <w:t>23,000</w:t>
            </w:r>
          </w:p>
        </w:tc>
        <w:tc>
          <w:tcPr>
            <w:tcW w:w="4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BMS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FRL</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21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addition to the locations listed above Cohu leases other properties for sales and service offices in various locations including Austin, Texas; Santa Clara, California; and Taipei, Taiwan. We believe our facilities are suitable for their respective uses and are adequate for our present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Cohu is currently subject to various legal proceedings and claims that have arisen in the ordinary course of its businesses. Although the outcome of these legal proceedings and claims cannot be predicted with certainty, Cohu does not believe that any of these legal matters will have a material adverse effect on its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Significant Employees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the names, ages, positions and offices held by all executive officers and significant employees of Cohu as of February 15,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 until their successors are appointed.</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420" w:type="dxa"/>
            <w:vAlign w:val="bottom"/>
          </w:tcPr>
          <w:p>
            <w:pPr>
              <w:spacing w:after="0"/>
              <w:rPr>
                <w:sz w:val="15"/>
                <w:szCs w:val="15"/>
                <w:color w:val="auto"/>
              </w:rPr>
            </w:pPr>
          </w:p>
        </w:tc>
        <w:tc>
          <w:tcPr>
            <w:tcW w:w="460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8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8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James A. Donahue</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&amp; Chief Executive Officer, Director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John H. Allen</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Vice President, Finance &amp; Chief Financial</w:t>
            </w:r>
          </w:p>
        </w:tc>
        <w:tc>
          <w:tcPr>
            <w:tcW w:w="0" w:type="dxa"/>
            <w:vAlign w:val="bottom"/>
          </w:tcPr>
          <w:p>
            <w:pPr>
              <w:spacing w:after="0"/>
              <w:rPr>
                <w:sz w:val="1"/>
                <w:szCs w:val="1"/>
                <w:color w:val="auto"/>
              </w:rPr>
            </w:pPr>
          </w:p>
        </w:tc>
      </w:tr>
      <w:tr>
        <w:trPr>
          <w:trHeight w:val="222"/>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Significant Employees: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Officer, Secretary</w:t>
            </w:r>
          </w:p>
        </w:tc>
        <w:tc>
          <w:tcPr>
            <w:tcW w:w="0" w:type="dxa"/>
            <w:vAlign w:val="bottom"/>
          </w:tcPr>
          <w:p>
            <w:pPr>
              <w:spacing w:after="0"/>
              <w:rPr>
                <w:sz w:val="1"/>
                <w:szCs w:val="1"/>
                <w:color w:val="auto"/>
              </w:rPr>
            </w:pPr>
          </w:p>
        </w:tc>
      </w:tr>
      <w:tr>
        <w:trPr>
          <w:trHeight w:val="210"/>
        </w:trPr>
        <w:tc>
          <w:tcPr>
            <w:tcW w:w="28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Jeffrey Tyler</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Cohu Electronics Division</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Graham Bunney</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BMS</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Roger A. Cimino</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FRL</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Mr. Donahue has been employed by Delta Design since 1978 and has been President of Delta Design since May 1983. In May 1998, Mr. Donahue was promoted to President of the Cohu Semiconductor Equipment Group. In October 1999, Mr. Donahue was named to the position of President &amp; Chief Operating Officer of Cohu, Inc. and was appointed to Cohu’s Board of Directors. On June 30, 2000, Mr. Donahue was promoted to Chief Executive Officer.</w:t>
      </w:r>
    </w:p>
    <w:p>
      <w:pPr>
        <w:spacing w:after="0" w:line="16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ectPr>
          <w:pgSz w:w="11900" w:h="16838" w:orient="portrait"/>
          <w:cols w:equalWidth="0" w:num="1">
            <w:col w:w="11420"/>
          </w:cols>
          <w:pgMar w:left="240" w:top="419"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Tyler has been employed by the Cohu Electronics Division since 1985 and has held management positions in marketing, sales and customer service. Mr. Tyler was promoted to President of the Electronics Division in January 2002.</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Mr. Bunney has been employed by BMS since 1985. Mr. Bunney was a project manager until June 1994, manufacturing manager from June 1994 through January 1996 and was promoted to President of BMS in January 1996.</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Mr. Cimino has been employed by FRL since December 1998 and has been President of FRL since February 1999. Prior to joining FRL, Mr. Cimino held various positions with Cummins Engine Company, Inc. from 1989 until 1998 including Vice President and General Manager of the Cadec Systems subsidiary from 1993 to 1998.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AND RELATED STOCKHOLDER MATTERS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Stock Market under the symbol “COHU”.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Stock Market during the last two years.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2001</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color w:val="auto"/>
              </w:rPr>
              <w:t>High</w:t>
            </w:r>
          </w:p>
        </w:tc>
        <w:tc>
          <w:tcPr>
            <w:tcW w:w="28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color w:val="auto"/>
              </w:rPr>
              <w:t>High</w:t>
            </w:r>
          </w:p>
        </w:tc>
        <w:tc>
          <w:tcPr>
            <w:tcW w:w="28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174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$19.63</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$13.81</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$61.75</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23.49</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13.56</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50.00</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23.55</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13.05</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29.63</w:t>
            </w:r>
          </w:p>
        </w:tc>
        <w:tc>
          <w:tcPr>
            <w:tcW w:w="13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21.93</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14.18</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17.88</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424"/>
        </w:trPr>
        <w:tc>
          <w:tcPr>
            <w:tcW w:w="260" w:type="dxa"/>
            <w:vAlign w:val="bottom"/>
          </w:tcPr>
          <w:p>
            <w:pPr>
              <w:spacing w:after="0"/>
              <w:rPr>
                <w:sz w:val="20"/>
                <w:szCs w:val="20"/>
                <w:color w:val="auto"/>
              </w:rPr>
            </w:pPr>
            <w:r>
              <w:rPr>
                <w:rFonts w:ascii="Arial" w:cs="Arial" w:eastAsia="Arial" w:hAnsi="Arial"/>
                <w:sz w:val="18"/>
                <w:szCs w:val="18"/>
                <w:b w:val="1"/>
                <w:bCs w:val="1"/>
                <w:color w:val="auto"/>
              </w:rPr>
              <w:t>(b)</w:t>
            </w:r>
          </w:p>
        </w:tc>
        <w:tc>
          <w:tcPr>
            <w:tcW w:w="4220" w:type="dxa"/>
            <w:vAlign w:val="bottom"/>
            <w:gridSpan w:val="2"/>
          </w:tcPr>
          <w:p>
            <w:pPr>
              <w:ind w:left="60"/>
              <w:spacing w:after="0"/>
              <w:rPr>
                <w:sz w:val="20"/>
                <w:szCs w:val="20"/>
                <w:color w:val="auto"/>
              </w:rPr>
            </w:pPr>
            <w:r>
              <w:rPr>
                <w:rFonts w:ascii="Arial" w:cs="Arial" w:eastAsia="Arial" w:hAnsi="Arial"/>
                <w:sz w:val="18"/>
                <w:szCs w:val="18"/>
                <w:b w:val="1"/>
                <w:bCs w:val="1"/>
                <w:color w:val="auto"/>
              </w:rPr>
              <w:t>Holders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gridSpan w:val="3"/>
          </w:tcPr>
          <w:p>
            <w:pPr>
              <w:spacing w:after="0"/>
              <w:rPr>
                <w:sz w:val="20"/>
                <w:szCs w:val="20"/>
                <w:color w:val="auto"/>
              </w:rPr>
            </w:pPr>
            <w:r>
              <w:rPr>
                <w:rFonts w:ascii="Arial" w:cs="Arial" w:eastAsia="Arial" w:hAnsi="Arial"/>
                <w:sz w:val="18"/>
                <w:szCs w:val="18"/>
                <w:color w:val="auto"/>
                <w:w w:val="91"/>
              </w:rPr>
              <w:t>At January 31, 2002, Cohu had 1,096 stockholders of record.</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ind w:left="20"/>
              <w:spacing w:after="0"/>
              <w:rPr>
                <w:sz w:val="20"/>
                <w:szCs w:val="20"/>
                <w:color w:val="auto"/>
              </w:rPr>
            </w:pPr>
            <w:r>
              <w:rPr>
                <w:rFonts w:ascii="Arial" w:cs="Arial" w:eastAsia="Arial" w:hAnsi="Arial"/>
                <w:sz w:val="18"/>
                <w:szCs w:val="18"/>
                <w:b w:val="1"/>
                <w:bCs w:val="1"/>
                <w:color w:val="auto"/>
                <w:w w:val="99"/>
              </w:rPr>
              <w:t>(c)</w:t>
            </w:r>
          </w:p>
        </w:tc>
        <w:tc>
          <w:tcPr>
            <w:tcW w:w="4220" w:type="dxa"/>
            <w:vAlign w:val="bottom"/>
            <w:gridSpan w:val="2"/>
          </w:tcPr>
          <w:p>
            <w:pPr>
              <w:ind w:left="40"/>
              <w:spacing w:after="0"/>
              <w:rPr>
                <w:sz w:val="20"/>
                <w:szCs w:val="20"/>
                <w:color w:val="auto"/>
              </w:rPr>
            </w:pPr>
            <w:r>
              <w:rPr>
                <w:rFonts w:ascii="Arial" w:cs="Arial" w:eastAsia="Arial" w:hAnsi="Arial"/>
                <w:sz w:val="18"/>
                <w:szCs w:val="18"/>
                <w:b w:val="1"/>
                <w:bCs w:val="1"/>
                <w:color w:val="auto"/>
              </w:rPr>
              <w:t>Dividends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Cohu declared cash dividends at the rate of $.05 per share per quarter in 2001 and 2000.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and with Management’s Discussion and Analysis of Financial Condition and Results of Operations, included elsewhere herein. Amounts in 2001 have been impacted by the July 2001, acquisition of Automated Systems. Amounts in 2000 have been impacted by a change in accounting for revenue recognition for certain semiconductor equipment sales. Pro forma amounts showing the retroactive impact of the change in accounting for periods prior to 2000 could not be reasonably estimated and have not been provided.</w:t>
      </w:r>
    </w:p>
    <w:p>
      <w:pPr>
        <w:spacing w:after="0" w:line="200" w:lineRule="exact"/>
        <w:rPr>
          <w:sz w:val="20"/>
          <w:szCs w:val="20"/>
          <w:color w:val="auto"/>
        </w:rPr>
      </w:pP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1999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1998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1997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95,194</w:t>
            </w:r>
          </w:p>
        </w:tc>
        <w:tc>
          <w:tcPr>
            <w:tcW w:w="2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250,548</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175,140</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136,323</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152,668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20,792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27,111</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21,330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21,001</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23,553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20" w:type="dxa"/>
            <w:vAlign w:val="bottom"/>
          </w:tcPr>
          <w:p>
            <w:pPr>
              <w:ind w:left="660"/>
              <w:spacing w:after="0"/>
              <w:rPr>
                <w:sz w:val="20"/>
                <w:szCs w:val="20"/>
                <w:color w:val="auto"/>
              </w:rPr>
            </w:pPr>
            <w:r>
              <w:rPr>
                <w:rFonts w:ascii="Arial" w:cs="Arial" w:eastAsia="Arial" w:hAnsi="Arial"/>
                <w:sz w:val="18"/>
                <w:szCs w:val="18"/>
                <w:color w:val="auto"/>
              </w:rPr>
              <w:t>Net sales for reportable segments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115,986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277,659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196,470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157,324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176,221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11,905</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14,187</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Total consolidated net sales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126,550</w:t>
            </w:r>
          </w:p>
        </w:tc>
        <w:tc>
          <w:tcPr>
            <w:tcW w:w="2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289,564</w:t>
            </w:r>
          </w:p>
        </w:tc>
        <w:tc>
          <w:tcPr>
            <w:tcW w:w="2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208,780</w:t>
            </w:r>
          </w:p>
        </w:tc>
        <w:tc>
          <w:tcPr>
            <w:tcW w:w="2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171,511</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187,756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(19,914)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49,575</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35,715</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14,213</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41,167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Profit (loss) for reportable segments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(18,734)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52,383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37,606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44,223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(857)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Total consolidated profit (loss)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(19,591)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52,250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44,382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5,731</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3,469</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Goodwill amortization/write-down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(11,567)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56,038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38,926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16,046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45,887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(credit) for income taxes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cumulative effect of accounting</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(6,467)</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37,038</w:t>
            </w: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25,926</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11,646</w:t>
            </w: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29,187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(6,467)</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33,739</w:t>
            </w:r>
          </w:p>
        </w:tc>
        <w:tc>
          <w:tcPr>
            <w:tcW w:w="2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25,926</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11,646</w:t>
            </w:r>
          </w:p>
        </w:tc>
        <w:tc>
          <w:tcPr>
            <w:tcW w:w="2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29,187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before cumulative effect of</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accounting change: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per share, paid quarterly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w w:val="90"/>
              </w:rPr>
              <w:t>Depreciation and amortization deducted in arriving at profit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3,415</w:t>
            </w:r>
          </w:p>
        </w:tc>
        <w:tc>
          <w:tcPr>
            <w:tcW w:w="2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1,953</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3,296</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2,642</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 amortization/write-down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4,623</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3,585</w:t>
            </w:r>
          </w:p>
        </w:tc>
        <w:tc>
          <w:tcPr>
            <w:tcW w:w="2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3,294</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Semiconductor equipment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24,021</w:t>
            </w:r>
          </w:p>
        </w:tc>
        <w:tc>
          <w:tcPr>
            <w:tcW w:w="2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1,828</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5,826</w:t>
            </w:r>
          </w:p>
        </w:tc>
        <w:tc>
          <w:tcPr>
            <w:tcW w:w="2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24,397</w:t>
            </w:r>
          </w:p>
        </w:tc>
        <w:tc>
          <w:tcPr>
            <w:tcW w:w="2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19" w:right="299" w:bottom="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1999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1998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1997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Semiconductor equipment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97,304</w:t>
            </w:r>
          </w:p>
        </w:tc>
        <w:tc>
          <w:tcPr>
            <w:tcW w:w="2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$110,612</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$115,671</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50,754</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79,978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10,951</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10,696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Total assets for reportable segments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106,784</w:t>
            </w:r>
          </w:p>
        </w:tc>
        <w:tc>
          <w:tcPr>
            <w:tcW w:w="2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121,563</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127,429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59,482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90,674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All other operating segments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7,009</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6,477</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8,307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w w:val="94"/>
              </w:rPr>
              <w:t>Corporate, principally cash and investments and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107,766</w:t>
            </w:r>
          </w:p>
        </w:tc>
        <w:tc>
          <w:tcPr>
            <w:tcW w:w="2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103,455</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87,885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$231,495</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$220,733</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162,231</w:t>
            </w: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162,892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6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150,804</w:t>
            </w:r>
          </w:p>
        </w:tc>
        <w:tc>
          <w:tcPr>
            <w:tcW w:w="2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$160,583</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$146,050</w:t>
            </w: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120,143</w:t>
            </w: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106,201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190,531</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197,840</w:t>
            </w:r>
          </w:p>
        </w:tc>
        <w:tc>
          <w:tcPr>
            <w:tcW w:w="2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162,356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137,463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126,211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elsewhere herein, affect the significant judgments and estimates used in the preparation of its consolidated financial statements.</w:t>
      </w:r>
    </w:p>
    <w:p>
      <w:pPr>
        <w:spacing w:after="0" w:line="1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Cohu generally recognizes revenue upon shipment and title passage for established products (i.e. those that have previously satisfied customer acceptance requirements) that provide for full payment tied to shipment. Revenue for products that have not previously satisfied customer acceptance requirements or from sales where customer payment dates are not determinable is recognized upon customer acceptance. Cohu maintains an allowance for doubtful accounts for estimated losses resulting from the inability of its customers to make required payments. If the financial condition of Cohu’s customers were to deteriorate, resulting in an impairment of their ability to make payments, additional allowances may be required. Cohu provides for the estimated costs of product warranties in the period sales are recognized. Cohu’s warranty obligation is affected 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 Cohu records valuation reserves on its inventory for estimated excess and obsolete inventory equal to the difference between the cost of inventory and the estimated market value based upon assumptions about future product demand and market conditions. If future product demand or market conditions are less favorable than those projected by management, additional inventory reserves may be required. At December 31, 2001, Cohu assessed the need for a valuation allowance on its deferred tax assets. Cohu believes it is more likely than not that all such assets will be realized and as a result no valuation allowance was recorded. Should Cohu determine that it would not be able to realize all or part of its net deferred tax assets in the future, an adjustment to the deferred tax assets would be charged to operations in the period such determination was made. Goodwill and other intangible assets were evaluated for impairment using undiscounted cash flows expected to result from the use of the assets. We concluded that there was no impairment loss at December 31, 2001. Cohu is required to reassess goodwill and intangible asset impairment in 2002 using a different methodology.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 1999 to 2001 may not be indicative of</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Compared to 2000</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Cohu was impacted by the severe downturn in the semiconductor equipment industry that began in late 2000 and continued throughout all of 2001 and as a result our net sales decreased 56% to $126.6 million in 2001 compared to net sales of $289.6 million in 2000. Sales of semiconductor test handling equipment in 2001 decreased 62% from the 2000 period and accounted for 75% of consolidated net sales in 2001 versus 87% in 2000. Sales of television cameras and other equipment accounted for 17% of net sales in 2001 versus 9% in 2000 and decreased 23% while the combined sales of metal detection and microwave communications equipment decreased 11%.</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Cohu recognized a pretax gain in the third quarter of 2001 of approximately $7.7 million from the sale of our San Diego facilities. The Company received a cash payment of $3.1 million and a note receivable for $9.4 million from the buyer. The non-recourse note bears interest at 8% and is secured by a deed of trust on the property. The third quarter of 2001, was also impacted by a pretax charge of approximately $2.1 million for acquired in-process research and development as a result of the Company’s July 16, 2001 purchase of the assets of Automated Systems. The $14.3 million cash purchase price was allocated to the assets acquired in accordance with FASB Statement No. 141. In accordance with Statement No. 141, goodwill amounting to $8.3 million is not subject to amortization.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Cohu evaluated the goodwill and other long-lived assets resulting from the AS acquisition for impairment at December 31, 2001 as required by FASB Statement No. 121. We compared the carrying value of these assets to estimated undiscounted cash flows expected to result from their use and concluded that there was no impairment loss at December 31, 2001. Cohu is required to fully adopt Statement No. 142 effective January 1, 2002. Statement No. 142 uses a different goodwill impairment assessment methodology than Statement No. 121. Cohu has not yet fully determined the financial statement impact of the application of the impairment test required by Statement No. 142.</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Gross margin as a percentage of net sales decreased to 26.0% in 2001 from 38.9% in 2000 primarily as a result of lower margins in the semiconductor equipment business. Within the semiconductor equipment segment, margins decreased in 2001 primarily as a result of decreased business volume and increased provisions for excess and obsolete inventory. Cohu computes the majority of its excess and obsolete inventory reserve requirements using a one-year inventory usage forecast. During 2001, we recorded charges totaling approximately $16 million for excess and obsolete inventory primarily as a result of declines in customer forecasts that negatively impacted our forecasted inventory usage. While we believe our reserves for excess and obsolete inventory are adequate to cover our exposures at December 31, 2001, further declines in customer forecasts may require additional charges to operations that could negatively impact our gross margins in future periods.</w:t>
      </w:r>
    </w:p>
    <w:p>
      <w:pPr>
        <w:spacing w:after="0" w:line="172"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Research and development expense as a percentage of net sales was 23.4% in 2001, compared to 11.2% in 2000, decreasing from $32.6 million in 2000 to $29.7 million in 2001. The decline in research and development expense was primarily due to lower material costs. Selling, general and administrative (“SG&amp;A”) expense as a percentage of net sales increased to 19.7% in 2001 from 10.3% in 2000 primarily as a result of the decrease in net sales. SG&amp;A expense in 2001 includes $.6 million of goodwill amortization offset by a $.7 million reduction in the allowance for doubtful accounts and bad debt expense. Interest income was $4.4 million and $5.7 million in 2001 and 2000, respectively. The decline in interest income resulted from lower interest rates. The provision (credit) for income taxes expressed as a percentage of pre-tax income was (44.1)% in 2001 and 33.9% in 2000. The 2001 credit was higher than the U.S. federal statutory rate primarily due to tax credits. As a result of the factors set forth above, the net loss was $6.5 million in 2001 compared to net income of $33.7 million in 2000.</w:t>
      </w:r>
    </w:p>
    <w:p>
      <w:pPr>
        <w:spacing w:after="0" w:line="15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No valuation allowance has been provided on deferred tax assets at December 31, 2001, as Cohu believes it is more likely than not that all such assets will be realized. Cohu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Cohu’s ability to realize deferred tax assets. Cohu intends to evaluate the realizability of deferred tax assets quarterly in 2002 by assessing the need for a valuation allowance. If a valuation allowance is recorded in 2002, Cohu’s results of operations will be adversely impacted.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2000 Compared to 1999</w:t>
      </w:r>
    </w:p>
    <w:p>
      <w:pPr>
        <w:spacing w:after="0" w:line="22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Net sales increased 39% to $289.6 million in 2000 compared to net sales of $208.8 million in 1999. Sales of semiconductor equipment in 2000 increased 43% compared to 1999 and accounted for 87% of consolidated net sales in 2000 versus 84% in 1999. In 2000 sales of television cameras accounted for 9% of sales while the combined sales of metal detection and microwave radio equipment contributed 4% of sales. Export sales accounted for 63% of net sales in 2000 and 1999.</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the fourth quarter of 2000, Cohu changed its method of accounting for revenue recognition to comply with SEC Staff Accounting Bulletin No. 101 (“SAB 101”). In accordance with SAB 101, the new method of accounting has been applied retroactively to transactions that occurred prior to 2000. The cumulative effect adjustment of the change in accounting on prior years through December 31, 1999 was a reduction to income of $3.3 million (after credit for income taxes of $1.7 million) and is included in income for the year ended December 31, 2000. Revenue amounting to $9.0 million that was previously recognized and included in the cumulative effect adjustment at December 31, 1999 was recognized in 2000. The discussion below compares 2000 results of operations adjusted for the impact of SAB 101 to 1999 results that do not reflect the application of SAB 101.</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margin as a percentage of net sales decreased to 38.9% in 2000 versus 39.3% in 1999. Within the semiconductor equipment segment, margins decreased in 2000 primarily as a result of changes in product mix, increased electricity costs and increased provisions for excess inventory offset by the impact of increased business volume.</w:t>
      </w:r>
    </w:p>
    <w:p>
      <w:pPr>
        <w:spacing w:after="0" w:line="1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Research and development expense as a percentage of net sales was 11.2% in 2000 compared to 9.8% in 1999, increasing in absolute dollars from $20.5 million in 1999 to $32.6 million in 2000. The increase in research and development expense was the result of new product development initiatives in the semiconductor equipment business. SG&amp;A expense as a percentage of net sales decreased to 10.3% in 2000 from 12.9% in 1999 primarily as a result of increased business volume. Interest income increased to $5.7 million in 2000 from $4.3 million in 1999 primarily as a result of increases in average cash and investments and interest rates. The provision for income taxes expressed as a percentage of pretax income was 33.9% in 2000 versus 33.4% in 1999. The provisions are less than the U.S. federal statutory rate primarily due to foreign sales corporation benefits. As a result of the factors set forth above, net income was $33.7 million in 2000 compared to net income of $25.9 million in 1999.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Cohu’s net cash flows provided by operating activities in 2001 totaled $15.9 million. The major components of cash flows provided by operating activities were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loss of $6.5 million offset by the net change in current assets and liabilities, net of the effects of the purchase of Automated Systems, totaling $20.6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decrease in net current assets was primarily the result of the decline in business levels from December 2000 to December 2001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downturn in the worldwide demand for semiconductor equipment. Net cash used for investing activities included $10.7 million for the purchase of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less maturities and purchases of property, plant and equipment and other assets of $5.9 million offset by net proceeds from sale of facilities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In July 2001, Cohu purchased the assets of Automated Systems for $14.3 million cash. Net cash used for financing activities was $1.4 million.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financing activities included $2.7 million received from the issuance of stock upon the exercise of stock options offset by $4.1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dividends. Cohu had $10 million available under its bank line of credit and working capital of $150.8 million at December 31, 2001. It is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present working capital and available borrowings under the line of credit will be sufficient to meet Cohu’s operating requirements for at least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and into 2002.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year ended December 31, 2001, the Company recorded pretax inventory related charges of approximately $16 million primarily as a result of changes in customer forecasts.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taken and expect to continue to take remedial measures to address the slowdown in the market for our products. In particular, we have reduced our workforce, delayed salary increases, reduced senior executives pay, implemented furloughs and reduced our expense budgets. These measures will reduce our expenses in the face of decreased revenues due to decreased or cancelled customer orders. However, each of these measures could have long-term effects on our business by reducing our pool of technical talent, decreasing or slowing improvements in our products, and making it more difficult for us to respond to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r>
        <w:rPr>
          <w:rFonts w:ascii="Arial" w:cs="Arial" w:eastAsia="Arial" w:hAnsi="Arial"/>
          <w:sz w:val="18"/>
          <w:szCs w:val="18"/>
          <w:color w:val="auto"/>
        </w:rPr>
        <w:t>.</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$14.3 million in cash. A significant portion of the purchase price was allocated to goodwill and other intangible assets. Acquisitions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including goodwill, that could result in significant charges to operating results in future periods. Mergers and acquisitions are inherently risky and the inability to effectively manage these risks could materially and adversely affect Cohu’s business, financial condition and results of operations.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a limited number of customers for a substantial percentage of our net sales. In 2001, three customers of the semiconductor equipment segment accounted for 45% (48% in 2000 and 43% in 1999) of our net sales. During 2001, our customer concentration has intensified as a result of the depressed business conditions. The loss of, or a significant reduction in, orders by these or other significant customers as a result of competitive products, market conditions, outsourcing final IC test to test subcontractors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the quarters ended September 30 and December 31, 2001 were, however, significantly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December 31, 2001 may not be a reliable indicator of revenues in future periods due to customer requested changes to delivery schedules and order cancellations.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(approximately $15 million in annual payroll related costs) as a result of a downturn in the semiconductor equipment industry. If the current industry downturn continues, further workforce reductions may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volatility in headcount and business levels, combined with the cyclical nature of the semiconductor industry,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Our reliance on protection provided by such laws increased significantly as a result of the Automated Systems acquisition in July 2001.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2001, 51% of our total net sales were exported to foreign countries, including 64%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 semiconductor equipment businesses have experienced little or no growth over the last five years.</w:t>
      </w:r>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some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significant rise in Cohu’s electricity costs. Market forecasts predict significant increases in electricity prices in the future that will result in increased costs to Cohu that could have an adverse impact on our results of operations. In addition, our electricity costs have increased as a result of moving certain of our San Diego operations to a significantly larger facility in nearby Poway, California in June 2001.</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December 31, 2001, our investment portfolio includes fixed-income securities with a fair value of approximately $83.1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14(a).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Information regarding directors of Cohu is set forth under “Election Of Director” in Cohu’s Proxy Statement for the 2002 Annual Meeting of Stockholders (“the Proxy Statement”), which information is incorporated herein by reference. Information concerning the executive officers of Cohu is included in Part I of this report. Information in the Proxy Statement under “Section 16(a) Beneficial Ownership Reporting Compliance” is also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regarding Cohu’s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EXHIBITS, FINANCIAL STATEMENT SCHEDULES, AND REPORTS ON FORM 8-K</w:t>
      </w:r>
    </w:p>
    <w:p>
      <w:pPr>
        <w:spacing w:after="0" w:line="231" w:lineRule="exact"/>
        <w:rPr>
          <w:sz w:val="20"/>
          <w:szCs w:val="20"/>
          <w:color w:val="auto"/>
        </w:rPr>
      </w:pPr>
    </w:p>
    <w:p>
      <w:pPr>
        <w:ind w:left="300" w:hanging="284"/>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5" w:lineRule="exact"/>
        <w:rPr>
          <w:rFonts w:ascii="Arial" w:cs="Arial" w:eastAsia="Arial" w:hAnsi="Arial"/>
          <w:sz w:val="18"/>
          <w:szCs w:val="18"/>
          <w:color w:val="auto"/>
        </w:rPr>
      </w:pPr>
    </w:p>
    <w:p>
      <w:pPr>
        <w:ind w:left="400" w:hanging="172"/>
        <w:spacing w:after="0"/>
        <w:tabs>
          <w:tab w:leader="none" w:pos="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540" w:firstLine="216"/>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19:</w:t>
      </w: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166"/>
              <w:spacing w:after="0"/>
              <w:rPr>
                <w:sz w:val="20"/>
                <w:szCs w:val="20"/>
                <w:color w:val="auto"/>
              </w:rPr>
            </w:pPr>
            <w:r>
              <w:rPr>
                <w:rFonts w:ascii="Arial" w:cs="Arial" w:eastAsia="Arial" w:hAnsi="Arial"/>
                <w:sz w:val="14"/>
                <w:szCs w:val="14"/>
                <w:color w:val="auto"/>
              </w:rPr>
              <w:t>Form 10-K</w:t>
            </w:r>
          </w:p>
        </w:tc>
      </w:tr>
      <w:tr>
        <w:trPr>
          <w:trHeight w:val="172"/>
        </w:trPr>
        <w:tc>
          <w:tcPr>
            <w:tcW w:w="640" w:type="dxa"/>
            <w:vAlign w:val="bottom"/>
          </w:tcPr>
          <w:p>
            <w:pPr>
              <w:spacing w:after="0"/>
              <w:rPr>
                <w:sz w:val="14"/>
                <w:szCs w:val="14"/>
                <w:color w:val="auto"/>
              </w:rPr>
            </w:pPr>
          </w:p>
        </w:tc>
        <w:tc>
          <w:tcPr>
            <w:tcW w:w="8160" w:type="dxa"/>
            <w:vAlign w:val="bottom"/>
          </w:tcPr>
          <w:p>
            <w:pPr>
              <w:spacing w:after="0"/>
              <w:rPr>
                <w:sz w:val="20"/>
                <w:szCs w:val="20"/>
                <w:color w:val="auto"/>
              </w:rPr>
            </w:pPr>
            <w:r>
              <w:rPr>
                <w:rFonts w:ascii="Arial" w:cs="Arial" w:eastAsia="Arial" w:hAnsi="Arial"/>
                <w:sz w:val="14"/>
                <w:szCs w:val="14"/>
                <w:color w:val="auto"/>
              </w:rPr>
              <w:t>Description</w:t>
            </w:r>
          </w:p>
        </w:tc>
        <w:tc>
          <w:tcPr>
            <w:tcW w:w="4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Arial" w:cs="Arial" w:eastAsia="Arial" w:hAnsi="Arial"/>
                <w:sz w:val="14"/>
                <w:szCs w:val="14"/>
                <w:color w:val="auto"/>
              </w:rPr>
              <w:t>Page Number</w:t>
            </w:r>
          </w:p>
        </w:tc>
      </w:tr>
      <w:tr>
        <w:trPr>
          <w:trHeight w:val="95"/>
        </w:trPr>
        <w:tc>
          <w:tcPr>
            <w:tcW w:w="640" w:type="dxa"/>
            <w:vAlign w:val="bottom"/>
          </w:tcPr>
          <w:p>
            <w:pPr>
              <w:spacing w:after="0"/>
              <w:rPr>
                <w:sz w:val="8"/>
                <w:szCs w:val="8"/>
                <w:color w:val="auto"/>
              </w:rPr>
            </w:pPr>
          </w:p>
        </w:tc>
        <w:tc>
          <w:tcPr>
            <w:tcW w:w="81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309"/>
        </w:trPr>
        <w:tc>
          <w:tcPr>
            <w:tcW w:w="6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Consolidated balance sheets at December 31, 2001 and 2000</w:t>
            </w:r>
          </w:p>
        </w:tc>
        <w:tc>
          <w:tcPr>
            <w:tcW w:w="1540" w:type="dxa"/>
            <w:vAlign w:val="bottom"/>
            <w:gridSpan w:val="2"/>
          </w:tcPr>
          <w:p>
            <w:pPr>
              <w:jc w:val="right"/>
              <w:ind w:right="166"/>
              <w:spacing w:after="0"/>
              <w:rPr>
                <w:sz w:val="20"/>
                <w:szCs w:val="20"/>
                <w:color w:val="auto"/>
              </w:rPr>
            </w:pPr>
            <w:r>
              <w:rPr>
                <w:rFonts w:ascii="Arial" w:cs="Arial" w:eastAsia="Arial" w:hAnsi="Arial"/>
                <w:sz w:val="18"/>
                <w:szCs w:val="18"/>
                <w:color w:val="auto"/>
              </w:rPr>
              <w:t>19</w:t>
            </w:r>
          </w:p>
        </w:tc>
      </w:tr>
      <w:tr>
        <w:trPr>
          <w:trHeight w:val="216"/>
        </w:trPr>
        <w:tc>
          <w:tcPr>
            <w:tcW w:w="6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6"/>
              </w:rPr>
              <w:t>Consolidated statements of operations for each of the three years in the period ended December 31, 2001</w:t>
            </w:r>
          </w:p>
        </w:tc>
        <w:tc>
          <w:tcPr>
            <w:tcW w:w="1540" w:type="dxa"/>
            <w:vAlign w:val="bottom"/>
            <w:gridSpan w:val="2"/>
          </w:tcPr>
          <w:p>
            <w:pPr>
              <w:jc w:val="right"/>
              <w:ind w:right="166"/>
              <w:spacing w:after="0"/>
              <w:rPr>
                <w:sz w:val="20"/>
                <w:szCs w:val="20"/>
                <w:color w:val="auto"/>
              </w:rPr>
            </w:pPr>
            <w:r>
              <w:rPr>
                <w:rFonts w:ascii="Arial" w:cs="Arial" w:eastAsia="Arial" w:hAnsi="Arial"/>
                <w:sz w:val="18"/>
                <w:szCs w:val="18"/>
                <w:color w:val="auto"/>
              </w:rPr>
              <w:t>20</w:t>
            </w:r>
          </w:p>
        </w:tc>
      </w:tr>
      <w:tr>
        <w:trPr>
          <w:trHeight w:val="216"/>
        </w:trPr>
        <w:tc>
          <w:tcPr>
            <w:tcW w:w="6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88"/>
              </w:rPr>
              <w:t>Consolidated statements of stockholders’ equity for each of the three years in the period ended December 31, 2001</w:t>
            </w:r>
          </w:p>
        </w:tc>
        <w:tc>
          <w:tcPr>
            <w:tcW w:w="1540" w:type="dxa"/>
            <w:vAlign w:val="bottom"/>
            <w:gridSpan w:val="2"/>
          </w:tcPr>
          <w:p>
            <w:pPr>
              <w:jc w:val="right"/>
              <w:ind w:right="166"/>
              <w:spacing w:after="0"/>
              <w:rPr>
                <w:sz w:val="20"/>
                <w:szCs w:val="20"/>
                <w:color w:val="auto"/>
              </w:rPr>
            </w:pPr>
            <w:r>
              <w:rPr>
                <w:rFonts w:ascii="Arial" w:cs="Arial" w:eastAsia="Arial" w:hAnsi="Arial"/>
                <w:sz w:val="18"/>
                <w:szCs w:val="18"/>
                <w:color w:val="auto"/>
              </w:rPr>
              <w:t>21</w:t>
            </w:r>
          </w:p>
        </w:tc>
      </w:tr>
      <w:tr>
        <w:trPr>
          <w:trHeight w:val="216"/>
        </w:trPr>
        <w:tc>
          <w:tcPr>
            <w:tcW w:w="6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6"/>
              </w:rPr>
              <w:t>Consolidated statements of cash flows for each of the three years in the period ended December 31, 2001</w:t>
            </w:r>
          </w:p>
        </w:tc>
        <w:tc>
          <w:tcPr>
            <w:tcW w:w="1540" w:type="dxa"/>
            <w:vAlign w:val="bottom"/>
            <w:gridSpan w:val="2"/>
          </w:tcPr>
          <w:p>
            <w:pPr>
              <w:jc w:val="right"/>
              <w:ind w:right="166"/>
              <w:spacing w:after="0"/>
              <w:rPr>
                <w:sz w:val="20"/>
                <w:szCs w:val="20"/>
                <w:color w:val="auto"/>
              </w:rPr>
            </w:pPr>
            <w:r>
              <w:rPr>
                <w:rFonts w:ascii="Arial" w:cs="Arial" w:eastAsia="Arial" w:hAnsi="Arial"/>
                <w:sz w:val="18"/>
                <w:szCs w:val="18"/>
                <w:color w:val="auto"/>
              </w:rPr>
              <w:t>22</w:t>
            </w:r>
          </w:p>
        </w:tc>
      </w:tr>
      <w:tr>
        <w:trPr>
          <w:trHeight w:val="216"/>
        </w:trPr>
        <w:tc>
          <w:tcPr>
            <w:tcW w:w="64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spacing w:after="0"/>
              <w:rPr>
                <w:sz w:val="18"/>
                <w:szCs w:val="18"/>
                <w:color w:val="auto"/>
              </w:rPr>
            </w:pPr>
          </w:p>
        </w:tc>
        <w:tc>
          <w:tcPr>
            <w:tcW w:w="1100" w:type="dxa"/>
            <w:vAlign w:val="bottom"/>
          </w:tcPr>
          <w:p>
            <w:pPr>
              <w:jc w:val="right"/>
              <w:ind w:right="166"/>
              <w:spacing w:after="0"/>
              <w:rPr>
                <w:sz w:val="20"/>
                <w:szCs w:val="20"/>
                <w:color w:val="auto"/>
              </w:rPr>
            </w:pPr>
            <w:r>
              <w:rPr>
                <w:rFonts w:ascii="Arial" w:cs="Arial" w:eastAsia="Arial" w:hAnsi="Arial"/>
                <w:sz w:val="18"/>
                <w:szCs w:val="18"/>
                <w:color w:val="auto"/>
              </w:rPr>
              <w:t>23 — 30</w:t>
            </w:r>
          </w:p>
        </w:tc>
      </w:tr>
      <w:tr>
        <w:trPr>
          <w:trHeight w:val="222"/>
        </w:trPr>
        <w:tc>
          <w:tcPr>
            <w:tcW w:w="64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Report of Ernst &amp; Young LLP, Independent Auditors</w:t>
            </w:r>
          </w:p>
        </w:tc>
        <w:tc>
          <w:tcPr>
            <w:tcW w:w="1540" w:type="dxa"/>
            <w:vAlign w:val="bottom"/>
            <w:gridSpan w:val="2"/>
          </w:tcPr>
          <w:p>
            <w:pPr>
              <w:jc w:val="right"/>
              <w:ind w:right="166"/>
              <w:spacing w:after="0"/>
              <w:rPr>
                <w:sz w:val="20"/>
                <w:szCs w:val="20"/>
                <w:color w:val="auto"/>
              </w:rPr>
            </w:pPr>
            <w:r>
              <w:rPr>
                <w:rFonts w:ascii="Arial" w:cs="Arial" w:eastAsia="Arial" w:hAnsi="Arial"/>
                <w:sz w:val="18"/>
                <w:szCs w:val="18"/>
                <w:color w:val="auto"/>
              </w:rPr>
              <w:t>31</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2. Financial Statement Schedule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64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1540" w:type="dxa"/>
            <w:vAlign w:val="bottom"/>
            <w:gridSpan w:val="2"/>
          </w:tcPr>
          <w:p>
            <w:pPr>
              <w:jc w:val="right"/>
              <w:ind w:right="26"/>
              <w:spacing w:after="0"/>
              <w:rPr>
                <w:sz w:val="20"/>
                <w:szCs w:val="20"/>
                <w:color w:val="auto"/>
              </w:rPr>
            </w:pPr>
            <w:r>
              <w:rPr>
                <w:rFonts w:ascii="Arial" w:cs="Arial" w:eastAsia="Arial" w:hAnsi="Arial"/>
                <w:sz w:val="18"/>
                <w:szCs w:val="18"/>
                <w:color w:val="auto"/>
              </w:rPr>
              <w:t>35</w:t>
            </w:r>
          </w:p>
        </w:tc>
      </w:tr>
    </w:tbl>
    <w:p>
      <w:pPr>
        <w:spacing w:after="0" w:line="237" w:lineRule="exact"/>
        <w:rPr>
          <w:sz w:val="20"/>
          <w:szCs w:val="20"/>
          <w:color w:val="auto"/>
        </w:rPr>
      </w:pPr>
    </w:p>
    <w:p>
      <w:pPr>
        <w:ind w:left="540" w:right="300" w:firstLine="210"/>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exhibits listed under Item 14.(c) hereof are filed with, or incorporated by reference into, this Annual Report on Form 10-K.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 Reports on Form 8-K</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reports on Form 8-K were filed by Cohu during the fourth quarter of the year ended December 31, 2001.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w w:val="90"/>
              </w:rPr>
              <w:t>December 31,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65,510</w:t>
            </w: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79,119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24,457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13,468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receivable, less allowance for doubtful accounts of $1,889 in 2001 and $2,227 in 2000</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25,904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37,164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Note receivable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Inventories: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600"/>
              <w:spacing w:after="0"/>
              <w:rPr>
                <w:sz w:val="20"/>
                <w:szCs w:val="20"/>
                <w:color w:val="auto"/>
              </w:rPr>
            </w:pPr>
            <w:r>
              <w:rPr>
                <w:rFonts w:ascii="Arial" w:cs="Arial" w:eastAsia="Arial" w:hAnsi="Arial"/>
                <w:sz w:val="18"/>
                <w:szCs w:val="18"/>
                <w:color w:val="auto"/>
              </w:rPr>
              <w:t>Raw materials and purchased parts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13,982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22,120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600"/>
              <w:spacing w:after="0"/>
              <w:rPr>
                <w:sz w:val="20"/>
                <w:szCs w:val="20"/>
                <w:color w:val="auto"/>
              </w:rPr>
            </w:pPr>
            <w:r>
              <w:rPr>
                <w:rFonts w:ascii="Arial" w:cs="Arial" w:eastAsia="Arial" w:hAnsi="Arial"/>
                <w:sz w:val="18"/>
                <w:szCs w:val="18"/>
                <w:color w:val="auto"/>
              </w:rPr>
              <w:t>Work in process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9,417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17,133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Pr>
          <w:p>
            <w:pPr>
              <w:ind w:left="60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7,005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30,404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46,039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15,092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5,681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3,145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ind w:left="9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176,423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192,716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Land and land improvements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24,610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12,795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23,440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22,138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Land and building to be acquired</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21,288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56,988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58,722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21,139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20,605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ind w:left="60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35,849</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38,117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color w:val="auto"/>
              </w:rPr>
              <w:t>Goodwill, net of accumulated amortization of $2,549 in 2000</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8,340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$79 in 2001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166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221,559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231,495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7,845</w:t>
            </w: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7,604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Accrued warranty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2,902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4,916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Customer advances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2,608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Deferred profit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3,108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5,960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3,932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25,619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32,133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1,109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4,300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Preferred stock, $1 par value; 1,000 shares authorized, none issued</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1"/>
              </w:rPr>
              <w:t>Common stock, $1 par value; 60,000 shares authorized, 20,543 shares issued and outstanding in 2001 and 20,313</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20,543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shares in 2000</w:t>
            </w:r>
          </w:p>
        </w:tc>
        <w:tc>
          <w:tcPr>
            <w:tcW w:w="3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vMerge w:val="continue"/>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20,313</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11,776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158,012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168,570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190,531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197,840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221,559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231,495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19"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color w:val="auto"/>
                <w:w w:val="84"/>
              </w:rPr>
              <w:t>Years ended December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2000</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1999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126,550</w:t>
            </w:r>
          </w:p>
        </w:tc>
        <w:tc>
          <w:tcPr>
            <w:tcW w:w="4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289,564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2"/>
              </w:rPr>
              <w:t>208,780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93,594</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176,961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2"/>
              </w:rPr>
              <w:t>126,712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29,674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32,562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24,972</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29,734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26,879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Gain on sale of facilities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(7,746)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2,050</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2"/>
              </w:rPr>
              <w:t>142,544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239,257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174,125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w w:val="89"/>
              </w:rPr>
              <w:t>(15,994)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50,307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34,655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4,427</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5,731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(loss) before income taxes and cumulative effect of change in accounting principle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w w:val="89"/>
              </w:rPr>
              <w:t>(11,567)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56,038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38,926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Provision (credit) for income taxes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(5,100)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(6,467)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37,038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25,926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$1,700 tax benefit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(3,299)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(6,467)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33,739</w:t>
            </w:r>
          </w:p>
        </w:tc>
        <w:tc>
          <w:tcPr>
            <w:tcW w:w="3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25,926</w:t>
            </w:r>
          </w:p>
        </w:tc>
        <w:tc>
          <w:tcPr>
            <w:tcW w:w="0" w:type="dxa"/>
            <w:vAlign w:val="bottom"/>
          </w:tcPr>
          <w:p>
            <w:pPr>
              <w:spacing w:after="0"/>
              <w:rPr>
                <w:sz w:val="1"/>
                <w:szCs w:val="1"/>
                <w:color w:val="auto"/>
              </w:rPr>
            </w:pPr>
          </w:p>
        </w:tc>
      </w:tr>
      <w:tr>
        <w:trPr>
          <w:trHeight w:val="108"/>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9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(.32)</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(.32)</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Weighted average shares used in basic per share calculation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20,434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20,197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19,763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per share: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Income (loss) before cumulative effect of change in accounting principle</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Weighted average shares used in diluted per share calculation</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20,434</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21,048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8"/>
              </w:rPr>
              <w:t>20,502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gridSpan w:val="11"/>
          </w:tcPr>
          <w:p>
            <w:pPr>
              <w:jc w:val="center"/>
              <w:ind w:right="360"/>
              <w:spacing w:after="0"/>
              <w:rPr>
                <w:sz w:val="20"/>
                <w:szCs w:val="20"/>
                <w:color w:val="auto"/>
              </w:rPr>
            </w:pPr>
            <w:r>
              <w:rPr>
                <w:rFonts w:ascii="Arial" w:cs="Arial" w:eastAsia="Arial" w:hAnsi="Arial"/>
                <w:sz w:val="14"/>
                <w:szCs w:val="14"/>
                <w:color w:val="auto"/>
                <w:w w:val="85"/>
              </w:rPr>
              <w:t>Years ended December 31, 2001, 2000 and 1999</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color w:val="auto"/>
                <w:w w:val="88"/>
              </w:rPr>
              <w:t>Accumulated</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Common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81"/>
              </w:rPr>
              <w:t>other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Retained</w:t>
            </w:r>
          </w:p>
        </w:tc>
        <w:tc>
          <w:tcPr>
            <w:tcW w:w="2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86"/>
              </w:rPr>
              <w:t>comprehensive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color w:val="auto"/>
                <w:w w:val="85"/>
              </w:rPr>
              <w:t>$1 par value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earnings</w:t>
            </w:r>
          </w:p>
        </w:tc>
        <w:tc>
          <w:tcPr>
            <w:tcW w:w="26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color w:val="auto"/>
                <w:w w:val="84"/>
              </w:rPr>
              <w:t>income</w:t>
            </w:r>
          </w:p>
        </w:tc>
        <w:tc>
          <w:tcPr>
            <w:tcW w:w="2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1998</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$ 9,779</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$11,169</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$116,515</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$137,463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Two-for-one stock split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9,779</w:t>
            </w:r>
          </w:p>
        </w:tc>
        <w:tc>
          <w:tcPr>
            <w:tcW w:w="34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(9,779)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 — $.18 per share</w:t>
            </w: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(3,562)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Repurchase and retirement of stock</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stock options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Tax benefit from stock options</w:t>
            </w: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25,926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1999</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19,938</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3,539</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138,879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162,356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Cash dividends — $.20 per share</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(4,048)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Repurchase and retirement of stock</w:t>
            </w:r>
          </w:p>
        </w:tc>
        <w:tc>
          <w:tcPr>
            <w:tcW w:w="10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12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2,368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1,236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Tax benefit from stock options</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33,739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33,739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8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20,313</w:t>
            </w:r>
          </w:p>
        </w:tc>
        <w:tc>
          <w:tcPr>
            <w:tcW w:w="3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8,957</w:t>
            </w:r>
          </w:p>
        </w:tc>
        <w:tc>
          <w:tcPr>
            <w:tcW w:w="2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168,570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197,840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Components of comprehensive income (loss):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5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(6,467)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Changes in unrealized gain on investments net of $130 of</w:t>
            </w: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2"/>
            <w:vMerge w:val="restart"/>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vMerge w:val="restart"/>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200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income taxes</w:t>
            </w:r>
          </w:p>
        </w:tc>
        <w:tc>
          <w:tcPr>
            <w:tcW w:w="220" w:type="dxa"/>
            <w:vAlign w:val="bottom"/>
            <w:tcBorders>
              <w:right w:val="single" w:sz="8" w:color="EEEEEE"/>
            </w:tcBorders>
            <w:shd w:val="clear" w:color="auto" w:fill="EEEEEE"/>
          </w:tcPr>
          <w:p>
            <w:pPr>
              <w:spacing w:after="0"/>
              <w:rPr>
                <w:sz w:val="19"/>
                <w:szCs w:val="19"/>
                <w:color w:val="auto"/>
              </w:rPr>
            </w:pPr>
          </w:p>
        </w:tc>
        <w:tc>
          <w:tcPr>
            <w:tcW w:w="820" w:type="dxa"/>
            <w:vAlign w:val="bottom"/>
            <w:gridSpan w:val="2"/>
            <w:vMerge w:val="continue"/>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60" w:type="dxa"/>
            <w:vAlign w:val="bottom"/>
            <w:gridSpan w:val="2"/>
            <w:vMerge w:val="continue"/>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60" w:type="dxa"/>
            <w:vAlign w:val="bottom"/>
            <w:gridSpan w:val="2"/>
            <w:vMerge w:val="continue"/>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vMerge w:val="continue"/>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80" w:type="dxa"/>
            <w:vAlign w:val="bottom"/>
            <w:tcBorders>
              <w:right w:val="single" w:sz="8" w:color="EEEEEE"/>
            </w:tcBorders>
            <w:gridSpan w:val="2"/>
            <w:vMerge w:val="continue"/>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60" w:type="dxa"/>
            <w:vAlign w:val="bottom"/>
          </w:tcPr>
          <w:p>
            <w:pPr>
              <w:ind w:left="76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(6,267)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 — $.20 per share</w:t>
            </w:r>
          </w:p>
        </w:tc>
        <w:tc>
          <w:tcPr>
            <w:tcW w:w="2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(4,091)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w:t>
            </w:r>
          </w:p>
        </w:tc>
        <w:tc>
          <w:tcPr>
            <w:tcW w:w="3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90</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1,154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1,244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Tax benefit from stock options</w:t>
            </w:r>
          </w:p>
        </w:tc>
        <w:tc>
          <w:tcPr>
            <w:tcW w:w="2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313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2001</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$20,543</w:t>
            </w:r>
          </w:p>
        </w:tc>
        <w:tc>
          <w:tcPr>
            <w:tcW w:w="3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$11,776</w:t>
            </w:r>
          </w:p>
        </w:tc>
        <w:tc>
          <w:tcPr>
            <w:tcW w:w="2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$158,012</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$190,531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5"/>
          </w:tcPr>
          <w:p>
            <w:pPr>
              <w:ind w:left="260"/>
              <w:spacing w:after="0"/>
              <w:rPr>
                <w:sz w:val="20"/>
                <w:szCs w:val="20"/>
                <w:color w:val="auto"/>
              </w:rPr>
            </w:pPr>
            <w:r>
              <w:rPr>
                <w:rFonts w:ascii="Arial" w:cs="Arial" w:eastAsia="Arial" w:hAnsi="Arial"/>
                <w:sz w:val="14"/>
                <w:szCs w:val="14"/>
                <w:color w:val="auto"/>
                <w:w w:val="93"/>
              </w:rPr>
              <w:t>Years ended December 31,</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4"/>
                <w:szCs w:val="24"/>
                <w:color w:val="auto"/>
              </w:rPr>
            </w:pPr>
          </w:p>
        </w:tc>
        <w:tc>
          <w:tcPr>
            <w:tcW w:w="1160" w:type="dxa"/>
            <w:vAlign w:val="bottom"/>
            <w:gridSpan w:val="3"/>
          </w:tcPr>
          <w:p>
            <w:pPr>
              <w:jc w:val="right"/>
              <w:ind w:right="12"/>
              <w:spacing w:after="0"/>
              <w:rPr>
                <w:sz w:val="20"/>
                <w:szCs w:val="20"/>
                <w:color w:val="auto"/>
              </w:rPr>
            </w:pPr>
            <w:r>
              <w:rPr>
                <w:rFonts w:ascii="Arial" w:cs="Arial" w:eastAsia="Arial" w:hAnsi="Arial"/>
                <w:sz w:val="14"/>
                <w:szCs w:val="14"/>
                <w:color w:val="auto"/>
              </w:rPr>
              <w:t>2000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1999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1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54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56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56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(6,467)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$ 33,739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25,926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6"/>
              </w:rPr>
              <w:t>Adjustments to reconcile net income (loss) to net cash provided from operating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4,623</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3,585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Gain on sale of facilities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(7,746)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2,050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2,525</w:t>
            </w:r>
          </w:p>
        </w:tc>
        <w:tc>
          <w:tcPr>
            <w:tcW w:w="3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(2,760)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rPr>
              <w:t>Increase (decrease) in accrued retiree medical benefits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Tax benefit from stock options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313</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2,037</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Pr>
          <w:p>
            <w:pPr>
              <w:ind w:left="560"/>
              <w:spacing w:after="0"/>
              <w:rPr>
                <w:sz w:val="20"/>
                <w:szCs w:val="20"/>
                <w:color w:val="auto"/>
              </w:rPr>
            </w:pPr>
            <w:r>
              <w:rPr>
                <w:rFonts w:ascii="Arial" w:cs="Arial" w:eastAsia="Arial" w:hAnsi="Arial"/>
                <w:sz w:val="18"/>
                <w:szCs w:val="18"/>
                <w:color w:val="auto"/>
                <w:w w:val="98"/>
              </w:rPr>
              <w:t>Changes in current assets and liabilities, net of effects from purchase of Automated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11,960</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15,098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(33,462)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1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18,135</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9,607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(2,566)</w:t>
            </w: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(1,115)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32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(5,438)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10,026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(6,778)</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160"/>
              <w:spacing w:after="0"/>
              <w:rPr>
                <w:sz w:val="20"/>
                <w:szCs w:val="20"/>
                <w:color w:val="auto"/>
              </w:rPr>
            </w:pPr>
            <w:r>
              <w:rPr>
                <w:rFonts w:ascii="Arial" w:cs="Arial" w:eastAsia="Arial" w:hAnsi="Arial"/>
                <w:sz w:val="18"/>
                <w:szCs w:val="18"/>
                <w:color w:val="auto"/>
              </w:rPr>
              <w:t>Customer advances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1,774</w:t>
            </w:r>
          </w:p>
        </w:tc>
        <w:tc>
          <w:tcPr>
            <w:tcW w:w="32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(17,696)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Deferred profit</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(2,852)</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5,960</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Pr>
          <w:p>
            <w:pPr>
              <w:ind w:left="1160"/>
              <w:spacing w:after="0"/>
              <w:rPr>
                <w:sz w:val="20"/>
                <w:szCs w:val="20"/>
                <w:color w:val="auto"/>
              </w:rPr>
            </w:pPr>
            <w:r>
              <w:rPr>
                <w:rFonts w:ascii="Arial" w:cs="Arial" w:eastAsia="Arial" w:hAnsi="Arial"/>
                <w:sz w:val="18"/>
                <w:szCs w:val="18"/>
                <w:color w:val="auto"/>
              </w:rPr>
              <w:t>Accrued compensation, warranty and other liabilities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(6,127)</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provided from (used for) operating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15,914</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35,679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w w:val="86"/>
              </w:rPr>
              <w:t>(19,889)</w:t>
            </w: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(10,207)</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Sales and maturities of short-term investments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9,230</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22,385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proceeds from sale of facilities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2,699</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Purchases of property, plant, equipment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(5,826)</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(24,397)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 of Automated Systems assets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w w:val="86"/>
              </w:rPr>
              <w:t>(14,300)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w w:val="86"/>
              </w:rPr>
              <w:t>(28,168)</w:t>
            </w: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(12,222)</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Issuance of stock, net</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2,736</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3,756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(4,091)</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(4,048)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(1,355)</w:t>
            </w:r>
          </w:p>
        </w:tc>
        <w:tc>
          <w:tcPr>
            <w:tcW w:w="15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108"/>
        </w:trPr>
        <w:tc>
          <w:tcPr>
            <w:tcW w:w="7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(13,609)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23,165</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(18,492)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79,119</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55,954</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74,446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65,510</w:t>
            </w:r>
          </w:p>
        </w:tc>
        <w:tc>
          <w:tcPr>
            <w:tcW w:w="320" w:type="dxa"/>
            <w:vAlign w:val="bottom"/>
          </w:tcPr>
          <w:p>
            <w:pPr>
              <w:spacing w:after="0"/>
              <w:rPr>
                <w:sz w:val="24"/>
                <w:szCs w:val="2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$ 79,119</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55,954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Cash paid (received) during the year for: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EEEEE"/>
          </w:tcPr>
          <w:p>
            <w:pPr>
              <w:ind w:left="860"/>
              <w:spacing w:after="0"/>
              <w:rPr>
                <w:sz w:val="20"/>
                <w:szCs w:val="20"/>
                <w:color w:val="auto"/>
              </w:rPr>
            </w:pPr>
            <w:r>
              <w:rPr>
                <w:rFonts w:ascii="Arial" w:cs="Arial" w:eastAsia="Arial" w:hAnsi="Arial"/>
                <w:sz w:val="18"/>
                <w:szCs w:val="18"/>
                <w:color w:val="auto"/>
              </w:rPr>
              <w:t>Income taxes, net of refunds</w:t>
            </w: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b w:val="1"/>
                <w:bCs w:val="1"/>
                <w:color w:val="auto"/>
              </w:rPr>
              <w:t>(5,108)</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$ 25,321</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Presentation </w:t>
      </w:r>
      <w:r>
        <w:rPr>
          <w:rFonts w:ascii="Arial" w:cs="Arial" w:eastAsia="Arial" w:hAnsi="Arial"/>
          <w:sz w:val="16"/>
          <w:szCs w:val="16"/>
          <w:color w:val="auto"/>
        </w:rPr>
        <w:t>- The consolidated financial statements include the accounts of Cohu, Inc. and its wholly-owned subsidiaries (the “Company” or “Cohu”).</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significant intercompany transactions and balances have been eliminated in consolidation.</w:t>
      </w:r>
    </w:p>
    <w:p>
      <w:pPr>
        <w:spacing w:after="0" w:line="213" w:lineRule="exact"/>
        <w:rPr>
          <w:sz w:val="20"/>
          <w:szCs w:val="20"/>
          <w:color w:val="auto"/>
        </w:rPr>
      </w:pPr>
    </w:p>
    <w:p>
      <w:pPr>
        <w:ind w:left="520" w:right="80"/>
        <w:spacing w:after="0" w:line="290"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Highly liquid investments with insignificant interest rate risk and original maturities of three months or less are classified as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Cash equivalents are comprised of money market funds, commercial paper and other corporate debt securities. The carrying amounts approximate fair value due to the short maturities of these instruments. Cash and cash equivalents included investments in debt securities of $58.7 million and $61.4 million at December 31, 2001 and 2000, respectively. Investments with maturities greater than three months are classified as short-term investments. All of the Company’s short-term investments are classified as available-for-sale and are reported at fair value with any material unrealized gains and losses, net of tax, recorded as a separate component of accumulated other comprehensive income in stockholders’ equity. The Company manages its cash equivalents and short-term investments as a single portfolio of highly marketable securities, all of which are intended to be available for the Company’s current operations.</w:t>
      </w:r>
    </w:p>
    <w:p>
      <w:pPr>
        <w:spacing w:after="0" w:line="166" w:lineRule="exact"/>
        <w:rPr>
          <w:sz w:val="20"/>
          <w:szCs w:val="20"/>
          <w:color w:val="auto"/>
        </w:rPr>
      </w:pPr>
    </w:p>
    <w:p>
      <w:pPr>
        <w:ind w:left="520" w:right="420"/>
        <w:spacing w:after="0" w:line="301" w:lineRule="auto"/>
        <w:rPr>
          <w:sz w:val="20"/>
          <w:szCs w:val="20"/>
          <w:color w:val="auto"/>
        </w:rPr>
      </w:pPr>
      <w:r>
        <w:rPr>
          <w:rFonts w:ascii="Arial" w:cs="Arial" w:eastAsia="Arial" w:hAnsi="Arial"/>
          <w:sz w:val="16"/>
          <w:szCs w:val="16"/>
          <w:b w:val="1"/>
          <w:bCs w:val="1"/>
          <w:color w:val="auto"/>
        </w:rPr>
        <w:t xml:space="preserve">Concentration of Credit Risk </w:t>
      </w:r>
      <w:r>
        <w:rPr>
          <w:rFonts w:ascii="Arial" w:cs="Arial" w:eastAsia="Arial" w:hAnsi="Arial"/>
          <w:sz w:val="16"/>
          <w:szCs w:val="16"/>
          <w:color w:val="auto"/>
        </w:rPr>
        <w:t>- Financial instruments that potentially subject the Company to significant credit risk consist principally of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short-term investments, note receivable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on a current average or first-in, first-out basis, or market.</w:t>
      </w:r>
    </w:p>
    <w:p>
      <w:pPr>
        <w:spacing w:after="0" w:line="225" w:lineRule="exact"/>
        <w:rPr>
          <w:sz w:val="20"/>
          <w:szCs w:val="20"/>
          <w:color w:val="auto"/>
        </w:rPr>
      </w:pPr>
    </w:p>
    <w:p>
      <w:pPr>
        <w:ind w:left="520" w:right="240"/>
        <w:spacing w:after="0" w:line="26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land and building improvements and three to ten years for machinery and equipment.</w:t>
      </w:r>
    </w:p>
    <w:p>
      <w:pPr>
        <w:spacing w:after="0" w:line="186" w:lineRule="exact"/>
        <w:rPr>
          <w:sz w:val="20"/>
          <w:szCs w:val="20"/>
          <w:color w:val="auto"/>
        </w:rPr>
      </w:pPr>
    </w:p>
    <w:p>
      <w:pPr>
        <w:ind w:left="520" w:right="2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 </w:t>
      </w:r>
      <w:r>
        <w:rPr>
          <w:rFonts w:ascii="Arial" w:cs="Arial" w:eastAsia="Arial" w:hAnsi="Arial"/>
          <w:sz w:val="18"/>
          <w:szCs w:val="18"/>
          <w:color w:val="auto"/>
        </w:rPr>
        <w:t>Through December 31, 1998, goodwill was amortized on the straight-line method over twenty years.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1999, the Company reduced the amortizable useful life of goodwill to four years. In June 2001, Cohu wrote-off the remaining goodwill balance of $434,000 related to an acquisition completed in 1994. The writedown was deemed necessary as a result of a decline in the forecasts for certain of the Company’s semiconductor equipment products and is included in selling, general and administrative expense. The Company used undiscounted cash flow estimates to determine the amount of the writedown.</w:t>
      </w:r>
    </w:p>
    <w:p>
      <w:pPr>
        <w:spacing w:after="0" w:line="199"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In June 2001, the Financial Accounting Standards Board (“FASB”) issued Statement No. 142</w:t>
      </w:r>
      <w:r>
        <w:rPr>
          <w:rFonts w:ascii="Arial" w:cs="Arial" w:eastAsia="Arial" w:hAnsi="Arial"/>
          <w:sz w:val="16"/>
          <w:szCs w:val="16"/>
          <w:i w:val="1"/>
          <w:iCs w:val="1"/>
          <w:color w:val="auto"/>
        </w:rPr>
        <w:t>, Goodwill and Other Intangible Assets</w:t>
      </w:r>
      <w:r>
        <w:rPr>
          <w:rFonts w:ascii="Arial" w:cs="Arial" w:eastAsia="Arial" w:hAnsi="Arial"/>
          <w:sz w:val="16"/>
          <w:szCs w:val="16"/>
          <w:color w:val="auto"/>
        </w:rPr>
        <w:t xml:space="preserve">.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will not be amortized. Goodwill at December 31, 2001 will be evaluated for impairment in accordance with Statement No. 121, </w:t>
      </w:r>
      <w:r>
        <w:rPr>
          <w:rFonts w:ascii="Arial" w:cs="Arial" w:eastAsia="Arial" w:hAnsi="Arial"/>
          <w:sz w:val="16"/>
          <w:szCs w:val="16"/>
          <w:i w:val="1"/>
          <w:iCs w:val="1"/>
          <w:color w:val="auto"/>
        </w:rPr>
        <w:t>Accounting for the Impairment of Long-Lived Assets and for</w:t>
      </w:r>
      <w:r>
        <w:rPr>
          <w:rFonts w:ascii="Arial" w:cs="Arial" w:eastAsia="Arial" w:hAnsi="Arial"/>
          <w:sz w:val="16"/>
          <w:szCs w:val="16"/>
          <w:color w:val="auto"/>
        </w:rPr>
        <w:t xml:space="preserve"> </w:t>
      </w:r>
      <w:r>
        <w:rPr>
          <w:rFonts w:ascii="Arial" w:cs="Arial" w:eastAsia="Arial" w:hAnsi="Arial"/>
          <w:sz w:val="16"/>
          <w:szCs w:val="16"/>
          <w:i w:val="1"/>
          <w:iCs w:val="1"/>
          <w:color w:val="auto"/>
        </w:rPr>
        <w:t>Long-Lived Assets to be Disposed Of</w:t>
      </w:r>
      <w:r>
        <w:rPr>
          <w:rFonts w:ascii="Arial" w:cs="Arial" w:eastAsia="Arial" w:hAnsi="Arial"/>
          <w:sz w:val="16"/>
          <w:szCs w:val="16"/>
          <w:color w:val="auto"/>
        </w:rPr>
        <w:t>. The Company will be required to fully adopt Statement No. 142 on January 1, 2002. The Company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a transitional goodwill impairment test as of January 1, 2002 by June 30, 2002. Any impairment loss resulting from the transitional goodwill impairment test will be recognized as the effect of a change in accounting principle. See Note 3, Purchase of Automated Systems Assets.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Earnings (Loss) Per Share </w:t>
      </w:r>
      <w:r>
        <w:rPr>
          <w:rFonts w:ascii="Arial" w:cs="Arial" w:eastAsia="Arial" w:hAnsi="Arial"/>
          <w:sz w:val="16"/>
          <w:szCs w:val="16"/>
          <w:color w:val="auto"/>
        </w:rPr>
        <w:t>- Basic earnings per share are computed using the weighted average number of common shares outstanding during each</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period. Diluted earnings per share include the dilutive effect of common shares potentially issuable upon the exercise of stock options. For purposes of</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computing diluted earnings per share, stock options with exercise prices that exceed the average fair market value of the Company’s common stock for the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period are excluded. In 2000 and 1999, options to purchase 114,000 and 100,000 shares, respectively, of common stock at average exercise prices of</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$27.28 and $18.71 respectively, were excluded from the diluted computation. The impact of stock options is excluded for loss periods as they would be</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antidilutive. The following table reconciles the denominators used in computing basic and diluted earnings per share:</w:t>
      </w:r>
    </w:p>
    <w:p>
      <w:pPr>
        <w:spacing w:after="0" w:line="200" w:lineRule="exact"/>
        <w:rPr>
          <w:sz w:val="20"/>
          <w:szCs w:val="20"/>
          <w:color w:val="auto"/>
        </w:rPr>
      </w:pPr>
    </w:p>
    <w:p>
      <w:pPr>
        <w:spacing w:after="0" w:line="258"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15"/>
                <w:szCs w:val="15"/>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1999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20,434</w:t>
            </w:r>
          </w:p>
        </w:tc>
        <w:tc>
          <w:tcPr>
            <w:tcW w:w="360" w:type="dxa"/>
            <w:vAlign w:val="bottom"/>
            <w:shd w:val="clear" w:color="auto" w:fill="EEEEEE"/>
          </w:tcPr>
          <w:p>
            <w:pPr>
              <w:spacing w:after="0"/>
              <w:rPr>
                <w:sz w:val="18"/>
                <w:szCs w:val="18"/>
                <w:color w:val="auto"/>
              </w:rPr>
            </w:pPr>
          </w:p>
        </w:tc>
        <w:tc>
          <w:tcPr>
            <w:tcW w:w="12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20,197</w:t>
            </w:r>
          </w:p>
        </w:tc>
        <w:tc>
          <w:tcPr>
            <w:tcW w:w="3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19,763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851</w:t>
            </w: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20,434</w:t>
            </w:r>
          </w:p>
        </w:tc>
        <w:tc>
          <w:tcPr>
            <w:tcW w:w="360" w:type="dxa"/>
            <w:vAlign w:val="bottom"/>
            <w:shd w:val="clear" w:color="auto" w:fill="EEEEEE"/>
          </w:tcPr>
          <w:p>
            <w:pPr>
              <w:spacing w:after="0"/>
              <w:rPr>
                <w:sz w:val="18"/>
                <w:szCs w:val="18"/>
                <w:color w:val="auto"/>
              </w:rPr>
            </w:pPr>
          </w:p>
        </w:tc>
        <w:tc>
          <w:tcPr>
            <w:tcW w:w="12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21,048</w:t>
            </w:r>
          </w:p>
        </w:tc>
        <w:tc>
          <w:tcPr>
            <w:tcW w:w="3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20,502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20"/>
        <w:spacing w:after="0" w:line="28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Effective January 1, 2000, the Company changed its method of revenue recognition for certain semiconductor equipment sales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comply with SEC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See Note 2, Change in Accounting for Revenue Recognition. SAB 101 sets forth guidelines on the timing of revenue recognition based upon factors such as passage of title, installation, payment and customer acceptance. Prior to SAB 101, the Company generally recognized revenue upon shipment once customer acceptance provisions had been met. Revenue for established products that have previously satisfied customer acceptance requirements and that provide for full payment tied to shipment is generally recognized upon shipment and passage of title. Revenue for products that have not previously satisfied customer acceptance requirements or from sales where customer payment dates are not determinable are recognized upon customer acceptance. In certain instances, customer payment terms may provide that a minority portion of the equipment purchase price be paid only upon customer acceptance. In those situations, the portion of the purchase price related to customer acceptance is generally recognized upon customer acceptance with the majority portion of revenue and the entire product cost recognized upon shipment and passage of title. Equipment installation is typically provided by the Company and is generally not billed separately to the customer. The estimated fair value of installation related revenue is recognized in the period the installation is performed. Service revenue is recognized ratably over the period of the related contract. The gross profit on sales that are not recognized is generally recorded as deferred profit in the consolidated balance sheet. In certain instances where revenue and the related receivable are not recognized, customer payments received are recorded as customer advances in the consolidated balance sheet. Spares and kit revenue and revenue from Cohu’s non-semiconductor equipment businesses is generally recognized upon shipment. Product warranty costs are accrued in the period sales are recognized.</w:t>
      </w:r>
    </w:p>
    <w:p>
      <w:pPr>
        <w:spacing w:after="0" w:line="169" w:lineRule="exact"/>
        <w:rPr>
          <w:sz w:val="20"/>
          <w:szCs w:val="20"/>
          <w:color w:val="auto"/>
        </w:rPr>
      </w:pPr>
    </w:p>
    <w:p>
      <w:pPr>
        <w:ind w:left="520" w:right="80"/>
        <w:spacing w:after="0" w:line="293" w:lineRule="auto"/>
        <w:rPr>
          <w:sz w:val="20"/>
          <w:szCs w:val="20"/>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color w:val="auto"/>
        </w:rPr>
        <w:t>— As permitted by FASB Statement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 — 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Cohu elected to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apply the provisions of Accounting Principles Board’s Opinion No. 25, </w:t>
      </w:r>
      <w:r>
        <w:rPr>
          <w:rFonts w:ascii="Arial" w:cs="Arial" w:eastAsia="Arial" w:hAnsi="Arial"/>
          <w:sz w:val="16"/>
          <w:szCs w:val="16"/>
          <w:i w:val="1"/>
          <w:iCs w:val="1"/>
          <w:color w:val="auto"/>
        </w:rPr>
        <w:t>Accounting for Stock Issued to Employees (</w:t>
      </w:r>
      <w:r>
        <w:rPr>
          <w:rFonts w:ascii="Arial" w:cs="Arial" w:eastAsia="Arial" w:hAnsi="Arial"/>
          <w:sz w:val="16"/>
          <w:szCs w:val="16"/>
          <w:color w:val="auto"/>
        </w:rPr>
        <w:t>“APB 25”), and related interpretations in accounting for its employee stock option and stock purchase plans. Cohu is generally not required under APB 25 to recognize compensation expense in connection with its employee stock option and stock purchase plans. Cohu is required by Statement No. 123 to present, in the notes to the consolidated financial statements, the pro forma effects on reported net income and earnings per share as if compensation expense had been recognized based on the fair value method of accounting prescribed by Statement No. 123.</w:t>
      </w:r>
    </w:p>
    <w:p>
      <w:pPr>
        <w:spacing w:after="0" w:line="165" w:lineRule="exact"/>
        <w:rPr>
          <w:sz w:val="20"/>
          <w:szCs w:val="20"/>
          <w:color w:val="auto"/>
        </w:rPr>
      </w:pPr>
    </w:p>
    <w:p>
      <w:pPr>
        <w:ind w:left="520" w:right="20"/>
        <w:spacing w:after="0" w:line="296" w:lineRule="auto"/>
        <w:rPr>
          <w:sz w:val="20"/>
          <w:szCs w:val="20"/>
          <w:color w:val="auto"/>
        </w:rPr>
      </w:pPr>
      <w:r>
        <w:rPr>
          <w:rFonts w:ascii="Arial" w:cs="Arial" w:eastAsia="Arial" w:hAnsi="Arial"/>
          <w:sz w:val="16"/>
          <w:szCs w:val="16"/>
          <w:b w:val="1"/>
          <w:bCs w:val="1"/>
          <w:color w:val="auto"/>
        </w:rPr>
        <w:t xml:space="preserve">Foreign Currency Translation — </w:t>
      </w:r>
      <w:r>
        <w:rPr>
          <w:rFonts w:ascii="Arial" w:cs="Arial" w:eastAsia="Arial" w:hAnsi="Arial"/>
          <w:sz w:val="16"/>
          <w:szCs w:val="16"/>
          <w:color w:val="auto"/>
        </w:rPr>
        <w:t>Cohu’s foreign subsidiaries primarily use the U.S. dollar as their functional currency. Accordingly,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these subsidiaries are translated using exchange rates in effect at the end of the period, except for nonmonetary assets, such as inventories and property, plant and equipment, that are translated using historical exchange rates. Revenues and costs are translated using average exchange rates for the period, except for costs related to those balance sheet items that are translated using historical exchange rates. The resulting transaction gains and losses are included in the Consolidated Statements of Operations as they are incurred.</w:t>
      </w:r>
    </w:p>
    <w:p>
      <w:pPr>
        <w:spacing w:after="0" w:line="162" w:lineRule="exact"/>
        <w:rPr>
          <w:sz w:val="20"/>
          <w:szCs w:val="20"/>
          <w:color w:val="auto"/>
        </w:rPr>
      </w:pPr>
    </w:p>
    <w:p>
      <w:pPr>
        <w:ind w:left="520" w:right="4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about the future that affect the amounts reported in the consolidated financial statements. These estimates include assessing the collectibility of accounts receivable, usage and recoverability of inventory and long-lived assets and incurrence of warranty costs. Actual results could differ from those estimates.</w:t>
      </w:r>
    </w:p>
    <w:p>
      <w:pPr>
        <w:spacing w:after="0" w:line="190" w:lineRule="exact"/>
        <w:rPr>
          <w:sz w:val="20"/>
          <w:szCs w:val="20"/>
          <w:color w:val="auto"/>
        </w:rPr>
      </w:pPr>
    </w:p>
    <w:p>
      <w:pPr>
        <w:ind w:left="520" w:right="360"/>
        <w:spacing w:after="0" w:line="326" w:lineRule="auto"/>
        <w:rPr>
          <w:sz w:val="20"/>
          <w:szCs w:val="20"/>
          <w:color w:val="auto"/>
        </w:rPr>
      </w:pPr>
      <w:r>
        <w:rPr>
          <w:rFonts w:ascii="Arial" w:cs="Arial" w:eastAsia="Arial" w:hAnsi="Arial"/>
          <w:sz w:val="15"/>
          <w:szCs w:val="15"/>
          <w:b w:val="1"/>
          <w:bCs w:val="1"/>
          <w:color w:val="auto"/>
        </w:rPr>
        <w:t xml:space="preserve">Derivative Instruments and Hedging Activities </w:t>
      </w:r>
      <w:r>
        <w:rPr>
          <w:rFonts w:ascii="Arial" w:cs="Arial" w:eastAsia="Arial" w:hAnsi="Arial"/>
          <w:sz w:val="15"/>
          <w:szCs w:val="15"/>
          <w:color w:val="auto"/>
        </w:rPr>
        <w:t>- Cohu adopted FASB Statement No. 133,</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Accounting for Derivative Instruments and Hedging</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Activities</w:t>
      </w:r>
      <w:r>
        <w:rPr>
          <w:rFonts w:ascii="Arial" w:cs="Arial" w:eastAsia="Arial" w:hAnsi="Arial"/>
          <w:sz w:val="15"/>
          <w:szCs w:val="15"/>
          <w:color w:val="auto"/>
        </w:rPr>
        <w:t>, on January 1, 2001. Statement No. 133 requires, among other things, that all derivatives be recognized in the balance sheet at fair value and</w:t>
      </w:r>
      <w:r>
        <w:rPr>
          <w:rFonts w:ascii="Arial" w:cs="Arial" w:eastAsia="Arial" w:hAnsi="Arial"/>
          <w:sz w:val="15"/>
          <w:szCs w:val="15"/>
          <w:i w:val="1"/>
          <w:iCs w:val="1"/>
          <w:color w:val="auto"/>
        </w:rPr>
        <w:t xml:space="preserve"> </w:t>
      </w:r>
      <w:r>
        <w:rPr>
          <w:rFonts w:ascii="Arial" w:cs="Arial" w:eastAsia="Arial" w:hAnsi="Arial"/>
          <w:sz w:val="15"/>
          <w:szCs w:val="15"/>
          <w:color w:val="auto"/>
        </w:rPr>
        <w:t>special accounting for hedging activities that meet certain criteria. The Company generally does not hold derivative instruments or engage in hedging activities and as a result the adoption of Statement No. 133 had no material effect on the Company’s financial condition or results of operations.</w:t>
      </w:r>
    </w:p>
    <w:p>
      <w:pPr>
        <w:spacing w:after="0" w:line="143" w:lineRule="exact"/>
        <w:rPr>
          <w:sz w:val="20"/>
          <w:szCs w:val="20"/>
          <w:color w:val="auto"/>
        </w:rPr>
      </w:pPr>
    </w:p>
    <w:p>
      <w:pPr>
        <w:ind w:left="520" w:right="440"/>
        <w:spacing w:after="0" w:line="26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carrying amounts of Cohu’s financial instruments, including cash and cash equivalents,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accounts receivable, note receivable, accounts payable and accrued expenses, approximate fair value due to the short maturities of these financial instruments.</w:t>
      </w:r>
    </w:p>
    <w:p>
      <w:pPr>
        <w:spacing w:after="0" w:line="186" w:lineRule="exact"/>
        <w:rPr>
          <w:sz w:val="20"/>
          <w:szCs w:val="20"/>
          <w:color w:val="auto"/>
        </w:rPr>
      </w:pPr>
    </w:p>
    <w:p>
      <w:pPr>
        <w:ind w:left="520"/>
        <w:spacing w:after="0" w:line="285" w:lineRule="auto"/>
        <w:rPr>
          <w:sz w:val="20"/>
          <w:szCs w:val="20"/>
          <w:color w:val="auto"/>
        </w:rPr>
      </w:pPr>
      <w:r>
        <w:rPr>
          <w:rFonts w:ascii="Arial" w:cs="Arial" w:eastAsia="Arial" w:hAnsi="Arial"/>
          <w:sz w:val="16"/>
          <w:szCs w:val="16"/>
          <w:b w:val="1"/>
          <w:bCs w:val="1"/>
          <w:color w:val="auto"/>
        </w:rPr>
        <w:t xml:space="preserve">Recent Accounting Pronouncements — </w:t>
      </w:r>
      <w:r>
        <w:rPr>
          <w:rFonts w:ascii="Arial" w:cs="Arial" w:eastAsia="Arial" w:hAnsi="Arial"/>
          <w:sz w:val="16"/>
          <w:szCs w:val="16"/>
          <w:color w:val="auto"/>
        </w:rPr>
        <w:t>In October 2001, the FASB issued Statement No. 144,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which supersedes Statement No. 121. Statement No. 144 addresses financial accounting and reporting for the impairment of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for long-lived assets to be disposed of. However, Statement No. 144 retains the fundamental provisions of Statement No. 121 for recognition and measurement of the impairment of long-lived assets to be held and used and measurement of long-lived assets to be disposed of by sale. Statement</w:t>
      </w:r>
    </w:p>
    <w:p>
      <w:pPr>
        <w:spacing w:after="0" w:line="3"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color w:val="auto"/>
        </w:rPr>
        <w:t>No. 144 is effective for fiscal years beginning after December 15, 2001. Cohu is in the process of assessing the effect of adopting Statement No. 144 and has not determined the effect of such adoption on its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Change in Accounting for Revenue Recognition</w:t>
      </w:r>
    </w:p>
    <w:p>
      <w:pPr>
        <w:spacing w:after="0" w:line="231"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In the fourth quarter of 2000, the Company changed its method of recognizing revenue from certain semiconductor equipment sales. The new method of accounting was adopted to comply with SAB 101. In accordance with SAB 101 the new method of accounting has been applied retroactively to transactions that occurred prior to 2000. The cumulative effect adjustment of the change in accounting on prior years through December 31, 1999 was a reduction to income of $3,299,000 (after credit for income taxes of $1,700,000) and is included in income for the year ended December 31, 2000. Revenue amounting to $9,002,000 that was previously recognized and included in the cumulative effect adjustment at December 31, 1999 was recognized during 2000. The effect of the change on the year ended December 31, 2000 was to decrease income before cumulative effect of change in accounting principle by $661,000 ($.03 per diluted share). Pro forma amounts showing the retroactive application of SAB 101 for periods prior to 2000 could not be reasonably estimated and have not been provided.</w:t>
      </w:r>
    </w:p>
    <w:p>
      <w:pPr>
        <w:spacing w:after="0" w:line="166" w:lineRule="exact"/>
        <w:rPr>
          <w:sz w:val="20"/>
          <w:szCs w:val="20"/>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Automated Systems Assets</w:t>
      </w:r>
    </w:p>
    <w:p>
      <w:pPr>
        <w:spacing w:after="0" w:line="231" w:lineRule="exact"/>
        <w:rPr>
          <w:rFonts w:ascii="Arial" w:cs="Arial" w:eastAsia="Arial" w:hAnsi="Arial"/>
          <w:sz w:val="18"/>
          <w:szCs w:val="18"/>
          <w:b w:val="1"/>
          <w:bCs w:val="1"/>
          <w:color w:val="auto"/>
        </w:rPr>
      </w:pPr>
    </w:p>
    <w:p>
      <w:pPr>
        <w:ind w:left="2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July 16, 2001, the Company purchased the assets of the Automated Systems business (“AS”) from Schlumberger Technologies, Inc. The results of AS’s operations have been included in the consolidated financial statements since that date. AS designs, manufactures and sells semiconductor equipment including pick and place test handlers and burn-in board loaders and unloaders. AS has technology and intellectual property associated with precise temperature control and heat dissipation of high-speed, high-power semiconductors during test that is expected to extend the capabilities of the Company’s semiconductor equipment products.</w:t>
      </w:r>
    </w:p>
    <w:p>
      <w:pPr>
        <w:spacing w:after="0" w:line="196" w:lineRule="exact"/>
        <w:rPr>
          <w:rFonts w:ascii="Arial" w:cs="Arial" w:eastAsia="Arial" w:hAnsi="Arial"/>
          <w:sz w:val="18"/>
          <w:szCs w:val="18"/>
          <w:b w:val="1"/>
          <w:bCs w:val="1"/>
          <w:color w:val="auto"/>
        </w:rPr>
      </w:pPr>
    </w:p>
    <w:p>
      <w:pPr>
        <w:ind w:left="24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aggregate cash purchase price of AS was $14.2 million. The Company engaged an independent firm to assist in the valuation of the intangible assets acquired and the allocation of the purchase price in accordance with FASB No. 141.</w:t>
      </w:r>
    </w:p>
    <w:p>
      <w:pPr>
        <w:spacing w:after="0" w:line="185"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$14.2 million cash purchase price, plus $100,000 of related acquisition costs, was allocated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w:t>
            </w:r>
          </w:p>
        </w:tc>
        <w:tc>
          <w:tcPr>
            <w:tcW w:w="480" w:type="dxa"/>
            <w:vAlign w:val="bottom"/>
            <w:shd w:val="clear" w:color="auto" w:fill="EEEEEE"/>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Fixed assets</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r>
      <w:tr>
        <w:trPr>
          <w:trHeight w:val="216"/>
        </w:trPr>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19"/>
                <w:szCs w:val="19"/>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 acquired</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14,750</w:t>
            </w:r>
          </w:p>
        </w:tc>
        <w:tc>
          <w:tcPr>
            <w:tcW w:w="480" w:type="dxa"/>
            <w:vAlign w:val="bottom"/>
            <w:shd w:val="clear" w:color="auto" w:fill="EEEEEE"/>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7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102"/>
        </w:trPr>
        <w:tc>
          <w:tcPr>
            <w:tcW w:w="3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35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assets acquired</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14,300</w:t>
            </w:r>
          </w:p>
        </w:tc>
        <w:tc>
          <w:tcPr>
            <w:tcW w:w="480" w:type="dxa"/>
            <w:vAlign w:val="bottom"/>
            <w:shd w:val="clear" w:color="auto" w:fill="EEEEEE"/>
          </w:tcPr>
          <w:p>
            <w:pPr>
              <w:spacing w:after="0"/>
              <w:rPr>
                <w:sz w:val="18"/>
                <w:szCs w:val="18"/>
                <w:color w:val="auto"/>
              </w:rPr>
            </w:pPr>
          </w:p>
        </w:tc>
      </w:tr>
      <w:tr>
        <w:trPr>
          <w:trHeight w:val="105"/>
        </w:trPr>
        <w:tc>
          <w:tcPr>
            <w:tcW w:w="3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61"/>
        </w:trPr>
        <w:tc>
          <w:tcPr>
            <w:tcW w:w="3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r>
    </w:tbl>
    <w:p>
      <w:pPr>
        <w:spacing w:after="0" w:line="313" w:lineRule="exact"/>
        <w:rPr>
          <w:sz w:val="20"/>
          <w:szCs w:val="20"/>
          <w:color w:val="auto"/>
        </w:rPr>
      </w:pPr>
    </w:p>
    <w:p>
      <w:pPr>
        <w:ind w:left="520"/>
        <w:spacing w:after="0" w:line="310" w:lineRule="auto"/>
        <w:rPr>
          <w:sz w:val="20"/>
          <w:szCs w:val="20"/>
          <w:color w:val="auto"/>
        </w:rPr>
      </w:pPr>
      <w:r>
        <w:rPr>
          <w:rFonts w:ascii="Arial" w:cs="Arial" w:eastAsia="Arial" w:hAnsi="Arial"/>
          <w:sz w:val="15"/>
          <w:szCs w:val="15"/>
          <w:color w:val="auto"/>
        </w:rPr>
        <w:t xml:space="preserve">Of the $3,010,000 of acquired intangible assets, $2,050,000 was assigned to research and development assets that were written off at the date of the acquisition in accordance with FASB Interpretation No. 4, </w:t>
      </w:r>
      <w:r>
        <w:rPr>
          <w:rFonts w:ascii="Arial" w:cs="Arial" w:eastAsia="Arial" w:hAnsi="Arial"/>
          <w:sz w:val="15"/>
          <w:szCs w:val="15"/>
          <w:i w:val="1"/>
          <w:iCs w:val="1"/>
          <w:color w:val="auto"/>
        </w:rPr>
        <w:t>Applicability of FASB Statement No. 2 to Business Combinations Accounted for by the Purchase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Method. </w:t>
      </w:r>
      <w:r>
        <w:rPr>
          <w:rFonts w:ascii="Arial" w:cs="Arial" w:eastAsia="Arial" w:hAnsi="Arial"/>
          <w:sz w:val="15"/>
          <w:szCs w:val="15"/>
          <w:color w:val="auto"/>
        </w:rPr>
        <w:t>The amount of acquired in-process research and development expense was determined by identifying research projects for which technological</w:t>
      </w:r>
      <w:r>
        <w:rPr>
          <w:rFonts w:ascii="Arial" w:cs="Arial" w:eastAsia="Arial" w:hAnsi="Arial"/>
          <w:sz w:val="15"/>
          <w:szCs w:val="15"/>
          <w:i w:val="1"/>
          <w:iCs w:val="1"/>
          <w:color w:val="auto"/>
        </w:rPr>
        <w:t xml:space="preserve"> </w:t>
      </w:r>
      <w:r>
        <w:rPr>
          <w:rFonts w:ascii="Arial" w:cs="Arial" w:eastAsia="Arial" w:hAnsi="Arial"/>
          <w:sz w:val="15"/>
          <w:szCs w:val="15"/>
          <w:color w:val="auto"/>
        </w:rPr>
        <w:t>feasibility had not been established and for which no alternative future uses existed. The value of the projects identified to be in-process was determined by estimating the future cash flows from the projects once commercially feasible, discounting the net cash flows back to their present value at a rate commensurate with the level of risk and maturity of the projects, and then applying a percentage of completion to the calculated value. The remaining intangible assets include, among other things, a license valued at $360,000 and core technology valued at $500,000, both with estimated useful lives of 5 years. All assets are expected to be fully deductible for tax purposes. The goodwill was assigned to the semiconductor equipment segment.</w:t>
      </w:r>
    </w:p>
    <w:p>
      <w:pPr>
        <w:spacing w:after="0" w:line="162" w:lineRule="exact"/>
        <w:rPr>
          <w:sz w:val="20"/>
          <w:szCs w:val="20"/>
          <w:color w:val="auto"/>
        </w:rPr>
      </w:pPr>
    </w:p>
    <w:p>
      <w:pPr>
        <w:ind w:left="520" w:right="200"/>
        <w:spacing w:after="0" w:line="294" w:lineRule="auto"/>
        <w:rPr>
          <w:sz w:val="20"/>
          <w:szCs w:val="20"/>
          <w:color w:val="auto"/>
        </w:rPr>
      </w:pPr>
      <w:r>
        <w:rPr>
          <w:rFonts w:ascii="Arial" w:cs="Arial" w:eastAsia="Arial" w:hAnsi="Arial"/>
          <w:sz w:val="16"/>
          <w:szCs w:val="16"/>
          <w:color w:val="auto"/>
        </w:rPr>
        <w:t>The Company evaluated the goodwill and other long-lived assets resulting from the AS acquisition for impairment at December 31, 2001 as required by FASB Statement No. 121. The Company compared the carrying value of such assets to estimated undiscounted cash flows expected to result from their use and concluded that there was no impairment loss at December 31, 2001. The Company will be required to fully adopt Statement No. 142 effective January 1, 2002. Statement No. 142 uses a different goodwill impairment assessment methodology than Statement No. 121. The Company has not yet fully determined the financial statement impact of the application of the impairment test required by Statement No. 142.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unaudited pro forma results reflected below assume the purchase occurred at the beginning of each year presented.</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18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2001</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color w:val="auto"/>
              </w:rPr>
              <w:t>2000</w:t>
            </w:r>
          </w:p>
        </w:tc>
      </w:tr>
      <w:tr>
        <w:trPr>
          <w:trHeight w:val="95"/>
        </w:trPr>
        <w:tc>
          <w:tcPr>
            <w:tcW w:w="51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$131,032</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$306,164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(loss) before cumulative effect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(7,769)</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35,586</w:t>
            </w: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(7,769)</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32,287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1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Before cumulative effect</w:t>
            </w:r>
          </w:p>
        </w:tc>
        <w:tc>
          <w:tcPr>
            <w:tcW w:w="1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(.38)</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1.69</w:t>
            </w:r>
          </w:p>
        </w:tc>
      </w:tr>
      <w:tr>
        <w:trPr>
          <w:trHeight w:val="228"/>
        </w:trPr>
        <w:tc>
          <w:tcPr>
            <w:tcW w:w="51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r>
    </w:tbl>
    <w:p>
      <w:pPr>
        <w:spacing w:after="0" w:line="195" w:lineRule="exact"/>
        <w:rPr>
          <w:sz w:val="20"/>
          <w:szCs w:val="20"/>
          <w:color w:val="auto"/>
        </w:rPr>
      </w:pPr>
    </w:p>
    <w:p>
      <w:pPr>
        <w:sectPr>
          <w:pgSz w:w="11900" w:h="16838" w:orient="portrait"/>
          <w:cols w:equalWidth="0" w:num="1">
            <w:col w:w="11400"/>
          </w:cols>
          <w:pgMar w:left="240" w:top="419" w:right="259" w:bottom="576" w:gutter="0" w:footer="0" w:header="0"/>
        </w:sect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576"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Investments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Short-term investments by security type at December 31,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jc w:val="right"/>
              <w:ind w:right="992"/>
              <w:spacing w:after="0"/>
              <w:rPr>
                <w:sz w:val="20"/>
                <w:szCs w:val="20"/>
                <w:color w:val="auto"/>
              </w:rPr>
            </w:pPr>
            <w:r>
              <w:rPr>
                <w:rFonts w:ascii="Arial" w:cs="Arial" w:eastAsia="Arial" w:hAnsi="Arial"/>
                <w:sz w:val="14"/>
                <w:szCs w:val="14"/>
                <w:b w:val="1"/>
                <w:bCs w:val="1"/>
                <w:color w:val="auto"/>
                <w:w w:val="89"/>
              </w:rPr>
              <w:t>2001</w:t>
            </w:r>
          </w:p>
        </w:tc>
        <w:tc>
          <w:tcPr>
            <w:tcW w:w="1200" w:type="dxa"/>
            <w:vAlign w:val="bottom"/>
          </w:tcPr>
          <w:p>
            <w:pPr>
              <w:spacing w:after="0"/>
              <w:rPr>
                <w:sz w:val="15"/>
                <w:szCs w:val="15"/>
                <w:color w:val="auto"/>
              </w:rPr>
            </w:pPr>
          </w:p>
        </w:tc>
        <w:tc>
          <w:tcPr>
            <w:tcW w:w="1560" w:type="dxa"/>
            <w:vAlign w:val="bottom"/>
            <w:gridSpan w:val="2"/>
          </w:tcPr>
          <w:p>
            <w:pPr>
              <w:jc w:val="center"/>
              <w:ind w:left="312"/>
              <w:spacing w:after="0"/>
              <w:rPr>
                <w:sz w:val="20"/>
                <w:szCs w:val="20"/>
                <w:color w:val="auto"/>
              </w:rPr>
            </w:pPr>
            <w:r>
              <w:rPr>
                <w:rFonts w:ascii="Arial" w:cs="Arial" w:eastAsia="Arial" w:hAnsi="Arial"/>
                <w:sz w:val="14"/>
                <w:szCs w:val="14"/>
                <w:color w:val="auto"/>
                <w:w w:val="83"/>
              </w:rPr>
              <w:t>2000</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vMerge w:val="restart"/>
          </w:tcPr>
          <w:p>
            <w:pPr>
              <w:jc w:val="center"/>
              <w:ind w:left="252"/>
              <w:spacing w:after="0"/>
              <w:rPr>
                <w:sz w:val="20"/>
                <w:szCs w:val="20"/>
                <w:color w:val="auto"/>
              </w:rPr>
            </w:pPr>
            <w:r>
              <w:rPr>
                <w:rFonts w:ascii="Arial" w:cs="Arial" w:eastAsia="Arial" w:hAnsi="Arial"/>
                <w:sz w:val="14"/>
                <w:szCs w:val="14"/>
                <w:b w:val="1"/>
                <w:bCs w:val="1"/>
                <w:color w:val="auto"/>
                <w:w w:val="83"/>
              </w:rPr>
              <w:t>Gross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85"/>
              </w:rPr>
              <w:t>Cost and</w:t>
            </w:r>
          </w:p>
        </w:tc>
        <w:tc>
          <w:tcPr>
            <w:tcW w:w="0" w:type="dxa"/>
            <w:vAlign w:val="bottom"/>
          </w:tcPr>
          <w:p>
            <w:pPr>
              <w:spacing w:after="0"/>
              <w:rPr>
                <w:sz w:val="1"/>
                <w:szCs w:val="1"/>
                <w:color w:val="auto"/>
              </w:rPr>
            </w:pPr>
          </w:p>
        </w:tc>
      </w:tr>
      <w:tr>
        <w:trPr>
          <w:trHeight w:val="123"/>
        </w:trPr>
        <w:tc>
          <w:tcPr>
            <w:tcW w:w="3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Amortized</w:t>
            </w:r>
          </w:p>
        </w:tc>
        <w:tc>
          <w:tcPr>
            <w:tcW w:w="102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Estimated</w:t>
            </w: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Cost</w:t>
            </w:r>
          </w:p>
        </w:tc>
        <w:tc>
          <w:tcPr>
            <w:tcW w:w="102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Gains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60325</wp:posOffset>
            </wp:positionV>
            <wp:extent cx="40303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$10,441</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$180</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w:t>
            </w: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$10,615</w:t>
            </w:r>
          </w:p>
        </w:tc>
        <w:tc>
          <w:tcPr>
            <w:tcW w:w="1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$11,442</w:t>
            </w:r>
          </w:p>
        </w:tc>
        <w:tc>
          <w:tcPr>
            <w:tcW w:w="320" w:type="dxa"/>
            <w:vAlign w:val="bottom"/>
            <w:shd w:val="clear" w:color="auto" w:fill="EEEEEE"/>
          </w:tcPr>
          <w:p>
            <w:pPr>
              <w:spacing w:after="0"/>
              <w:rPr>
                <w:sz w:val="18"/>
                <w:szCs w:val="18"/>
                <w:color w:val="auto"/>
              </w:rPr>
            </w:pPr>
          </w:p>
        </w:tc>
      </w:tr>
      <w:tr>
        <w:trPr>
          <w:trHeight w:val="228"/>
        </w:trPr>
        <w:tc>
          <w:tcPr>
            <w:tcW w:w="30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13,686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w:t>
            </w: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89"/>
              </w:rPr>
              <w:t>12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13,842</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r>
      <w:tr>
        <w:trPr>
          <w:trHeight w:val="96"/>
        </w:trPr>
        <w:tc>
          <w:tcPr>
            <w:tcW w:w="3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3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3000" w:type="dxa"/>
            <w:vAlign w:val="bottom"/>
            <w:shd w:val="clear" w:color="auto" w:fill="EEEEEE"/>
          </w:tcPr>
          <w:p>
            <w:pPr>
              <w:spacing w:after="0"/>
              <w:rPr>
                <w:sz w:val="18"/>
                <w:szCs w:val="18"/>
                <w:color w:val="auto"/>
              </w:rPr>
            </w:pPr>
          </w:p>
        </w:tc>
        <w:tc>
          <w:tcPr>
            <w:tcW w:w="1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$24,127</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$348</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9"/>
              </w:rPr>
              <w:t>18</w:t>
            </w: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$24,457</w:t>
            </w:r>
          </w:p>
        </w:tc>
        <w:tc>
          <w:tcPr>
            <w:tcW w:w="1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$13,468</w:t>
            </w:r>
          </w:p>
        </w:tc>
        <w:tc>
          <w:tcPr>
            <w:tcW w:w="320" w:type="dxa"/>
            <w:vAlign w:val="bottom"/>
            <w:shd w:val="clear" w:color="auto" w:fill="EEEEEE"/>
          </w:tcPr>
          <w:p>
            <w:pPr>
              <w:spacing w:after="0"/>
              <w:rPr>
                <w:sz w:val="18"/>
                <w:szCs w:val="18"/>
                <w:color w:val="auto"/>
              </w:rPr>
            </w:pPr>
          </w:p>
        </w:tc>
      </w:tr>
      <w:tr>
        <w:trPr>
          <w:trHeight w:val="105"/>
        </w:trPr>
        <w:tc>
          <w:tcPr>
            <w:tcW w:w="3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3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-38100</wp:posOffset>
            </wp:positionV>
            <wp:extent cx="13271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Contractual maturities of short-term investments at December 31, 2001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Amortized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color w:val="auto"/>
                <w:w w:val="83"/>
              </w:rPr>
              <w:t>Cost</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Due in one year or less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9,220</w:t>
            </w: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14,907</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15,056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24,127</w:t>
            </w: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24,457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20" w:right="80"/>
        <w:spacing w:after="0" w:line="335" w:lineRule="auto"/>
        <w:rPr>
          <w:sz w:val="20"/>
          <w:szCs w:val="20"/>
          <w:color w:val="auto"/>
        </w:rPr>
      </w:pPr>
      <w:r>
        <w:rPr>
          <w:rFonts w:ascii="Arial" w:cs="Arial" w:eastAsia="Arial" w:hAnsi="Arial"/>
          <w:sz w:val="15"/>
          <w:szCs w:val="15"/>
          <w:color w:val="auto"/>
        </w:rPr>
        <w:t>At December 31, 2000, the estimated fair value of the Company’s short-term investments approximated amortized cost. Accordingly, temporary differences between the short-term investment portfolio’s fair value and its cost have not been presented as a separate component of other comprehensive income in stockholders’ equity. Gross realized gains and losses on sales of short-term investments were not significant in 2001, 2000 or 1999.</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Real Estate Transactions</w:t>
      </w:r>
    </w:p>
    <w:p>
      <w:pPr>
        <w:spacing w:after="0" w:line="231" w:lineRule="exact"/>
        <w:rPr>
          <w:sz w:val="20"/>
          <w:szCs w:val="20"/>
          <w:color w:val="auto"/>
        </w:rPr>
      </w:pPr>
    </w:p>
    <w:p>
      <w:pPr>
        <w:ind w:left="520" w:right="80"/>
        <w:spacing w:after="0" w:line="332" w:lineRule="auto"/>
        <w:rPr>
          <w:sz w:val="20"/>
          <w:szCs w:val="20"/>
          <w:color w:val="auto"/>
        </w:rPr>
      </w:pPr>
      <w:r>
        <w:rPr>
          <w:rFonts w:ascii="Arial" w:cs="Arial" w:eastAsia="Arial" w:hAnsi="Arial"/>
          <w:sz w:val="16"/>
          <w:szCs w:val="16"/>
          <w:color w:val="auto"/>
        </w:rPr>
        <w:t>On October 27, 2000, the Company entered into agreements with a third party under which it became obligated to acquire certain real property in Poway, California consisting of a 338,000 square-foot building and approximately twenty acres of land (the “Poway Facility”).</w:t>
      </w:r>
    </w:p>
    <w:p>
      <w:pPr>
        <w:spacing w:after="0" w:line="139" w:lineRule="exact"/>
        <w:rPr>
          <w:sz w:val="20"/>
          <w:szCs w:val="20"/>
          <w:color w:val="auto"/>
        </w:rPr>
      </w:pPr>
    </w:p>
    <w:p>
      <w:pPr>
        <w:ind w:left="520"/>
        <w:spacing w:after="0" w:line="291" w:lineRule="auto"/>
        <w:rPr>
          <w:sz w:val="20"/>
          <w:szCs w:val="20"/>
          <w:color w:val="auto"/>
        </w:rPr>
      </w:pPr>
      <w:r>
        <w:rPr>
          <w:rFonts w:ascii="Arial" w:cs="Arial" w:eastAsia="Arial" w:hAnsi="Arial"/>
          <w:sz w:val="16"/>
          <w:szCs w:val="16"/>
          <w:color w:val="auto"/>
        </w:rPr>
        <w:t xml:space="preserve">On April 16, 2001, the Company sold its land and buildings in San Diego, California to TC Kearny Villa, L.P., an unrelated party, for $12.5 million, excluding commissions and other related expenses. The $12.5 million purchase price included a cash payment of $3.1 million and a $9.4 million, 8% non-recourse note, secured by a deed of trust on the property, due in six months. The note provided for a 180-day extension option that was exercised in September 2001, extending the due date to April 2002. The Company entered into a three-month leaseback of the property with the buyer that expired in July 2001. The sale-leaseback transaction was accounted for as a financing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Company recorded a gain on the sale transaction of approximately $7.7 million in the third quarter of 2001, upon the expiration of the leaseback.</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April 23, 2001, the Company completed the acquisition of the Poway Facility. The purchase price of the Poway Facility was approximately $21.3</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million and was funded from the Company’s cash reserves in October 2000. The Company remodeled the Poway Facility at a cost of approximately</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$4.2 million and moved its corporate headquarters and the San Diego operations of its Delta Design and BMS subsidiaries to the Poway Facility in June</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2001.</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Line of Credit</w:t>
      </w:r>
    </w:p>
    <w:p>
      <w:pPr>
        <w:spacing w:after="0" w:line="231" w:lineRule="exact"/>
        <w:rPr>
          <w:sz w:val="20"/>
          <w:szCs w:val="20"/>
          <w:color w:val="auto"/>
        </w:rPr>
      </w:pPr>
    </w:p>
    <w:p>
      <w:pPr>
        <w:ind w:left="520" w:right="220"/>
        <w:spacing w:after="0" w:line="332" w:lineRule="auto"/>
        <w:rPr>
          <w:sz w:val="20"/>
          <w:szCs w:val="20"/>
          <w:color w:val="auto"/>
        </w:rPr>
      </w:pPr>
      <w:r>
        <w:rPr>
          <w:rFonts w:ascii="Arial" w:cs="Arial" w:eastAsia="Arial" w:hAnsi="Arial"/>
          <w:sz w:val="16"/>
          <w:szCs w:val="16"/>
          <w:color w:val="auto"/>
        </w:rPr>
        <w:t>The Company maintains a $10,000,000 unsecured bank line-of-credit facility bearing interest at the bank’s prime rate. The facility requires compliance with certain financial covenants and expires in May 2002. No borrowings were outstanding at December 31, 2001 or 2000.</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Income Taxes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provision (credit) for income taxes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800" w:type="dxa"/>
            <w:vAlign w:val="bottom"/>
          </w:tcPr>
          <w:p>
            <w:pPr>
              <w:spacing w:after="0"/>
              <w:rPr>
                <w:sz w:val="15"/>
                <w:szCs w:val="15"/>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4"/>
                <w:szCs w:val="14"/>
                <w:color w:val="auto"/>
              </w:rPr>
              <w:t>2000</w:t>
            </w:r>
          </w:p>
        </w:tc>
        <w:tc>
          <w:tcPr>
            <w:tcW w:w="6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color w:val="auto"/>
              </w:rPr>
              <w:t>1999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4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$(7,600)</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$17,716</w:t>
            </w:r>
          </w:p>
        </w:tc>
        <w:tc>
          <w:tcPr>
            <w:tcW w:w="6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$11,734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State</w:t>
            </w:r>
          </w:p>
        </w:tc>
        <w:tc>
          <w:tcPr>
            <w:tcW w:w="2440" w:type="dxa"/>
            <w:vAlign w:val="bottom"/>
            <w:gridSpan w:val="4"/>
            <w:shd w:val="clear" w:color="auto" w:fill="EEEEEE"/>
          </w:tcPr>
          <w:p>
            <w:pPr>
              <w:jc w:val="right"/>
              <w:ind w:right="740"/>
              <w:spacing w:after="0"/>
              <w:rPr>
                <w:sz w:val="20"/>
                <w:szCs w:val="20"/>
                <w:color w:val="auto"/>
              </w:rPr>
            </w:pPr>
            <w:r>
              <w:rPr>
                <w:rFonts w:ascii="Arial" w:cs="Arial" w:eastAsia="Arial" w:hAnsi="Arial"/>
                <w:sz w:val="18"/>
                <w:szCs w:val="18"/>
                <w:b w:val="1"/>
                <w:bCs w:val="1"/>
                <w:color w:val="auto"/>
              </w:rPr>
              <w:t>(25)</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2,344</w:t>
            </w:r>
          </w:p>
        </w:tc>
        <w:tc>
          <w:tcPr>
            <w:tcW w:w="6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1,866</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gridSpan w:val="2"/>
          </w:tcPr>
          <w:p>
            <w:pPr>
              <w:spacing w:after="0"/>
              <w:rPr>
                <w:sz w:val="9"/>
                <w:szCs w:val="9"/>
                <w:color w:val="auto"/>
              </w:rPr>
            </w:pPr>
          </w:p>
        </w:tc>
        <w:tc>
          <w:tcPr>
            <w:tcW w:w="11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4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(7,625)</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20,060</w:t>
            </w:r>
          </w:p>
        </w:tc>
        <w:tc>
          <w:tcPr>
            <w:tcW w:w="6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13,600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19" w:right="29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15"/>
                <w:szCs w:val="15"/>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4"/>
                <w:szCs w:val="14"/>
                <w:color w:val="auto"/>
              </w:rPr>
              <w:t>2000</w:t>
            </w:r>
          </w:p>
        </w:tc>
        <w:tc>
          <w:tcPr>
            <w:tcW w:w="720" w:type="dxa"/>
            <w:vAlign w:val="bottom"/>
          </w:tcPr>
          <w:p>
            <w:pPr>
              <w:spacing w:after="0"/>
              <w:rPr>
                <w:sz w:val="15"/>
                <w:szCs w:val="15"/>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4"/>
                <w:szCs w:val="14"/>
                <w:color w:val="auto"/>
              </w:rPr>
              <w:t>1999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3,163</w:t>
            </w:r>
          </w:p>
        </w:tc>
        <w:tc>
          <w:tcPr>
            <w:tcW w:w="700" w:type="dxa"/>
            <w:vAlign w:val="bottom"/>
          </w:tcPr>
          <w:p>
            <w:pPr>
              <w:spacing w:after="0"/>
              <w:rPr>
                <w:sz w:val="18"/>
                <w:szCs w:val="18"/>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8"/>
                <w:szCs w:val="18"/>
                <w:color w:val="auto"/>
              </w:rPr>
              <w:t>(921)</w:t>
            </w:r>
          </w:p>
        </w:tc>
        <w:tc>
          <w:tcPr>
            <w:tcW w:w="2140" w:type="dxa"/>
            <w:vAlign w:val="bottom"/>
            <w:gridSpan w:val="4"/>
          </w:tcPr>
          <w:p>
            <w:pPr>
              <w:jc w:val="right"/>
              <w:ind w:right="6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State</w:t>
            </w:r>
          </w:p>
        </w:tc>
        <w:tc>
          <w:tcPr>
            <w:tcW w:w="2360" w:type="dxa"/>
            <w:vAlign w:val="bottom"/>
            <w:gridSpan w:val="4"/>
            <w:shd w:val="clear" w:color="auto" w:fill="EEEEEE"/>
          </w:tcPr>
          <w:p>
            <w:pPr>
              <w:jc w:val="right"/>
              <w:ind w:right="660"/>
              <w:spacing w:after="0"/>
              <w:rPr>
                <w:sz w:val="20"/>
                <w:szCs w:val="20"/>
                <w:color w:val="auto"/>
              </w:rPr>
            </w:pPr>
            <w:r>
              <w:rPr>
                <w:rFonts w:ascii="Arial" w:cs="Arial" w:eastAsia="Arial" w:hAnsi="Arial"/>
                <w:sz w:val="18"/>
                <w:szCs w:val="18"/>
                <w:b w:val="1"/>
                <w:bCs w:val="1"/>
                <w:color w:val="auto"/>
              </w:rPr>
              <w:t>(638)</w:t>
            </w:r>
          </w:p>
        </w:tc>
        <w:tc>
          <w:tcPr>
            <w:tcW w:w="2400" w:type="dxa"/>
            <w:vAlign w:val="bottom"/>
            <w:gridSpan w:val="4"/>
            <w:shd w:val="clear" w:color="auto" w:fill="EEEEEE"/>
          </w:tcPr>
          <w:p>
            <w:pPr>
              <w:jc w:val="right"/>
              <w:ind w:right="660"/>
              <w:spacing w:after="0"/>
              <w:rPr>
                <w:sz w:val="20"/>
                <w:szCs w:val="20"/>
                <w:color w:val="auto"/>
              </w:rPr>
            </w:pPr>
            <w:r>
              <w:rPr>
                <w:rFonts w:ascii="Arial" w:cs="Arial" w:eastAsia="Arial" w:hAnsi="Arial"/>
                <w:sz w:val="18"/>
                <w:szCs w:val="18"/>
                <w:color w:val="auto"/>
              </w:rPr>
              <w:t>(139)</w:t>
            </w: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gridSpan w:val="2"/>
          </w:tcPr>
          <w:p>
            <w:pPr>
              <w:spacing w:after="0"/>
              <w:rPr>
                <w:sz w:val="9"/>
                <w:szCs w:val="9"/>
                <w:color w:val="auto"/>
              </w:rPr>
            </w:pPr>
          </w:p>
        </w:tc>
        <w:tc>
          <w:tcPr>
            <w:tcW w:w="12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2,525</w:t>
            </w:r>
          </w:p>
        </w:tc>
        <w:tc>
          <w:tcPr>
            <w:tcW w:w="700" w:type="dxa"/>
            <w:vAlign w:val="bottom"/>
          </w:tcPr>
          <w:p>
            <w:pPr>
              <w:spacing w:after="0"/>
              <w:rPr>
                <w:sz w:val="24"/>
                <w:szCs w:val="2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8"/>
                <w:szCs w:val="18"/>
                <w:color w:val="auto"/>
              </w:rPr>
              <w:t>(1,060)</w:t>
            </w:r>
          </w:p>
        </w:tc>
        <w:tc>
          <w:tcPr>
            <w:tcW w:w="2140" w:type="dxa"/>
            <w:vAlign w:val="bottom"/>
            <w:gridSpan w:val="4"/>
          </w:tcPr>
          <w:p>
            <w:pPr>
              <w:jc w:val="right"/>
              <w:ind w:right="6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2360" w:type="dxa"/>
            <w:vAlign w:val="bottom"/>
            <w:gridSpan w:val="4"/>
            <w:shd w:val="clear" w:color="auto" w:fill="EEEEEE"/>
          </w:tcPr>
          <w:p>
            <w:pPr>
              <w:jc w:val="right"/>
              <w:ind w:right="660"/>
              <w:spacing w:after="0"/>
              <w:rPr>
                <w:sz w:val="20"/>
                <w:szCs w:val="20"/>
                <w:color w:val="auto"/>
              </w:rPr>
            </w:pPr>
            <w:r>
              <w:rPr>
                <w:rFonts w:ascii="Arial" w:cs="Arial" w:eastAsia="Arial" w:hAnsi="Arial"/>
                <w:sz w:val="18"/>
                <w:szCs w:val="18"/>
                <w:b w:val="1"/>
                <w:bCs w:val="1"/>
                <w:color w:val="auto"/>
              </w:rPr>
              <w:t>$(5,100)</w:t>
            </w: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$19,000</w:t>
            </w:r>
          </w:p>
        </w:tc>
        <w:tc>
          <w:tcPr>
            <w:tcW w:w="7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20" w:right="360"/>
        <w:spacing w:after="0" w:line="268" w:lineRule="auto"/>
        <w:rPr>
          <w:sz w:val="20"/>
          <w:szCs w:val="20"/>
          <w:color w:val="auto"/>
        </w:rPr>
      </w:pPr>
      <w:r>
        <w:rPr>
          <w:rFonts w:ascii="Arial" w:cs="Arial" w:eastAsia="Arial" w:hAnsi="Arial"/>
          <w:sz w:val="18"/>
          <w:szCs w:val="18"/>
          <w:color w:val="auto"/>
        </w:rPr>
        <w:t>The cumulative effect of change in accounting principle included in the 2000 consolidated statement of operations is net of a $1,700,000 deferred tax benefit not reflected in the table above.</w:t>
      </w:r>
    </w:p>
    <w:p>
      <w:pPr>
        <w:spacing w:after="0" w:line="186" w:lineRule="exact"/>
        <w:rPr>
          <w:sz w:val="20"/>
          <w:szCs w:val="20"/>
          <w:color w:val="auto"/>
        </w:rPr>
      </w:pPr>
    </w:p>
    <w:p>
      <w:pPr>
        <w:ind w:left="520" w:right="2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0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2000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20" w:type="dxa"/>
            <w:vAlign w:val="bottom"/>
            <w:tcBorders>
              <w:bottom w:val="single" w:sz="8" w:color="808080"/>
            </w:tcBorders>
            <w:gridSpan w:val="2"/>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Reserves and accrued warranty costs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$11,152</w:t>
            </w:r>
          </w:p>
        </w:tc>
        <w:tc>
          <w:tcPr>
            <w:tcW w:w="3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$10,268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Accrued state income taxes and carryforwards</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602</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Accrued employee benefits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1,347</w:t>
            </w:r>
          </w:p>
        </w:tc>
        <w:tc>
          <w:tcPr>
            <w:tcW w:w="3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1,258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Deferred profit under SAB 101</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1,197</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Acquisition basis differences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1,248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Other</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395</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tcPr>
          <w:p>
            <w:pPr>
              <w:ind w:left="920"/>
              <w:spacing w:after="0"/>
              <w:rPr>
                <w:sz w:val="20"/>
                <w:szCs w:val="20"/>
                <w:color w:val="auto"/>
              </w:rPr>
            </w:pPr>
            <w:r>
              <w:rPr>
                <w:rFonts w:ascii="Arial" w:cs="Arial" w:eastAsia="Arial" w:hAnsi="Arial"/>
                <w:sz w:val="18"/>
                <w:szCs w:val="18"/>
                <w:color w:val="auto"/>
              </w:rPr>
              <w:t>Total deferred tax assets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15,941</w:t>
            </w:r>
          </w:p>
        </w:tc>
        <w:tc>
          <w:tcPr>
            <w:tcW w:w="3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14,659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Tax over book depreciation</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646</w:t>
            </w:r>
          </w:p>
        </w:tc>
        <w:tc>
          <w:tcPr>
            <w:tcW w:w="3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1,342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Gain on facilities sale</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2,983</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Acquisition basis differences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1,520</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920"/>
              <w:spacing w:after="0"/>
              <w:rPr>
                <w:sz w:val="20"/>
                <w:szCs w:val="20"/>
                <w:color w:val="auto"/>
              </w:rPr>
            </w:pPr>
            <w:r>
              <w:rPr>
                <w:rFonts w:ascii="Arial" w:cs="Arial" w:eastAsia="Arial" w:hAnsi="Arial"/>
                <w:sz w:val="18"/>
                <w:szCs w:val="18"/>
                <w:color w:val="auto"/>
              </w:rPr>
              <w:t>Total deferred tax liabilities</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5,149</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tcPr>
          <w:p>
            <w:pPr>
              <w:ind w:left="1400"/>
              <w:spacing w:after="0"/>
              <w:rPr>
                <w:sz w:val="20"/>
                <w:szCs w:val="20"/>
                <w:color w:val="auto"/>
              </w:rPr>
            </w:pPr>
            <w:r>
              <w:rPr>
                <w:rFonts w:ascii="Arial" w:cs="Arial" w:eastAsia="Arial" w:hAnsi="Arial"/>
                <w:sz w:val="18"/>
                <w:szCs w:val="18"/>
                <w:color w:val="auto"/>
              </w:rPr>
              <w:t>Net deferred tax assets</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$10,792</w:t>
            </w:r>
          </w:p>
        </w:tc>
        <w:tc>
          <w:tcPr>
            <w:tcW w:w="3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$13,317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20"/>
        <w:spacing w:after="0" w:line="294" w:lineRule="auto"/>
        <w:rPr>
          <w:sz w:val="20"/>
          <w:szCs w:val="20"/>
          <w:color w:val="auto"/>
        </w:rPr>
      </w:pPr>
      <w:r>
        <w:rPr>
          <w:rFonts w:ascii="Arial" w:cs="Arial" w:eastAsia="Arial" w:hAnsi="Arial"/>
          <w:sz w:val="16"/>
          <w:szCs w:val="16"/>
          <w:color w:val="auto"/>
        </w:rPr>
        <w:t>No valuation allowance has been provided on deferred tax assets at December 31, 2001, as the Company believes it is more likely than not that all such assets will be realized. The Company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the Company’s ability to realize deferred tax assets. The Company intends to evaluate the realizability of deferred tax assets quarterly in 2002 by assessing the need for a valuation allowance.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(credit) for income taxes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1999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2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Tax at U.S. statutory rate</w:t>
            </w: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$(4,048)</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$19,613</w:t>
            </w:r>
          </w:p>
        </w:tc>
        <w:tc>
          <w:tcPr>
            <w:tcW w:w="36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$13,624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(431)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1,434</w:t>
            </w:r>
          </w:p>
        </w:tc>
        <w:tc>
          <w:tcPr>
            <w:tcW w:w="3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1,261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Foreign Sales Corporation benefit</w:t>
            </w:r>
          </w:p>
        </w:tc>
        <w:tc>
          <w:tcPr>
            <w:tcW w:w="3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(1,929)</w:t>
            </w:r>
          </w:p>
        </w:tc>
        <w:tc>
          <w:tcPr>
            <w:tcW w:w="14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Nondeductible goodwill and performance-based consideration expense</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w:t>
            </w:r>
          </w:p>
        </w:tc>
        <w:tc>
          <w:tcPr>
            <w:tcW w:w="4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Tax credits</w:t>
            </w: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(600)</w:t>
            </w:r>
          </w:p>
        </w:tc>
        <w:tc>
          <w:tcPr>
            <w:tcW w:w="13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(500)</w:t>
            </w:r>
          </w:p>
        </w:tc>
        <w:tc>
          <w:tcPr>
            <w:tcW w:w="14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Other — net</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(223)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19"/>
                <w:szCs w:val="19"/>
                <w:color w:val="auto"/>
              </w:rPr>
            </w:pPr>
          </w:p>
        </w:tc>
        <w:tc>
          <w:tcPr>
            <w:tcW w:w="1420" w:type="dxa"/>
            <w:vAlign w:val="bottom"/>
            <w:gridSpan w:val="4"/>
          </w:tcPr>
          <w:p>
            <w:pPr>
              <w:jc w:val="right"/>
              <w:ind w:right="3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96"/>
        </w:trPr>
        <w:tc>
          <w:tcPr>
            <w:tcW w:w="6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$(5,100)</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$19,000</w:t>
            </w:r>
          </w:p>
        </w:tc>
        <w:tc>
          <w:tcPr>
            <w:tcW w:w="36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20" w:right="580"/>
        <w:spacing w:after="0" w:line="268" w:lineRule="auto"/>
        <w:rPr>
          <w:sz w:val="20"/>
          <w:szCs w:val="20"/>
          <w:color w:val="auto"/>
        </w:rPr>
      </w:pPr>
      <w:r>
        <w:rPr>
          <w:rFonts w:ascii="Arial" w:cs="Arial" w:eastAsia="Arial" w:hAnsi="Arial"/>
          <w:sz w:val="18"/>
          <w:szCs w:val="18"/>
          <w:color w:val="auto"/>
        </w:rPr>
        <w:t>At December 31, 2001, the Company had state net operating loss carryforwards of approximately $8,200,000 and state tax credit carryforwards of approximately $500,000 that generally expire through 2006.</w:t>
      </w:r>
    </w:p>
    <w:p>
      <w:pPr>
        <w:sectPr>
          <w:pgSz w:w="11900" w:h="16838" w:orient="portrait"/>
          <w:cols w:equalWidth="0" w:num="1">
            <w:col w:w="11360"/>
          </w:cols>
          <w:pgMar w:left="240" w:top="419" w:right="299" w:bottom="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60"/>
          </w:cols>
          <w:pgMar w:left="240" w:top="419" w:right="299" w:bottom="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Stockholder Rights Plan</w:t>
      </w:r>
    </w:p>
    <w:p>
      <w:pPr>
        <w:spacing w:after="0" w:line="231"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In November 1996, the Company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Segment and Related Information</w:t>
      </w:r>
    </w:p>
    <w:p>
      <w:pPr>
        <w:spacing w:after="0" w:line="231" w:lineRule="exact"/>
        <w:rPr>
          <w:sz w:val="20"/>
          <w:szCs w:val="20"/>
          <w:color w:val="auto"/>
        </w:rPr>
      </w:pPr>
    </w:p>
    <w:p>
      <w:pPr>
        <w:ind w:left="520" w:right="120"/>
        <w:spacing w:after="0" w:line="288" w:lineRule="auto"/>
        <w:rPr>
          <w:sz w:val="20"/>
          <w:szCs w:val="20"/>
          <w:color w:val="auto"/>
        </w:rPr>
      </w:pPr>
      <w:r>
        <w:rPr>
          <w:rFonts w:ascii="Arial" w:cs="Arial" w:eastAsia="Arial" w:hAnsi="Arial"/>
          <w:sz w:val="16"/>
          <w:szCs w:val="16"/>
          <w:color w:val="auto"/>
        </w:rPr>
        <w:t xml:space="preserve">The Company has two reportable segments as defined by FASB Statement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The Company’s reportable segments are business units that offer different products and are managed separately because each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different technology and marketing strategies. The semiconductor equipment segment designs, manufactures and sells semiconductor test handling equipment to semiconductor manufacturers throughout the world and accounted for 75% of net sales in 2001. The television camera segment designs, manufactures and sells closed circuit television cameras and systems to original equipment manufacturers, contractors and government agencies and accounted for 17% of net sales in 2001. The Company’s other operating segments include a metal detection business and a microwave communications equipment company. Neither of these other segments met any of the quantitative thresholds for determining reportable segments. Information regarding industry segments for 2001, 2000 and 1999 contained in the Selected Financial Data on pages 9 and 10 is an integral part of these consolidated financial statements.</w:t>
      </w:r>
    </w:p>
    <w:p>
      <w:pPr>
        <w:spacing w:after="0" w:line="174" w:lineRule="exact"/>
        <w:rPr>
          <w:sz w:val="20"/>
          <w:szCs w:val="20"/>
          <w:color w:val="auto"/>
        </w:rPr>
      </w:pPr>
    </w:p>
    <w:p>
      <w:pPr>
        <w:ind w:left="520" w:right="440"/>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The Company allocates resources and evaluates the performance of segments based on pretax profit or loss from operations, excluding unusual gains or losses. Intersegment sales were not significant for any period.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Customers from the semiconductor equipment segment comprising 10% or greater of the Company’s net sales are summarized as follows:</w:t>
      </w:r>
    </w:p>
    <w:p>
      <w:pPr>
        <w:spacing w:after="0" w:line="200" w:lineRule="exact"/>
        <w:rPr>
          <w:sz w:val="20"/>
          <w:szCs w:val="20"/>
          <w:color w:val="auto"/>
        </w:rPr>
      </w:pP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EEEEEE"/>
          </w:tcPr>
          <w:p>
            <w:pPr>
              <w:spacing w:after="0"/>
              <w:rPr>
                <w:sz w:val="20"/>
                <w:szCs w:val="20"/>
                <w:color w:val="auto"/>
              </w:rPr>
            </w:pPr>
            <w:r>
              <w:rPr>
                <w:rFonts w:ascii="Arial" w:cs="Arial" w:eastAsia="Arial" w:hAnsi="Arial"/>
                <w:sz w:val="18"/>
                <w:szCs w:val="18"/>
                <w:color w:val="auto"/>
              </w:rPr>
              <w:t>Intel</w:t>
            </w:r>
          </w:p>
        </w:tc>
        <w:tc>
          <w:tcPr>
            <w:tcW w:w="760" w:type="dxa"/>
            <w:vAlign w:val="bottom"/>
            <w:shd w:val="clear" w:color="auto" w:fill="EEEEEE"/>
          </w:tcPr>
          <w:p>
            <w:pPr>
              <w:jc w:val="right"/>
              <w:ind w:right="37"/>
              <w:spacing w:after="0"/>
              <w:rPr>
                <w:sz w:val="20"/>
                <w:szCs w:val="20"/>
                <w:color w:val="auto"/>
              </w:rPr>
            </w:pPr>
            <w:r>
              <w:rPr>
                <w:rFonts w:ascii="Arial" w:cs="Arial" w:eastAsia="Arial" w:hAnsi="Arial"/>
                <w:sz w:val="18"/>
                <w:szCs w:val="18"/>
                <w:b w:val="1"/>
                <w:bCs w:val="1"/>
                <w:color w:val="auto"/>
              </w:rPr>
              <w:t>34%</w:t>
            </w: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Texas Instruments</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10%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EEEEE"/>
          </w:tcPr>
          <w:p>
            <w:pPr>
              <w:spacing w:after="0"/>
              <w:rPr>
                <w:sz w:val="20"/>
                <w:szCs w:val="20"/>
                <w:color w:val="auto"/>
              </w:rPr>
            </w:pPr>
            <w:r>
              <w:rPr>
                <w:rFonts w:ascii="Arial" w:cs="Arial" w:eastAsia="Arial" w:hAnsi="Arial"/>
                <w:sz w:val="18"/>
                <w:szCs w:val="18"/>
                <w:color w:val="auto"/>
              </w:rPr>
              <w:t>Motorola</w:t>
            </w:r>
          </w:p>
        </w:tc>
        <w:tc>
          <w:tcPr>
            <w:tcW w:w="760" w:type="dxa"/>
            <w:vAlign w:val="bottom"/>
            <w:shd w:val="clear" w:color="auto" w:fill="EEEEEE"/>
          </w:tcPr>
          <w:p>
            <w:pPr>
              <w:jc w:val="right"/>
              <w:ind w:right="37"/>
              <w:spacing w:after="0"/>
              <w:rPr>
                <w:sz w:val="20"/>
                <w:szCs w:val="20"/>
                <w:color w:val="auto"/>
              </w:rPr>
            </w:pPr>
            <w:r>
              <w:rPr>
                <w:rFonts w:ascii="Arial" w:cs="Arial" w:eastAsia="Arial" w:hAnsi="Arial"/>
                <w:sz w:val="18"/>
                <w:szCs w:val="18"/>
                <w:b w:val="1"/>
                <w:bCs w:val="1"/>
                <w:color w:val="auto"/>
              </w:rPr>
              <w:t>1%</w:t>
            </w: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20" w:right="340"/>
        <w:spacing w:after="0" w:line="268"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5"/>
                <w:szCs w:val="15"/>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color w:val="auto"/>
              </w:rPr>
              <w:t>2000</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1999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4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61,495</w:t>
            </w:r>
          </w:p>
        </w:tc>
        <w:tc>
          <w:tcPr>
            <w:tcW w:w="5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$107,770</w:t>
            </w:r>
          </w:p>
        </w:tc>
        <w:tc>
          <w:tcPr>
            <w:tcW w:w="5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76,715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Malaysia</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21,009</w:t>
            </w:r>
          </w:p>
        </w:tc>
        <w:tc>
          <w:tcPr>
            <w:tcW w:w="5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45,204</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18,822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Philippines</w:t>
            </w: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11,271</w:t>
            </w:r>
          </w:p>
        </w:tc>
        <w:tc>
          <w:tcPr>
            <w:tcW w:w="5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28,451</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13,363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Taiwan</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5,307</w:t>
            </w:r>
          </w:p>
        </w:tc>
        <w:tc>
          <w:tcPr>
            <w:tcW w:w="5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24,553</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19,849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Singapore</w:t>
            </w: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4,087</w:t>
            </w:r>
          </w:p>
        </w:tc>
        <w:tc>
          <w:tcPr>
            <w:tcW w:w="5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17,690</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25,616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China</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5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12,444</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21,351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Other foreign countries</w:t>
            </w: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21,568</w:t>
            </w:r>
          </w:p>
        </w:tc>
        <w:tc>
          <w:tcPr>
            <w:tcW w:w="54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53,452</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126,550</w:t>
            </w:r>
          </w:p>
        </w:tc>
        <w:tc>
          <w:tcPr>
            <w:tcW w:w="54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$289,564</w:t>
            </w:r>
          </w:p>
        </w:tc>
        <w:tc>
          <w:tcPr>
            <w:tcW w:w="5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208,780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9" w:right="279" w:bottom="144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Employee Benefit Plans</w:t>
      </w:r>
    </w:p>
    <w:p>
      <w:pPr>
        <w:spacing w:after="0" w:line="225" w:lineRule="exact"/>
        <w:rPr>
          <w:sz w:val="20"/>
          <w:szCs w:val="20"/>
          <w:color w:val="auto"/>
        </w:rPr>
      </w:pPr>
    </w:p>
    <w:p>
      <w:pPr>
        <w:jc w:val="both"/>
        <w:ind w:left="520" w:right="140"/>
        <w:spacing w:after="0" w:line="310" w:lineRule="auto"/>
        <w:rPr>
          <w:sz w:val="20"/>
          <w:szCs w:val="20"/>
          <w:color w:val="auto"/>
        </w:rPr>
      </w:pPr>
      <w:r>
        <w:rPr>
          <w:rFonts w:ascii="Arial" w:cs="Arial" w:eastAsia="Arial" w:hAnsi="Arial"/>
          <w:sz w:val="16"/>
          <w:szCs w:val="16"/>
          <w:b w:val="1"/>
          <w:bCs w:val="1"/>
          <w:color w:val="auto"/>
        </w:rPr>
        <w:t xml:space="preserve">Retirement Plans </w:t>
      </w:r>
      <w:r>
        <w:rPr>
          <w:rFonts w:ascii="Arial" w:cs="Arial" w:eastAsia="Arial" w:hAnsi="Arial"/>
          <w:sz w:val="16"/>
          <w:szCs w:val="16"/>
          <w:color w:val="auto"/>
        </w:rPr>
        <w:t>- The Company has voluntary defined contribution retirement 401(k) plans whereby it will match contributions up to 4% of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Company contributions to the plans were $1,380,000 in 2001, $1,550,000 in 2000, $1,199,000 in 1999. Certain of the Company’s foreign employees participate in a defined benefit pension plan. The related expense and benefit obligation of this plan were not significant.</w:t>
      </w:r>
    </w:p>
    <w:p>
      <w:pPr>
        <w:spacing w:after="0" w:line="151" w:lineRule="exact"/>
        <w:rPr>
          <w:sz w:val="20"/>
          <w:szCs w:val="20"/>
          <w:color w:val="auto"/>
        </w:rPr>
      </w:pPr>
    </w:p>
    <w:p>
      <w:pPr>
        <w:ind w:left="520"/>
        <w:spacing w:after="0" w:line="313" w:lineRule="auto"/>
        <w:rPr>
          <w:sz w:val="20"/>
          <w:szCs w:val="20"/>
          <w:color w:val="auto"/>
        </w:rPr>
      </w:pPr>
      <w:r>
        <w:rPr>
          <w:rFonts w:ascii="Arial" w:cs="Arial" w:eastAsia="Arial" w:hAnsi="Arial"/>
          <w:sz w:val="15"/>
          <w:szCs w:val="15"/>
          <w:b w:val="1"/>
          <w:bCs w:val="1"/>
          <w:color w:val="auto"/>
        </w:rPr>
        <w:t xml:space="preserve">Retiree Medical Benefits </w:t>
      </w:r>
      <w:r>
        <w:rPr>
          <w:rFonts w:ascii="Arial" w:cs="Arial" w:eastAsia="Arial" w:hAnsi="Arial"/>
          <w:sz w:val="15"/>
          <w:szCs w:val="15"/>
          <w:color w:val="auto"/>
        </w:rPr>
        <w:t>- The Company provides post-retirement health benefits under a noncontributory plan to certain executives and directors. The</w:t>
      </w:r>
      <w:r>
        <w:rPr>
          <w:rFonts w:ascii="Arial" w:cs="Arial" w:eastAsia="Arial" w:hAnsi="Arial"/>
          <w:sz w:val="15"/>
          <w:szCs w:val="15"/>
          <w:b w:val="1"/>
          <w:bCs w:val="1"/>
          <w:color w:val="auto"/>
        </w:rPr>
        <w:t xml:space="preserve"> </w:t>
      </w:r>
      <w:r>
        <w:rPr>
          <w:rFonts w:ascii="Arial" w:cs="Arial" w:eastAsia="Arial" w:hAnsi="Arial"/>
          <w:sz w:val="15"/>
          <w:szCs w:val="15"/>
          <w:color w:val="auto"/>
        </w:rPr>
        <w:t>net periodic benefit cost was $80,000, $76,000 and $80,000, in 2001, 2000 and 1999, respectively. The Company funds benefits as costs are incurred. Benefits paid and other changes in the benefit obligation for each of the three years in the period ended December 31, 2001 were not significant. The weighted average discount rate used in determining the accumulated post-retirement benefit obligation was 7.0% in 2001, 2000 and 1999. Annual rates of increase of the cost of health benefits were assumed to be 8.50% for 2002. These rates were then assumed to decrease 0.25% per year to 6% in 2012 and remain level thereafter. A 1% increase (decrease) in health care cost trend rates would increase (decrease) the 2001 net periodic benefit cost by approximately $14,000 ($11,000) and the accumulated post-retirement benefit obligation as of December 31, 2001 by approximately $161,000 ($133,000).</w:t>
      </w:r>
    </w:p>
    <w:p>
      <w:pPr>
        <w:spacing w:after="0" w:line="154" w:lineRule="exact"/>
        <w:rPr>
          <w:sz w:val="20"/>
          <w:szCs w:val="20"/>
          <w:color w:val="auto"/>
        </w:rPr>
      </w:pPr>
    </w:p>
    <w:p>
      <w:pPr>
        <w:ind w:left="520" w:right="20"/>
        <w:spacing w:after="0" w:line="258"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provides for the issuance of a maximum of 1,000,000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Under the Plan, eligible employees may purchase shares of common stock through payroll deductions. The price paid for the common stock is equal to 85% of the fair market value of the Company’s Common Stock on specified dates. In 2001, 2000 and 1999, 90,512, 85,994 and 74,995 shares, respectively, were issued under the Plan.</w:t>
      </w:r>
    </w:p>
    <w:p>
      <w:pPr>
        <w:spacing w:after="0" w:line="196" w:lineRule="exact"/>
        <w:rPr>
          <w:sz w:val="20"/>
          <w:szCs w:val="20"/>
          <w:color w:val="auto"/>
        </w:rPr>
      </w:pPr>
    </w:p>
    <w:p>
      <w:pPr>
        <w:ind w:left="520" w:right="180"/>
        <w:spacing w:after="0" w:line="306" w:lineRule="auto"/>
        <w:rPr>
          <w:sz w:val="20"/>
          <w:szCs w:val="20"/>
          <w:color w:val="auto"/>
        </w:rPr>
      </w:pPr>
      <w:r>
        <w:rPr>
          <w:rFonts w:ascii="Arial" w:cs="Arial" w:eastAsia="Arial" w:hAnsi="Arial"/>
          <w:sz w:val="16"/>
          <w:szCs w:val="16"/>
          <w:color w:val="auto"/>
        </w:rPr>
        <w:t>The estimated weighted average fair value of purchase rights granted in 2001, 2000 and 1999 was $5.89, $8.52 and $4.39, respectively. The fair value of the purchase rights was estimated using the Black-Scholes option-pricing model with the following assumptions for 2001, 2000 and 1999: risk-free interest rates ranging from 3.7% to 6.4%; dividend yield of 1%; expected life of 6 months and volatility ranging from 56% to 62%.</w:t>
      </w:r>
    </w:p>
    <w:p>
      <w:pPr>
        <w:spacing w:after="0" w:line="155" w:lineRule="exact"/>
        <w:rPr>
          <w:sz w:val="20"/>
          <w:szCs w:val="20"/>
          <w:color w:val="auto"/>
        </w:rPr>
      </w:pPr>
    </w:p>
    <w:p>
      <w:pPr>
        <w:ind w:left="520" w:right="140"/>
        <w:spacing w:after="0" w:line="301"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Under the Company’s stock option plans, options may be granted to employees and outside directors to purchase a fixed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Company’s Common Stock at prices not less than 100% of the fair market value at the date of grant. All options become exercisable one-fourth annually beginning one year after the grant date and expire 10 years from the grant date. At December 31, 2001, 253,090 and 200,000 shares were available for future grants under the employee and outside director plans, respectively.</w:t>
      </w:r>
    </w:p>
    <w:p>
      <w:pPr>
        <w:spacing w:after="0" w:line="163" w:lineRule="exact"/>
        <w:rPr>
          <w:sz w:val="20"/>
          <w:szCs w:val="20"/>
          <w:color w:val="auto"/>
        </w:rPr>
      </w:pPr>
    </w:p>
    <w:p>
      <w:pPr>
        <w:jc w:val="both"/>
        <w:ind w:left="520" w:right="40"/>
        <w:spacing w:after="0" w:line="306" w:lineRule="auto"/>
        <w:rPr>
          <w:sz w:val="20"/>
          <w:szCs w:val="20"/>
          <w:color w:val="auto"/>
        </w:rPr>
      </w:pPr>
      <w:r>
        <w:rPr>
          <w:rFonts w:ascii="Arial" w:cs="Arial" w:eastAsia="Arial" w:hAnsi="Arial"/>
          <w:sz w:val="16"/>
          <w:szCs w:val="16"/>
          <w:color w:val="auto"/>
        </w:rPr>
        <w:t>The estimated weighted average fair value of options granted during 2001, 2000 and 1999 was $7.08, $8.03 and $6.04, respectively. The fair value of each option grant was estimated on the grant date using the Black-Scholes option-pricing model with the following assumptions for 2001, 2000 and 1999: risk-free interest rates ranging from 3.8% to 6.7%; dividend yield of 1%; expected life of 4 to 5 years and volatility ranging from 56% to 62%.</w:t>
      </w:r>
    </w:p>
    <w:p>
      <w:pPr>
        <w:spacing w:after="0" w:line="161"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Had compensation cost for the Company’s stock option and purchase plan grants from 1995 through 2001 been determined based on the fair value at the date of grant accounting consistent with FASB Statement No. 123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pro forma net income (loss) and earnings per share would have been as follows:</w:t>
      </w:r>
    </w:p>
    <w:p>
      <w:pPr>
        <w:spacing w:after="0" w:line="200" w:lineRule="exact"/>
        <w:rPr>
          <w:sz w:val="20"/>
          <w:szCs w:val="20"/>
          <w:color w:val="auto"/>
        </w:rPr>
      </w:pP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1280" w:type="dxa"/>
            <w:vAlign w:val="bottom"/>
          </w:tcPr>
          <w:p>
            <w:pPr>
              <w:jc w:val="right"/>
              <w:ind w:right="437"/>
              <w:spacing w:after="0"/>
              <w:rPr>
                <w:sz w:val="20"/>
                <w:szCs w:val="20"/>
                <w:color w:val="auto"/>
              </w:rPr>
            </w:pPr>
            <w:r>
              <w:rPr>
                <w:rFonts w:ascii="Arial" w:cs="Arial" w:eastAsia="Arial" w:hAnsi="Arial"/>
                <w:sz w:val="14"/>
                <w:szCs w:val="14"/>
                <w:b w:val="1"/>
                <w:bCs w:val="1"/>
                <w:color w:val="auto"/>
              </w:rPr>
              <w:t>2001</w:t>
            </w:r>
          </w:p>
        </w:tc>
        <w:tc>
          <w:tcPr>
            <w:tcW w:w="1560" w:type="dxa"/>
            <w:vAlign w:val="bottom"/>
            <w:gridSpan w:val="2"/>
          </w:tcPr>
          <w:p>
            <w:pPr>
              <w:jc w:val="right"/>
              <w:ind w:right="420"/>
              <w:spacing w:after="0"/>
              <w:rPr>
                <w:sz w:val="20"/>
                <w:szCs w:val="20"/>
                <w:color w:val="auto"/>
              </w:rPr>
            </w:pPr>
            <w:r>
              <w:rPr>
                <w:rFonts w:ascii="Arial" w:cs="Arial" w:eastAsia="Arial" w:hAnsi="Arial"/>
                <w:sz w:val="14"/>
                <w:szCs w:val="14"/>
                <w:color w:val="auto"/>
              </w:rPr>
              <w:t>2000</w:t>
            </w:r>
          </w:p>
        </w:tc>
        <w:tc>
          <w:tcPr>
            <w:tcW w:w="1580" w:type="dxa"/>
            <w:vAlign w:val="bottom"/>
            <w:gridSpan w:val="2"/>
          </w:tcPr>
          <w:p>
            <w:pPr>
              <w:jc w:val="right"/>
              <w:ind w:right="440"/>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95"/>
        </w:trPr>
        <w:tc>
          <w:tcPr>
            <w:tcW w:w="58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6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1280" w:type="dxa"/>
            <w:vAlign w:val="bottom"/>
            <w:shd w:val="clear" w:color="auto" w:fill="EEEEEE"/>
          </w:tcPr>
          <w:p>
            <w:pPr>
              <w:jc w:val="right"/>
              <w:ind w:right="317"/>
              <w:spacing w:after="0"/>
              <w:rPr>
                <w:sz w:val="20"/>
                <w:szCs w:val="20"/>
                <w:color w:val="auto"/>
              </w:rPr>
            </w:pPr>
            <w:r>
              <w:rPr>
                <w:rFonts w:ascii="Arial" w:cs="Arial" w:eastAsia="Arial" w:hAnsi="Arial"/>
                <w:sz w:val="18"/>
                <w:szCs w:val="18"/>
                <w:b w:val="1"/>
                <w:bCs w:val="1"/>
                <w:color w:val="auto"/>
              </w:rPr>
              <w:t>$(9,597)</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$30,078</w:t>
            </w:r>
          </w:p>
        </w:tc>
        <w:tc>
          <w:tcPr>
            <w:tcW w:w="15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 forma earnings (loss) per share:</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EEEEEE"/>
          </w:tcPr>
          <w:p>
            <w:pPr>
              <w:jc w:val="right"/>
              <w:ind w:right="317"/>
              <w:spacing w:after="0"/>
              <w:rPr>
                <w:sz w:val="20"/>
                <w:szCs w:val="20"/>
                <w:color w:val="auto"/>
              </w:rPr>
            </w:pPr>
            <w:r>
              <w:rPr>
                <w:rFonts w:ascii="Arial" w:cs="Arial" w:eastAsia="Arial" w:hAnsi="Arial"/>
                <w:sz w:val="18"/>
                <w:szCs w:val="18"/>
                <w:b w:val="1"/>
                <w:bCs w:val="1"/>
                <w:color w:val="auto"/>
              </w:rPr>
              <w:t>(.47)</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1.49</w:t>
            </w:r>
          </w:p>
        </w:tc>
        <w:tc>
          <w:tcPr>
            <w:tcW w:w="15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8"/>
        </w:trPr>
        <w:tc>
          <w:tcPr>
            <w:tcW w:w="58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80" w:type="dxa"/>
            <w:vAlign w:val="bottom"/>
          </w:tcPr>
          <w:p>
            <w:pPr>
              <w:jc w:val="right"/>
              <w:ind w:right="317"/>
              <w:spacing w:after="0"/>
              <w:rPr>
                <w:sz w:val="20"/>
                <w:szCs w:val="20"/>
                <w:color w:val="auto"/>
              </w:rPr>
            </w:pPr>
            <w:r>
              <w:rPr>
                <w:rFonts w:ascii="Arial" w:cs="Arial" w:eastAsia="Arial" w:hAnsi="Arial"/>
                <w:sz w:val="18"/>
                <w:szCs w:val="18"/>
                <w:b w:val="1"/>
                <w:bCs w:val="1"/>
                <w:color w:val="auto"/>
              </w:rPr>
              <w:t>(.47)</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1.45</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20" w:right="120"/>
        <w:spacing w:after="0" w:line="256"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9"/>
              </w:rPr>
              <w:t>2001</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4"/>
                <w:szCs w:val="14"/>
                <w:color w:val="auto"/>
                <w:w w:val="96"/>
              </w:rPr>
              <w:t>2000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4"/>
                <w:szCs w:val="14"/>
                <w:color w:val="auto"/>
                <w:w w:val="96"/>
              </w:rPr>
              <w:t>1999</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Wt. Avg.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color w:val="auto"/>
              </w:rPr>
              <w:t>Wt. Avg.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220" w:type="dxa"/>
            <w:vAlign w:val="bottom"/>
          </w:tcPr>
          <w:p>
            <w:pPr>
              <w:spacing w:after="0"/>
              <w:rPr>
                <w:sz w:val="15"/>
                <w:szCs w:val="15"/>
                <w:color w:val="auto"/>
              </w:rPr>
            </w:pPr>
          </w:p>
        </w:tc>
        <w:tc>
          <w:tcPr>
            <w:tcW w:w="900" w:type="dxa"/>
            <w:vAlign w:val="bottom"/>
            <w:gridSpan w:val="3"/>
          </w:tcPr>
          <w:p>
            <w:pPr>
              <w:ind w:left="180"/>
              <w:spacing w:after="0"/>
              <w:rPr>
                <w:sz w:val="20"/>
                <w:szCs w:val="20"/>
                <w:color w:val="auto"/>
              </w:rPr>
            </w:pPr>
            <w:r>
              <w:rPr>
                <w:rFonts w:ascii="Arial" w:cs="Arial" w:eastAsia="Arial" w:hAnsi="Arial"/>
                <w:sz w:val="14"/>
                <w:szCs w:val="14"/>
                <w:b w:val="1"/>
                <w:bCs w:val="1"/>
                <w:color w:val="auto"/>
              </w:rPr>
              <w:t>Ex. Price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w w:val="81"/>
              </w:rPr>
              <w:t>Shares</w:t>
            </w:r>
          </w:p>
        </w:tc>
        <w:tc>
          <w:tcPr>
            <w:tcW w:w="240" w:type="dxa"/>
            <w:vAlign w:val="bottom"/>
          </w:tcPr>
          <w:p>
            <w:pPr>
              <w:spacing w:after="0"/>
              <w:rPr>
                <w:sz w:val="15"/>
                <w:szCs w:val="15"/>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color w:val="auto"/>
              </w:rPr>
              <w:t>Ex. Price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w w:val="81"/>
              </w:rPr>
              <w:t>Shares</w:t>
            </w:r>
          </w:p>
        </w:tc>
        <w:tc>
          <w:tcPr>
            <w:tcW w:w="240" w:type="dxa"/>
            <w:vAlign w:val="bottom"/>
          </w:tcPr>
          <w:p>
            <w:pPr>
              <w:spacing w:after="0"/>
              <w:rPr>
                <w:sz w:val="15"/>
                <w:szCs w:val="15"/>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95"/>
        </w:trPr>
        <w:tc>
          <w:tcPr>
            <w:tcW w:w="41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1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Outstanding, beginning of year</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2,238</w:t>
            </w:r>
          </w:p>
        </w:tc>
        <w:tc>
          <w:tcPr>
            <w:tcW w:w="1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$13.04</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1,911</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11.42</w:t>
            </w:r>
          </w:p>
        </w:tc>
        <w:tc>
          <w:tcPr>
            <w:tcW w:w="24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545</w:t>
            </w:r>
          </w:p>
        </w:tc>
        <w:tc>
          <w:tcPr>
            <w:tcW w:w="1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$14.81</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16.24</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12.98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$10.67</w:t>
            </w:r>
          </w:p>
        </w:tc>
        <w:tc>
          <w:tcPr>
            <w:tcW w:w="24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(292)</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(328)</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$14.54</w:t>
            </w:r>
          </w:p>
        </w:tc>
        <w:tc>
          <w:tcPr>
            <w:tcW w:w="240" w:type="dxa"/>
            <w:vAlign w:val="bottom"/>
          </w:tcPr>
          <w:p>
            <w:pPr>
              <w:spacing w:after="0"/>
              <w:rPr>
                <w:sz w:val="19"/>
                <w:szCs w:val="19"/>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(79)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16.78</w:t>
            </w:r>
          </w:p>
        </w:tc>
        <w:tc>
          <w:tcPr>
            <w:tcW w:w="240" w:type="dxa"/>
            <w:vAlign w:val="bottom"/>
          </w:tcPr>
          <w:p>
            <w:pPr>
              <w:spacing w:after="0"/>
              <w:rPr>
                <w:sz w:val="19"/>
                <w:szCs w:val="19"/>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(175)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Outstanding, end of year</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2,452</w:t>
            </w:r>
          </w:p>
        </w:tc>
        <w:tc>
          <w:tcPr>
            <w:tcW w:w="1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$13.41</w:t>
            </w: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2,238</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13.04</w:t>
            </w:r>
          </w:p>
        </w:tc>
        <w:tc>
          <w:tcPr>
            <w:tcW w:w="24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11.42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1,036</w:t>
            </w:r>
          </w:p>
        </w:tc>
        <w:tc>
          <w:tcPr>
            <w:tcW w:w="18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$11.90</w:t>
            </w:r>
          </w:p>
        </w:tc>
        <w:tc>
          <w:tcPr>
            <w:tcW w:w="24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10.53</w:t>
            </w:r>
          </w:p>
        </w:tc>
        <w:tc>
          <w:tcPr>
            <w:tcW w:w="2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stock options outstanding at December 31, 2001 is as follows:</w:t>
      </w:r>
    </w:p>
    <w:p>
      <w:pPr>
        <w:spacing w:after="0" w:line="200" w:lineRule="exact"/>
        <w:rPr>
          <w:sz w:val="20"/>
          <w:szCs w:val="20"/>
          <w:color w:val="auto"/>
        </w:rPr>
      </w:pP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color w:val="auto"/>
              </w:rPr>
              <w:t>Options Outstanding</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w w:val="89"/>
              </w:rPr>
              <w:t>Options Exercisable</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(options in thousands)</w:t>
            </w: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00" w:type="dxa"/>
            <w:vAlign w:val="bottom"/>
            <w:gridSpan w:val="2"/>
            <w:vMerge w:val="continue"/>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gridSpan w:val="3"/>
            <w:vMerge w:val="restart"/>
          </w:tcPr>
          <w:p>
            <w:pPr>
              <w:jc w:val="center"/>
              <w:ind w:right="20"/>
              <w:spacing w:after="0"/>
              <w:rPr>
                <w:sz w:val="20"/>
                <w:szCs w:val="20"/>
                <w:color w:val="auto"/>
              </w:rPr>
            </w:pPr>
            <w:r>
              <w:rPr>
                <w:rFonts w:ascii="Arial" w:cs="Arial" w:eastAsia="Arial" w:hAnsi="Arial"/>
                <w:sz w:val="14"/>
                <w:szCs w:val="14"/>
                <w:color w:val="auto"/>
                <w:w w:val="88"/>
              </w:rPr>
              <w:t>Number</w:t>
            </w:r>
          </w:p>
        </w:tc>
        <w:tc>
          <w:tcPr>
            <w:tcW w:w="1980" w:type="dxa"/>
            <w:vAlign w:val="bottom"/>
            <w:gridSpan w:val="5"/>
            <w:vMerge w:val="restart"/>
          </w:tcPr>
          <w:p>
            <w:pPr>
              <w:jc w:val="center"/>
              <w:ind w:right="20"/>
              <w:spacing w:after="0"/>
              <w:rPr>
                <w:sz w:val="20"/>
                <w:szCs w:val="20"/>
                <w:color w:val="auto"/>
              </w:rPr>
            </w:pPr>
            <w:r>
              <w:rPr>
                <w:rFonts w:ascii="Arial" w:cs="Arial" w:eastAsia="Arial" w:hAnsi="Arial"/>
                <w:sz w:val="14"/>
                <w:szCs w:val="14"/>
                <w:color w:val="auto"/>
                <w:w w:val="91"/>
              </w:rPr>
              <w:t>Approximate Wt. Avg.</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color w:val="auto"/>
                <w:w w:val="88"/>
              </w:rPr>
              <w:t>Number</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9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87"/>
              </w:rPr>
              <w:t>Range of</w:t>
            </w: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380" w:type="dxa"/>
            <w:vAlign w:val="bottom"/>
          </w:tcPr>
          <w:p>
            <w:pPr>
              <w:spacing w:after="0"/>
              <w:rPr>
                <w:sz w:val="12"/>
                <w:szCs w:val="12"/>
                <w:color w:val="auto"/>
              </w:rPr>
            </w:pPr>
          </w:p>
        </w:tc>
        <w:tc>
          <w:tcPr>
            <w:tcW w:w="1600" w:type="dxa"/>
            <w:vAlign w:val="bottom"/>
            <w:gridSpan w:val="4"/>
          </w:tcPr>
          <w:p>
            <w:pPr>
              <w:jc w:val="center"/>
              <w:ind w:right="400"/>
              <w:spacing w:after="0" w:line="149" w:lineRule="exact"/>
              <w:rPr>
                <w:sz w:val="20"/>
                <w:szCs w:val="20"/>
                <w:color w:val="auto"/>
              </w:rPr>
            </w:pPr>
            <w:r>
              <w:rPr>
                <w:rFonts w:ascii="Arial" w:cs="Arial" w:eastAsia="Arial" w:hAnsi="Arial"/>
                <w:sz w:val="14"/>
                <w:szCs w:val="14"/>
                <w:color w:val="auto"/>
                <w:w w:val="89"/>
              </w:rPr>
              <w:t>Remaining</w:t>
            </w:r>
          </w:p>
        </w:tc>
        <w:tc>
          <w:tcPr>
            <w:tcW w:w="12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Avg.</w:t>
            </w:r>
          </w:p>
        </w:tc>
        <w:tc>
          <w:tcPr>
            <w:tcW w:w="38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Exercisable</w:t>
            </w:r>
          </w:p>
        </w:tc>
        <w:tc>
          <w:tcPr>
            <w:tcW w:w="380" w:type="dxa"/>
            <w:vAlign w:val="bottom"/>
          </w:tcPr>
          <w:p>
            <w:pPr>
              <w:spacing w:after="0"/>
              <w:rPr>
                <w:sz w:val="12"/>
                <w:szCs w:val="12"/>
                <w:color w:val="auto"/>
              </w:rPr>
            </w:pPr>
          </w:p>
        </w:tc>
        <w:tc>
          <w:tcPr>
            <w:tcW w:w="12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Avg.</w:t>
            </w:r>
          </w:p>
        </w:tc>
        <w:tc>
          <w:tcPr>
            <w:tcW w:w="0" w:type="dxa"/>
            <w:vAlign w:val="bottom"/>
          </w:tcPr>
          <w:p>
            <w:pPr>
              <w:spacing w:after="0"/>
              <w:rPr>
                <w:sz w:val="1"/>
                <w:szCs w:val="1"/>
                <w:color w:val="auto"/>
              </w:rPr>
            </w:pPr>
          </w:p>
        </w:tc>
      </w:tr>
      <w:tr>
        <w:trPr>
          <w:trHeight w:val="172"/>
        </w:trPr>
        <w:tc>
          <w:tcPr>
            <w:tcW w:w="2760" w:type="dxa"/>
            <w:vAlign w:val="bottom"/>
            <w:gridSpan w:val="4"/>
          </w:tcPr>
          <w:p>
            <w:pPr>
              <w:jc w:val="center"/>
              <w:ind w:right="380"/>
              <w:spacing w:after="0"/>
              <w:rPr>
                <w:sz w:val="20"/>
                <w:szCs w:val="20"/>
                <w:color w:val="auto"/>
              </w:rPr>
            </w:pPr>
            <w:r>
              <w:rPr>
                <w:rFonts w:ascii="Arial" w:cs="Arial" w:eastAsia="Arial" w:hAnsi="Arial"/>
                <w:sz w:val="14"/>
                <w:szCs w:val="14"/>
                <w:color w:val="auto"/>
                <w:w w:val="84"/>
              </w:rPr>
              <w:t>Exercise Prices</w:t>
            </w:r>
          </w:p>
        </w:tc>
        <w:tc>
          <w:tcPr>
            <w:tcW w:w="1140" w:type="dxa"/>
            <w:vAlign w:val="bottom"/>
            <w:gridSpan w:val="3"/>
          </w:tcPr>
          <w:p>
            <w:pPr>
              <w:jc w:val="center"/>
              <w:spacing w:after="0"/>
              <w:rPr>
                <w:sz w:val="20"/>
                <w:szCs w:val="20"/>
                <w:color w:val="auto"/>
              </w:rPr>
            </w:pPr>
            <w:r>
              <w:rPr>
                <w:rFonts w:ascii="Arial" w:cs="Arial" w:eastAsia="Arial" w:hAnsi="Arial"/>
                <w:sz w:val="14"/>
                <w:szCs w:val="14"/>
                <w:color w:val="auto"/>
                <w:w w:val="88"/>
              </w:rPr>
              <w:t>at 12/31/01</w:t>
            </w:r>
          </w:p>
        </w:tc>
        <w:tc>
          <w:tcPr>
            <w:tcW w:w="380" w:type="dxa"/>
            <w:vAlign w:val="bottom"/>
          </w:tcPr>
          <w:p>
            <w:pPr>
              <w:spacing w:after="0"/>
              <w:rPr>
                <w:sz w:val="14"/>
                <w:szCs w:val="14"/>
                <w:color w:val="auto"/>
              </w:rPr>
            </w:pPr>
          </w:p>
        </w:tc>
        <w:tc>
          <w:tcPr>
            <w:tcW w:w="1600" w:type="dxa"/>
            <w:vAlign w:val="bottom"/>
            <w:gridSpan w:val="4"/>
          </w:tcPr>
          <w:p>
            <w:pPr>
              <w:jc w:val="center"/>
              <w:ind w:right="400"/>
              <w:spacing w:after="0"/>
              <w:rPr>
                <w:sz w:val="20"/>
                <w:szCs w:val="20"/>
                <w:color w:val="auto"/>
              </w:rPr>
            </w:pPr>
            <w:r>
              <w:rPr>
                <w:rFonts w:ascii="Arial" w:cs="Arial" w:eastAsia="Arial" w:hAnsi="Arial"/>
                <w:sz w:val="14"/>
                <w:szCs w:val="14"/>
                <w:color w:val="auto"/>
                <w:w w:val="88"/>
              </w:rPr>
              <w:t>Life (Years)</w:t>
            </w:r>
          </w:p>
        </w:tc>
        <w:tc>
          <w:tcPr>
            <w:tcW w:w="1240" w:type="dxa"/>
            <w:vAlign w:val="bottom"/>
            <w:gridSpan w:val="3"/>
          </w:tcPr>
          <w:p>
            <w:pPr>
              <w:ind w:left="360"/>
              <w:spacing w:after="0"/>
              <w:rPr>
                <w:sz w:val="20"/>
                <w:szCs w:val="20"/>
                <w:color w:val="auto"/>
              </w:rPr>
            </w:pPr>
            <w:r>
              <w:rPr>
                <w:rFonts w:ascii="Arial" w:cs="Arial" w:eastAsia="Arial" w:hAnsi="Arial"/>
                <w:sz w:val="14"/>
                <w:szCs w:val="14"/>
                <w:color w:val="auto"/>
              </w:rPr>
              <w:t>Ex. Price</w:t>
            </w:r>
          </w:p>
        </w:tc>
        <w:tc>
          <w:tcPr>
            <w:tcW w:w="3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w w:val="88"/>
              </w:rPr>
              <w:t>at 12/31/01</w:t>
            </w:r>
          </w:p>
        </w:tc>
        <w:tc>
          <w:tcPr>
            <w:tcW w:w="380" w:type="dxa"/>
            <w:vAlign w:val="bottom"/>
          </w:tcPr>
          <w:p>
            <w:pPr>
              <w:spacing w:after="0"/>
              <w:rPr>
                <w:sz w:val="14"/>
                <w:szCs w:val="14"/>
                <w:color w:val="auto"/>
              </w:rPr>
            </w:pPr>
          </w:p>
        </w:tc>
        <w:tc>
          <w:tcPr>
            <w:tcW w:w="1240" w:type="dxa"/>
            <w:vAlign w:val="bottom"/>
            <w:gridSpan w:val="3"/>
          </w:tcPr>
          <w:p>
            <w:pPr>
              <w:ind w:left="360"/>
              <w:spacing w:after="0"/>
              <w:rPr>
                <w:sz w:val="20"/>
                <w:szCs w:val="20"/>
                <w:color w:val="auto"/>
              </w:rPr>
            </w:pPr>
            <w:r>
              <w:rPr>
                <w:rFonts w:ascii="Arial" w:cs="Arial" w:eastAsia="Arial" w:hAnsi="Arial"/>
                <w:sz w:val="14"/>
                <w:szCs w:val="14"/>
                <w:color w:val="auto"/>
              </w:rPr>
              <w:t>Ex. Price</w:t>
            </w:r>
          </w:p>
        </w:tc>
        <w:tc>
          <w:tcPr>
            <w:tcW w:w="0" w:type="dxa"/>
            <w:vAlign w:val="bottom"/>
          </w:tcPr>
          <w:p>
            <w:pPr>
              <w:spacing w:after="0"/>
              <w:rPr>
                <w:sz w:val="1"/>
                <w:szCs w:val="1"/>
                <w:color w:val="auto"/>
              </w:rPr>
            </w:pPr>
          </w:p>
        </w:tc>
      </w:tr>
      <w:tr>
        <w:trPr>
          <w:trHeight w:val="95"/>
        </w:trPr>
        <w:tc>
          <w:tcPr>
            <w:tcW w:w="2380" w:type="dxa"/>
            <w:vAlign w:val="bottom"/>
            <w:tcBorders>
              <w:bottom w:val="single" w:sz="8" w:color="808080"/>
            </w:tcBorders>
            <w:gridSpan w:val="3"/>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60" w:type="dxa"/>
            <w:vAlign w:val="bottom"/>
            <w:gridSpan w:val="4"/>
            <w:shd w:val="clear" w:color="auto" w:fill="EEEEEE"/>
          </w:tcPr>
          <w:p>
            <w:pPr>
              <w:jc w:val="center"/>
              <w:ind w:right="380"/>
              <w:spacing w:after="0"/>
              <w:rPr>
                <w:sz w:val="20"/>
                <w:szCs w:val="20"/>
                <w:color w:val="auto"/>
              </w:rPr>
            </w:pPr>
            <w:r>
              <w:rPr>
                <w:rFonts w:ascii="Arial" w:cs="Arial" w:eastAsia="Arial" w:hAnsi="Arial"/>
                <w:sz w:val="18"/>
                <w:szCs w:val="18"/>
                <w:color w:val="auto"/>
                <w:w w:val="95"/>
              </w:rPr>
              <w:t>$ 4.03 — $ 7.69</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4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w w:val="97"/>
              </w:rPr>
              <w:t>13.88</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1,582</w:t>
            </w:r>
          </w:p>
        </w:tc>
        <w:tc>
          <w:tcPr>
            <w:tcW w:w="3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12.11</w:t>
            </w:r>
          </w:p>
        </w:tc>
        <w:tc>
          <w:tcPr>
            <w:tcW w:w="4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812</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w w:val="97"/>
              </w:rPr>
              <w:t>27.69</w:t>
            </w: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16.12</w:t>
            </w:r>
          </w:p>
        </w:tc>
        <w:tc>
          <w:tcPr>
            <w:tcW w:w="4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19.97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w w:val="97"/>
              </w:rPr>
              <w:t>38.81</w:t>
            </w: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37.93</w:t>
            </w:r>
          </w:p>
        </w:tc>
        <w:tc>
          <w:tcPr>
            <w:tcW w:w="4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37.93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2,452</w:t>
            </w:r>
          </w:p>
        </w:tc>
        <w:tc>
          <w:tcPr>
            <w:tcW w:w="3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13.41</w:t>
            </w:r>
          </w:p>
        </w:tc>
        <w:tc>
          <w:tcPr>
            <w:tcW w:w="4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1,036</w:t>
            </w:r>
          </w:p>
        </w:tc>
        <w:tc>
          <w:tcPr>
            <w:tcW w:w="3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11.90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Commitments and Contingencies</w:t>
      </w:r>
    </w:p>
    <w:p>
      <w:pPr>
        <w:spacing w:after="0" w:line="231" w:lineRule="exact"/>
        <w:rPr>
          <w:sz w:val="20"/>
          <w:szCs w:val="20"/>
          <w:color w:val="auto"/>
        </w:rPr>
      </w:pPr>
    </w:p>
    <w:p>
      <w:pPr>
        <w:ind w:left="520"/>
        <w:spacing w:after="0" w:line="306" w:lineRule="auto"/>
        <w:rPr>
          <w:sz w:val="20"/>
          <w:szCs w:val="20"/>
          <w:color w:val="auto"/>
        </w:rPr>
      </w:pPr>
      <w:r>
        <w:rPr>
          <w:rFonts w:ascii="Arial" w:cs="Arial" w:eastAsia="Arial" w:hAnsi="Arial"/>
          <w:sz w:val="16"/>
          <w:szCs w:val="16"/>
          <w:color w:val="auto"/>
        </w:rPr>
        <w:t>Rent expense for the years ended December 31, 2001, 2000 and 1999 was $1,259,000, $1,329,000 and $1,006,000, respectively. Future minimum lease payments at December 31, 2001 are: 2002 — $1,270,000; 2003 — $844,000; 2004 - $708,000; 2005 — $652,000; totaling $3,474,000. Future minimum payments have not been reduced by minimum sublease rentals totaling $417,000 due in 2002.</w:t>
      </w:r>
    </w:p>
    <w:p>
      <w:pPr>
        <w:spacing w:after="0" w:line="16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Cohu is currently subject to various legal proceedings and claims that have arisen in the ordinary course of its businesses. Although the outcome of these legal proceedings and claims cannot be predicted with certainty, Cohu does not believe that any of these legal matters will have a material adverse effect on its financial condition or results of operations.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Quarterly Financial Data (unaudited)</w:t>
      </w:r>
    </w:p>
    <w:p>
      <w:pPr>
        <w:spacing w:after="0" w:line="200" w:lineRule="exact"/>
        <w:rPr>
          <w:sz w:val="20"/>
          <w:szCs w:val="20"/>
          <w:color w:val="auto"/>
        </w:rPr>
      </w:pP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3800" w:type="dxa"/>
            <w:vAlign w:val="bottom"/>
          </w:tcPr>
          <w:p>
            <w:pPr>
              <w:spacing w:after="0"/>
              <w:rPr>
                <w:sz w:val="20"/>
                <w:szCs w:val="20"/>
                <w:color w:val="auto"/>
              </w:rPr>
            </w:pPr>
            <w:r>
              <w:rPr>
                <w:rFonts w:ascii="Arial" w:cs="Arial" w:eastAsia="Arial" w:hAnsi="Arial"/>
                <w:sz w:val="14"/>
                <w:szCs w:val="14"/>
                <w:color w:val="auto"/>
              </w:rPr>
              <w:t>Quarter</w:t>
            </w:r>
          </w:p>
        </w:tc>
        <w:tc>
          <w:tcPr>
            <w:tcW w:w="94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Third*</w:t>
            </w:r>
          </w:p>
        </w:tc>
        <w:tc>
          <w:tcPr>
            <w:tcW w:w="22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color w:val="auto"/>
              </w:rPr>
              <w:t>Fourth</w:t>
            </w:r>
          </w:p>
        </w:tc>
        <w:tc>
          <w:tcPr>
            <w:tcW w:w="220" w:type="dxa"/>
            <w:vAlign w:val="bottom"/>
          </w:tcPr>
          <w:p>
            <w:pPr>
              <w:spacing w:after="0"/>
              <w:rPr>
                <w:sz w:val="14"/>
                <w:szCs w:val="14"/>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b w:val="1"/>
                <w:bCs w:val="1"/>
                <w:color w:val="auto"/>
                <w:w w:val="98"/>
              </w:rPr>
              <w:t>$43,718</w:t>
            </w:r>
          </w:p>
        </w:tc>
        <w:tc>
          <w:tcPr>
            <w:tcW w:w="11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$29,281</w:t>
            </w:r>
          </w:p>
        </w:tc>
        <w:tc>
          <w:tcPr>
            <w:tcW w:w="11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$25,430</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b w:val="1"/>
                <w:bCs w:val="1"/>
                <w:color w:val="auto"/>
              </w:rPr>
              <w:t>$28,121</w:t>
            </w:r>
          </w:p>
        </w:tc>
        <w:tc>
          <w:tcPr>
            <w:tcW w:w="13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$126,550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72,732</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86,761</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74,188</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55,883</w:t>
            </w: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289,564</w:t>
            </w:r>
          </w:p>
        </w:tc>
        <w:tc>
          <w:tcPr>
            <w:tcW w:w="0" w:type="dxa"/>
            <w:vAlign w:val="bottom"/>
          </w:tcPr>
          <w:p>
            <w:pPr>
              <w:spacing w:after="0"/>
              <w:rPr>
                <w:sz w:val="1"/>
                <w:szCs w:val="1"/>
                <w:color w:val="auto"/>
              </w:rPr>
            </w:pPr>
          </w:p>
        </w:tc>
      </w:tr>
      <w:tr>
        <w:trPr>
          <w:trHeight w:val="216"/>
        </w:trPr>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b w:val="1"/>
                <w:bCs w:val="1"/>
                <w:color w:val="auto"/>
              </w:rPr>
              <w:t>11,485</w:t>
            </w:r>
          </w:p>
        </w:tc>
        <w:tc>
          <w:tcPr>
            <w:tcW w:w="11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7,595</w:t>
            </w:r>
          </w:p>
        </w:tc>
        <w:tc>
          <w:tcPr>
            <w:tcW w:w="11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4,043</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b w:val="1"/>
                <w:bCs w:val="1"/>
                <w:color w:val="auto"/>
              </w:rPr>
              <w:t>9,833</w:t>
            </w:r>
          </w:p>
        </w:tc>
        <w:tc>
          <w:tcPr>
            <w:tcW w:w="13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32,956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28,530</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35,061</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29,488</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19,524</w:t>
            </w: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112,603</w:t>
            </w:r>
          </w:p>
        </w:tc>
        <w:tc>
          <w:tcPr>
            <w:tcW w:w="0" w:type="dxa"/>
            <w:vAlign w:val="bottom"/>
          </w:tcPr>
          <w:p>
            <w:pPr>
              <w:spacing w:after="0"/>
              <w:rPr>
                <w:sz w:val="1"/>
                <w:szCs w:val="1"/>
                <w:color w:val="auto"/>
              </w:rPr>
            </w:pPr>
          </w:p>
        </w:tc>
      </w:tr>
      <w:tr>
        <w:trPr>
          <w:trHeight w:val="208"/>
        </w:trPr>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w w:val="90"/>
              </w:rPr>
              <w:t>Income (loss) before cumulative effect of accounting</w:t>
            </w:r>
          </w:p>
        </w:tc>
        <w:tc>
          <w:tcPr>
            <w:tcW w:w="940" w:type="dxa"/>
            <w:vAlign w:val="bottom"/>
            <w:vMerge w:val="restart"/>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vMerge w:val="restart"/>
            <w:shd w:val="clear" w:color="auto" w:fill="EEEEEE"/>
          </w:tcPr>
          <w:p>
            <w:pPr>
              <w:jc w:val="right"/>
              <w:ind w:right="94"/>
              <w:spacing w:after="0"/>
              <w:rPr>
                <w:sz w:val="20"/>
                <w:szCs w:val="20"/>
                <w:color w:val="auto"/>
              </w:rPr>
            </w:pPr>
            <w:r>
              <w:rPr>
                <w:rFonts w:ascii="Arial" w:cs="Arial" w:eastAsia="Arial" w:hAnsi="Arial"/>
                <w:sz w:val="18"/>
                <w:szCs w:val="18"/>
                <w:b w:val="1"/>
                <w:bCs w:val="1"/>
                <w:color w:val="auto"/>
              </w:rPr>
              <w:t>(1,342)</w:t>
            </w:r>
          </w:p>
        </w:tc>
        <w:tc>
          <w:tcPr>
            <w:tcW w:w="1120" w:type="dxa"/>
            <w:vAlign w:val="bottom"/>
            <w:gridSpan w:val="2"/>
            <w:vMerge w:val="restart"/>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(2,831)</w:t>
            </w:r>
          </w:p>
        </w:tc>
        <w:tc>
          <w:tcPr>
            <w:tcW w:w="1100" w:type="dxa"/>
            <w:vAlign w:val="bottom"/>
            <w:gridSpan w:val="2"/>
            <w:vMerge w:val="restart"/>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(1,442)</w:t>
            </w:r>
          </w:p>
        </w:tc>
        <w:tc>
          <w:tcPr>
            <w:tcW w:w="1100" w:type="dxa"/>
            <w:vAlign w:val="bottom"/>
            <w:gridSpan w:val="2"/>
            <w:vMerge w:val="restart"/>
            <w:shd w:val="clear" w:color="auto" w:fill="EEEEEE"/>
          </w:tcPr>
          <w:p>
            <w:pPr>
              <w:jc w:val="right"/>
              <w:ind w:right="92"/>
              <w:spacing w:after="0"/>
              <w:rPr>
                <w:sz w:val="20"/>
                <w:szCs w:val="20"/>
                <w:color w:val="auto"/>
              </w:rPr>
            </w:pPr>
            <w:r>
              <w:rPr>
                <w:rFonts w:ascii="Arial" w:cs="Arial" w:eastAsia="Arial" w:hAnsi="Arial"/>
                <w:sz w:val="18"/>
                <w:szCs w:val="18"/>
                <w:b w:val="1"/>
                <w:bCs w:val="1"/>
                <w:color w:val="auto"/>
              </w:rPr>
              <w:t>(852)</w:t>
            </w:r>
          </w:p>
        </w:tc>
        <w:tc>
          <w:tcPr>
            <w:tcW w:w="1340" w:type="dxa"/>
            <w:vAlign w:val="bottom"/>
            <w:gridSpan w:val="2"/>
            <w:vMerge w:val="restart"/>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(6,467)</w:t>
            </w:r>
          </w:p>
        </w:tc>
        <w:tc>
          <w:tcPr>
            <w:tcW w:w="0" w:type="dxa"/>
            <w:vAlign w:val="bottom"/>
          </w:tcPr>
          <w:p>
            <w:pPr>
              <w:spacing w:after="0"/>
              <w:rPr>
                <w:sz w:val="1"/>
                <w:szCs w:val="1"/>
                <w:color w:val="auto"/>
              </w:rPr>
            </w:pPr>
          </w:p>
        </w:tc>
      </w:tr>
      <w:tr>
        <w:trPr>
          <w:trHeight w:val="224"/>
        </w:trPr>
        <w:tc>
          <w:tcPr>
            <w:tcW w:w="3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change:</w:t>
            </w:r>
          </w:p>
        </w:tc>
        <w:tc>
          <w:tcPr>
            <w:tcW w:w="940" w:type="dxa"/>
            <w:vAlign w:val="bottom"/>
            <w:vMerge w:val="continue"/>
            <w:shd w:val="clear" w:color="auto" w:fill="EEEEEE"/>
          </w:tcPr>
          <w:p>
            <w:pPr>
              <w:spacing w:after="0"/>
              <w:rPr>
                <w:sz w:val="19"/>
                <w:szCs w:val="19"/>
                <w:color w:val="auto"/>
              </w:rPr>
            </w:pPr>
          </w:p>
        </w:tc>
        <w:tc>
          <w:tcPr>
            <w:tcW w:w="880" w:type="dxa"/>
            <w:vAlign w:val="bottom"/>
            <w:vMerge w:val="continue"/>
            <w:shd w:val="clear" w:color="auto" w:fill="EEEEEE"/>
          </w:tcPr>
          <w:p>
            <w:pPr>
              <w:spacing w:after="0"/>
              <w:rPr>
                <w:sz w:val="19"/>
                <w:szCs w:val="19"/>
                <w:color w:val="auto"/>
              </w:rPr>
            </w:pPr>
          </w:p>
        </w:tc>
        <w:tc>
          <w:tcPr>
            <w:tcW w:w="1120" w:type="dxa"/>
            <w:vAlign w:val="bottom"/>
            <w:gridSpan w:val="2"/>
            <w:vMerge w:val="continue"/>
            <w:shd w:val="clear" w:color="auto" w:fill="EEEEEE"/>
          </w:tcPr>
          <w:p>
            <w:pPr>
              <w:spacing w:after="0"/>
              <w:rPr>
                <w:sz w:val="19"/>
                <w:szCs w:val="19"/>
                <w:color w:val="auto"/>
              </w:rPr>
            </w:pPr>
          </w:p>
        </w:tc>
        <w:tc>
          <w:tcPr>
            <w:tcW w:w="1100" w:type="dxa"/>
            <w:vAlign w:val="bottom"/>
            <w:gridSpan w:val="2"/>
            <w:vMerge w:val="continue"/>
            <w:shd w:val="clear" w:color="auto" w:fill="EEEEEE"/>
          </w:tcPr>
          <w:p>
            <w:pPr>
              <w:spacing w:after="0"/>
              <w:rPr>
                <w:sz w:val="19"/>
                <w:szCs w:val="19"/>
                <w:color w:val="auto"/>
              </w:rPr>
            </w:pPr>
          </w:p>
        </w:tc>
        <w:tc>
          <w:tcPr>
            <w:tcW w:w="1100" w:type="dxa"/>
            <w:vAlign w:val="bottom"/>
            <w:gridSpan w:val="2"/>
            <w:vMerge w:val="continue"/>
            <w:shd w:val="clear" w:color="auto" w:fill="EEEEEE"/>
          </w:tcPr>
          <w:p>
            <w:pPr>
              <w:spacing w:after="0"/>
              <w:rPr>
                <w:sz w:val="19"/>
                <w:szCs w:val="19"/>
                <w:color w:val="auto"/>
              </w:rPr>
            </w:pPr>
          </w:p>
        </w:tc>
        <w:tc>
          <w:tcPr>
            <w:tcW w:w="134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10,453</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12,928</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9,037</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4,620</w:t>
            </w: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16"/>
        </w:trPr>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shd w:val="clear" w:color="auto" w:fill="EEEEEE"/>
          </w:tcPr>
          <w:p>
            <w:pPr>
              <w:jc w:val="right"/>
              <w:ind w:right="94"/>
              <w:spacing w:after="0"/>
              <w:rPr>
                <w:sz w:val="20"/>
                <w:szCs w:val="20"/>
                <w:color w:val="auto"/>
              </w:rPr>
            </w:pPr>
            <w:r>
              <w:rPr>
                <w:rFonts w:ascii="Arial" w:cs="Arial" w:eastAsia="Arial" w:hAnsi="Arial"/>
                <w:sz w:val="18"/>
                <w:szCs w:val="18"/>
                <w:b w:val="1"/>
                <w:bCs w:val="1"/>
                <w:color w:val="auto"/>
              </w:rPr>
              <w:t>(1,342)</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(2,831)</w:t>
            </w:r>
          </w:p>
        </w:tc>
        <w:tc>
          <w:tcPr>
            <w:tcW w:w="110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(1,442)</w:t>
            </w:r>
          </w:p>
        </w:tc>
        <w:tc>
          <w:tcPr>
            <w:tcW w:w="11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b w:val="1"/>
                <w:bCs w:val="1"/>
                <w:color w:val="auto"/>
              </w:rPr>
              <w:t>(852)</w:t>
            </w:r>
          </w:p>
        </w:tc>
        <w:tc>
          <w:tcPr>
            <w:tcW w:w="13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(6,467)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7,154</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12,928</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9,037</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4,620</w:t>
            </w: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33,739</w:t>
            </w:r>
          </w:p>
        </w:tc>
        <w:tc>
          <w:tcPr>
            <w:tcW w:w="0" w:type="dxa"/>
            <w:vAlign w:val="bottom"/>
          </w:tcPr>
          <w:p>
            <w:pPr>
              <w:spacing w:after="0"/>
              <w:rPr>
                <w:sz w:val="1"/>
                <w:szCs w:val="1"/>
                <w:color w:val="auto"/>
              </w:rPr>
            </w:pPr>
          </w:p>
        </w:tc>
      </w:tr>
      <w:tr>
        <w:trPr>
          <w:trHeight w:val="208"/>
        </w:trPr>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w w:val="90"/>
              </w:rPr>
              <w:t>Earnings (loss) per share before cumulative effect of</w:t>
            </w:r>
          </w:p>
        </w:tc>
        <w:tc>
          <w:tcPr>
            <w:tcW w:w="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accounting change:</w:t>
            </w:r>
          </w:p>
        </w:tc>
        <w:tc>
          <w:tcPr>
            <w:tcW w:w="9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tcPr>
          <w:p>
            <w:pPr>
              <w:jc w:val="right"/>
              <w:ind w:right="94"/>
              <w:spacing w:after="0"/>
              <w:rPr>
                <w:sz w:val="20"/>
                <w:szCs w:val="20"/>
                <w:color w:val="auto"/>
              </w:rPr>
            </w:pPr>
            <w:r>
              <w:rPr>
                <w:rFonts w:ascii="Arial" w:cs="Arial" w:eastAsia="Arial" w:hAnsi="Arial"/>
                <w:sz w:val="18"/>
                <w:szCs w:val="18"/>
                <w:b w:val="1"/>
                <w:bCs w:val="1"/>
                <w:color w:val="auto"/>
              </w:rPr>
              <w:t>(.07)</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(.14)</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(.07)</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(.04)</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380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.64</w:t>
            </w:r>
          </w:p>
        </w:tc>
        <w:tc>
          <w:tcPr>
            <w:tcW w:w="11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.45</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880" w:type="dxa"/>
            <w:vAlign w:val="bottom"/>
          </w:tcPr>
          <w:p>
            <w:pPr>
              <w:jc w:val="right"/>
              <w:ind w:right="94"/>
              <w:spacing w:after="0"/>
              <w:rPr>
                <w:sz w:val="20"/>
                <w:szCs w:val="20"/>
                <w:color w:val="auto"/>
              </w:rPr>
            </w:pPr>
            <w:r>
              <w:rPr>
                <w:rFonts w:ascii="Arial" w:cs="Arial" w:eastAsia="Arial" w:hAnsi="Arial"/>
                <w:sz w:val="18"/>
                <w:szCs w:val="18"/>
                <w:b w:val="1"/>
                <w:bCs w:val="1"/>
                <w:color w:val="auto"/>
              </w:rPr>
              <w:t>(.07)</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(.14)</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(.07)</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(.04)</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380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2000</w:t>
            </w: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for 2000 restated. See Note 2, Change in Accounting for Revenue Recognition.</w:t>
      </w:r>
    </w:p>
    <w:p>
      <w:pPr>
        <w:sectPr>
          <w:pgSz w:w="11900" w:h="16838" w:orient="portrait"/>
          <w:cols w:equalWidth="0" w:num="1">
            <w:col w:w="11260"/>
          </w:cols>
          <w:pgMar w:left="240" w:top="419" w:right="39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19"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have audited the accompanying consolidated balance sheets of Cohu, Inc. as of December 31, 2001 and 2000, and the related consolidated statements of operations, stockholders’ equity, and cash flows for each of the three years in the period ended December 31, 2001. Our audits also included the financial statement schedule listed in the Index at Item 14(a).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2001 and 2000, and the consolidated results of its operations and its cash flows for each of the three years in the period ended December 31, 2001,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Notes 1 and 2 to the consolidated financial statements, in 2000 the Company changed its method of revenue recognition.</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2002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(c) The following exhibits are filed as part of, or incorporated into, the 2001 Cohu, Inc. Annual Report on Form 10-K:</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5"/>
                <w:szCs w:val="15"/>
                <w:color w:val="auto"/>
              </w:rPr>
            </w:pPr>
          </w:p>
        </w:tc>
        <w:tc>
          <w:tcPr>
            <w:tcW w:w="874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74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the Cohu, Inc. Form 10-Q for the quarterly period ended June 30, 1999</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4"/>
              </w:rPr>
              <w:t>Certificate of Amendment of Amended and Restated Certificate of Incorporation of Cohu, Inc. incorporated herein by</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reference from the Cohu, Inc. Form S-8 filed June 30, 2000, Exhibit 4.1(a)</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8"/>
              </w:rPr>
              <w:t>Rights Agreement dated November 15, 1996, between Cohu, Inc. and ChaseMellon Shareholder Services, L.L.C, as Rights</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Agent, incorporated herein by reference from the Cohu Form 8-K, filed December 12, 1996, Exhibit 4.1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0"/>
              </w:rPr>
              <w:t>Description of Cohu, Inc. Executive Incentive Bonus Plan, incorporated herein by reference from the Cohu 1990 Form 10-</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K, Exhibit 10.3*</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0"/>
              </w:rPr>
              <w:t>Cohu, Inc. 1992 Stock Option Plan, incorporated herein by reference from the Cohu Proxy Statement for its 1992 Annual</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Meeting of Stockholders*</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0"/>
              </w:rPr>
              <w:t>Cohu, Inc. 1994 Stock Option Plan, incorporated herein by reference from the Cohu Proxy Statement for its 1995 Annual</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Meeting of Stockholders*</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0"/>
              </w:rPr>
              <w:t>Cohu, Inc. 1996 Stock Option Plan, incorporated herein by reference from the Cohu Proxy Statement for its 1996 Annual</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Meeting of Stockholders*</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2"/>
              </w:rPr>
              <w:t>Business Loan Agreement between Bank of America, N.A. and Cohu, Inc. dated June 15, 1998, incorporated herein by</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reference from the Cohu Form 10-Q for the quarter ended June 30, 1998, Exhibit 10.1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8"/>
              </w:rPr>
              <w:t>Amendment No. 3, dated April 26, 2001, to Business Loan Agreement dated June 15, 1998 between Cohu, Inc. and Bank of</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8"/>
              </w:rPr>
              <w:t>America, N.A., incorporated herein by reference from the Cohu Form 10-Q for the quarter ended June 30, 2001,</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Exhibit 10.1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3"/>
              </w:rPr>
              <w:t>Termination Agreement between Cohu, Inc. and John H. Allen, incorporated herein by reference from the Cohu 1996</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Form 10-K, Exhibit 10.11*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4"/>
              </w:rPr>
              <w:t>Cohu, Inc. 1996 Outside Directors Stock Option Plan (as amended), incorporated herein by reference from the Cohu</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Form 10-Q for the quarter ended June 30, 2001, Exhibit 10.5*</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8"/>
              </w:rPr>
              <w:t>Cohu, Inc. 1997 Employee Stock Purchase Plan (as amended), incorporated herein by reference from the Cohu Form 10-Q</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 the quarter ended June 30, 2001, Exhibit 10.4*</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0"/>
              </w:rPr>
              <w:t>Cohu, Inc. Deferred Compensation Plan incorporated herein by reference from the Cohu Form 10-Q for the quarter ended</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September 30, 2001*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6"/>
              </w:rPr>
              <w:t>Cohu, Inc. 1998 Stock Option Plan, incorporated herein by reference from the Cohu Form S-8 filed June 30, 2000,</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Exhibit 4.4*</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3"/>
              </w:rPr>
              <w:t>Termination Agreement between Cohu, Inc. and James A. Donahue, incorporated herein by reference from the Cohu</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Form 10-Q for the quarter ended June 30, 1998, Exhibit 10.2*</w:t>
            </w: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5"/>
                <w:szCs w:val="15"/>
                <w:color w:val="auto"/>
              </w:rPr>
            </w:pPr>
          </w:p>
        </w:tc>
        <w:tc>
          <w:tcPr>
            <w:tcW w:w="874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74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7"/>
              </w:rPr>
              <w:t>Lease Assignment Agreement dated June 25, 1999 by and between Cohu, Inc., Cubic Defense Systems, Inc. and Thomas G.</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9"/>
              </w:rPr>
              <w:t>Plein and Diane L. Plein, incorporated herein by reference from the Cohu Form 10-Q for the quarter ended June 30, 1999,</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Exhibit 10.2</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10.12.1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8"/>
              </w:rPr>
              <w:t>Option to extend lease agreement dated June 25, 1999 by and between Cohu, Inc. and Thomas G. Plein and Diane L. Plein,</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incorporated herein by reference from the Cohu Form 10-Q for the quarter ended June 30, 2000, Exhibit 10.2</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3"/>
              </w:rPr>
              <w:t>Employment Agreement between Cohu, Inc. and Charles A. Schwan, incorporated herein by reference from the Cohu</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Form 10-Q for the quarter ended June 30, 2000, Exhibit 10.3*</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1"/>
              </w:rPr>
              <w:t>Non-Recourse Promissory Note Secured by Deed of Trust between Delta Design, Inc. and T.C. Kearny Villa, L.P., dated</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8"/>
              </w:rPr>
              <w:t>April 11, 2001 incorporated herein by reference from the Cohu Form 10-Q for the quarter ended June 30, 2001,</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Exhibit 10.2</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3"/>
              </w:rPr>
              <w:t>Agreement of Purchase and Sale and Joint Escrow Instructions between Cohu, Inc. and T.C. Kearny Villa, L.P., dated</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8"/>
              </w:rPr>
              <w:t>April 11, 2001, incorporated herein by reference from the Cohu Form 10-Q for the quarter ended June 30, 2001,</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Exhibit 10.3</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1"/>
              </w:rPr>
              <w:t>Asset Purchase Agreement between Delta Design, Inc. and Schlumberger Technologies, Inc. dated as of July 16, 2001</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95"/>
              </w:rPr>
              <w:t>incorporated herein by reference from the Cohu Form 10-Q for the quarter ended September 30, 2001, Exhibit 10.1</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w w:val="88"/>
              </w:rPr>
              <w:t>Sublease Agreement between Cohu, Inc. and Anacomp, Inc. dated October 27, 2000 incorporated herein by reference from</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the Cohu 2000 Form 10-K, Exhibit 10.18</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Cohu, Inc. has the following wholly owned subsidiaries:</w:t>
            </w:r>
          </w:p>
        </w:tc>
      </w:tr>
      <w:tr>
        <w:trPr>
          <w:trHeight w:val="453"/>
        </w:trPr>
        <w:tc>
          <w:tcPr>
            <w:tcW w:w="1040" w:type="dxa"/>
            <w:vAlign w:val="bottom"/>
          </w:tcPr>
          <w:p>
            <w:pPr>
              <w:spacing w:after="0"/>
              <w:rPr>
                <w:sz w:val="24"/>
                <w:szCs w:val="24"/>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Delta Design, Inc., a Delaware corporation</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Fisher Research Laboratory, Inc., a Delaware corporation</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Broadcast Microwave Services, Inc., a Delaware corporation</w:t>
            </w:r>
          </w:p>
        </w:tc>
      </w:tr>
      <w:tr>
        <w:trPr>
          <w:trHeight w:val="216"/>
        </w:trPr>
        <w:tc>
          <w:tcPr>
            <w:tcW w:w="1040" w:type="dxa"/>
            <w:vAlign w:val="bottom"/>
          </w:tcPr>
          <w:p>
            <w:pPr>
              <w:spacing w:after="0"/>
              <w:rPr>
                <w:sz w:val="18"/>
                <w:szCs w:val="18"/>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Delta Design (Littleton), Inc., a Delaware corporation</w:t>
            </w:r>
          </w:p>
        </w:tc>
      </w:tr>
      <w:tr>
        <w:trPr>
          <w:trHeight w:val="222"/>
        </w:trPr>
        <w:tc>
          <w:tcPr>
            <w:tcW w:w="1040" w:type="dxa"/>
            <w:vAlign w:val="bottom"/>
          </w:tcPr>
          <w:p>
            <w:pPr>
              <w:spacing w:after="0"/>
              <w:rPr>
                <w:sz w:val="19"/>
                <w:szCs w:val="19"/>
                <w:color w:val="auto"/>
              </w:rPr>
            </w:pP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Cohu Foreign Sales Ltd., a Barbados corporation</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23</w:t>
            </w:r>
          </w:p>
        </w:tc>
        <w:tc>
          <w:tcPr>
            <w:tcW w:w="9240" w:type="dxa"/>
            <w:vAlign w:val="bottom"/>
            <w:gridSpan w:val="2"/>
          </w:tcPr>
          <w:p>
            <w:pPr>
              <w:ind w:left="500"/>
              <w:spacing w:after="0"/>
              <w:rPr>
                <w:sz w:val="20"/>
                <w:szCs w:val="20"/>
                <w:color w:val="auto"/>
              </w:rPr>
            </w:pPr>
            <w:r>
              <w:rPr>
                <w:rFonts w:ascii="Arial" w:cs="Arial" w:eastAsia="Arial" w:hAnsi="Arial"/>
                <w:sz w:val="18"/>
                <w:szCs w:val="18"/>
                <w:color w:val="auto"/>
              </w:rPr>
              <w:t>Consent of Ernst &amp; Young LLP, Independent Auditors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9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4, 2002</w:t>
      </w:r>
      <w:r>
        <w:rPr>
          <w:sz w:val="20"/>
          <w:szCs w:val="20"/>
          <w:color w:val="auto"/>
        </w:rPr>
        <w:tab/>
      </w:r>
      <w:r>
        <w:rPr>
          <w:rFonts w:ascii="Arial" w:cs="Arial" w:eastAsia="Arial" w:hAnsi="Arial"/>
          <w:sz w:val="15"/>
          <w:szCs w:val="15"/>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80010</wp:posOffset>
            </wp:positionV>
            <wp:extent cx="35159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5" w:lineRule="exact"/>
        <w:rPr>
          <w:sz w:val="20"/>
          <w:szCs w:val="20"/>
          <w:color w:val="auto"/>
        </w:rPr>
      </w:pPr>
    </w:p>
    <w:p>
      <w:pPr>
        <w:ind w:left="1720"/>
        <w:spacing w:after="0"/>
        <w:tabs>
          <w:tab w:leader="none" w:pos="6700" w:val="left"/>
          <w:tab w:leader="none" w:pos="10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/s/ Charles A. Schwan</w:t>
            </w:r>
          </w:p>
        </w:tc>
        <w:tc>
          <w:tcPr>
            <w:tcW w:w="4660" w:type="dxa"/>
            <w:vAlign w:val="bottom"/>
          </w:tcPr>
          <w:p>
            <w:pPr>
              <w:ind w:left="580"/>
              <w:spacing w:after="0"/>
              <w:rPr>
                <w:sz w:val="20"/>
                <w:szCs w:val="20"/>
                <w:color w:val="auto"/>
              </w:rPr>
            </w:pPr>
            <w:r>
              <w:rPr>
                <w:rFonts w:ascii="Arial" w:cs="Arial" w:eastAsia="Arial" w:hAnsi="Arial"/>
                <w:sz w:val="18"/>
                <w:szCs w:val="18"/>
                <w:color w:val="auto"/>
              </w:rPr>
              <w:t>Chairman of the Board, Director</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97"/>
        </w:trPr>
        <w:tc>
          <w:tcPr>
            <w:tcW w:w="4000" w:type="dxa"/>
            <w:vAlign w:val="bottom"/>
            <w:tcBorders>
              <w:bottom w:val="single" w:sz="8" w:color="808080"/>
            </w:tcBorders>
          </w:tcPr>
          <w:p>
            <w:pPr>
              <w:spacing w:after="0"/>
              <w:rPr>
                <w:sz w:val="8"/>
                <w:szCs w:val="8"/>
                <w:color w:val="auto"/>
              </w:rPr>
            </w:pPr>
          </w:p>
        </w:tc>
        <w:tc>
          <w:tcPr>
            <w:tcW w:w="46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00" w:type="dxa"/>
            <w:vAlign w:val="bottom"/>
          </w:tcPr>
          <w:p>
            <w:pPr>
              <w:spacing w:after="0"/>
              <w:rPr>
                <w:sz w:val="20"/>
                <w:szCs w:val="20"/>
                <w:color w:val="auto"/>
              </w:rPr>
            </w:pPr>
            <w:r>
              <w:rPr>
                <w:rFonts w:ascii="Arial" w:cs="Arial" w:eastAsia="Arial" w:hAnsi="Arial"/>
                <w:sz w:val="18"/>
                <w:szCs w:val="18"/>
                <w:color w:val="auto"/>
              </w:rPr>
              <w:t>Charles A. Schwan</w:t>
            </w:r>
          </w:p>
        </w:tc>
        <w:tc>
          <w:tcPr>
            <w:tcW w:w="4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color w:val="auto"/>
              </w:rPr>
              <w:t>/s/ James A. Donahue</w:t>
            </w:r>
          </w:p>
        </w:tc>
        <w:tc>
          <w:tcPr>
            <w:tcW w:w="4660" w:type="dxa"/>
            <w:vAlign w:val="bottom"/>
          </w:tcPr>
          <w:p>
            <w:pPr>
              <w:ind w:left="580"/>
              <w:spacing w:after="0"/>
              <w:rPr>
                <w:sz w:val="20"/>
                <w:szCs w:val="20"/>
                <w:color w:val="auto"/>
              </w:rPr>
            </w:pPr>
            <w:r>
              <w:rPr>
                <w:rFonts w:ascii="Arial" w:cs="Arial" w:eastAsia="Arial" w:hAnsi="Arial"/>
                <w:sz w:val="18"/>
                <w:szCs w:val="18"/>
                <w:color w:val="auto"/>
              </w:rPr>
              <w:t>President &amp; Chief Executive Officer,</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103"/>
        </w:trPr>
        <w:tc>
          <w:tcPr>
            <w:tcW w:w="4000" w:type="dxa"/>
            <w:vAlign w:val="bottom"/>
            <w:tcBorders>
              <w:bottom w:val="single" w:sz="8" w:color="808080"/>
            </w:tcBorders>
          </w:tcPr>
          <w:p>
            <w:pPr>
              <w:spacing w:after="0"/>
              <w:rPr>
                <w:sz w:val="8"/>
                <w:szCs w:val="8"/>
                <w:color w:val="auto"/>
              </w:rPr>
            </w:pPr>
          </w:p>
        </w:tc>
        <w:tc>
          <w:tcPr>
            <w:tcW w:w="4660" w:type="dxa"/>
            <w:vAlign w:val="bottom"/>
            <w:vMerge w:val="restart"/>
          </w:tcPr>
          <w:p>
            <w:pPr>
              <w:ind w:left="580"/>
              <w:spacing w:after="0"/>
              <w:rPr>
                <w:sz w:val="20"/>
                <w:szCs w:val="20"/>
                <w:color w:val="auto"/>
              </w:rPr>
            </w:pPr>
            <w:r>
              <w:rPr>
                <w:rFonts w:ascii="Arial" w:cs="Arial" w:eastAsia="Arial" w:hAnsi="Arial"/>
                <w:sz w:val="18"/>
                <w:szCs w:val="18"/>
                <w:color w:val="auto"/>
              </w:rPr>
              <w:t>Director (Principal Executive Officer)</w:t>
            </w: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00" w:type="dxa"/>
            <w:vAlign w:val="bottom"/>
            <w:vMerge w:val="restart"/>
          </w:tcPr>
          <w:p>
            <w:pPr>
              <w:spacing w:after="0"/>
              <w:rPr>
                <w:sz w:val="20"/>
                <w:szCs w:val="20"/>
                <w:color w:val="auto"/>
              </w:rPr>
            </w:pPr>
            <w:r>
              <w:rPr>
                <w:rFonts w:ascii="Arial" w:cs="Arial" w:eastAsia="Arial" w:hAnsi="Arial"/>
                <w:sz w:val="18"/>
                <w:szCs w:val="18"/>
                <w:color w:val="auto"/>
              </w:rPr>
              <w:t>James A. Donahue</w:t>
            </w:r>
          </w:p>
        </w:tc>
        <w:tc>
          <w:tcPr>
            <w:tcW w:w="46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4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0"/>
                <w:szCs w:val="20"/>
                <w:color w:val="auto"/>
              </w:rPr>
            </w:pPr>
            <w:r>
              <w:rPr>
                <w:rFonts w:ascii="Arial" w:cs="Arial" w:eastAsia="Arial" w:hAnsi="Arial"/>
                <w:sz w:val="18"/>
                <w:szCs w:val="18"/>
                <w:color w:val="auto"/>
              </w:rPr>
              <w:t>/s/ John H. Allen</w:t>
            </w:r>
          </w:p>
        </w:tc>
        <w:tc>
          <w:tcPr>
            <w:tcW w:w="4660" w:type="dxa"/>
            <w:vAlign w:val="bottom"/>
          </w:tcPr>
          <w:p>
            <w:pPr>
              <w:ind w:left="580"/>
              <w:spacing w:after="0"/>
              <w:rPr>
                <w:sz w:val="20"/>
                <w:szCs w:val="20"/>
                <w:color w:val="auto"/>
              </w:rPr>
            </w:pPr>
            <w:r>
              <w:rPr>
                <w:rFonts w:ascii="Arial" w:cs="Arial" w:eastAsia="Arial" w:hAnsi="Arial"/>
                <w:sz w:val="18"/>
                <w:szCs w:val="18"/>
                <w:color w:val="auto"/>
              </w:rPr>
              <w:t>Vice President, Finance &amp; Chief</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103"/>
        </w:trPr>
        <w:tc>
          <w:tcPr>
            <w:tcW w:w="4000" w:type="dxa"/>
            <w:vAlign w:val="bottom"/>
            <w:tcBorders>
              <w:bottom w:val="single" w:sz="8" w:color="808080"/>
            </w:tcBorders>
          </w:tcPr>
          <w:p>
            <w:pPr>
              <w:spacing w:after="0"/>
              <w:rPr>
                <w:sz w:val="8"/>
                <w:szCs w:val="8"/>
                <w:color w:val="auto"/>
              </w:rPr>
            </w:pPr>
          </w:p>
        </w:tc>
        <w:tc>
          <w:tcPr>
            <w:tcW w:w="4660" w:type="dxa"/>
            <w:vAlign w:val="bottom"/>
            <w:vMerge w:val="restart"/>
          </w:tcPr>
          <w:p>
            <w:pPr>
              <w:ind w:left="580"/>
              <w:spacing w:after="0"/>
              <w:rPr>
                <w:sz w:val="20"/>
                <w:szCs w:val="20"/>
                <w:color w:val="auto"/>
              </w:rPr>
            </w:pPr>
            <w:r>
              <w:rPr>
                <w:rFonts w:ascii="Arial" w:cs="Arial" w:eastAsia="Arial" w:hAnsi="Arial"/>
                <w:sz w:val="18"/>
                <w:szCs w:val="18"/>
                <w:color w:val="auto"/>
              </w:rPr>
              <w:t>Financial Officer, Secretary (Principal</w:t>
            </w: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00" w:type="dxa"/>
            <w:vAlign w:val="bottom"/>
            <w:vMerge w:val="restart"/>
          </w:tcPr>
          <w:p>
            <w:pPr>
              <w:spacing w:after="0"/>
              <w:rPr>
                <w:sz w:val="20"/>
                <w:szCs w:val="20"/>
                <w:color w:val="auto"/>
              </w:rPr>
            </w:pPr>
            <w:r>
              <w:rPr>
                <w:rFonts w:ascii="Arial" w:cs="Arial" w:eastAsia="Arial" w:hAnsi="Arial"/>
                <w:sz w:val="18"/>
                <w:szCs w:val="18"/>
                <w:color w:val="auto"/>
              </w:rPr>
              <w:t>John H. Allen</w:t>
            </w:r>
          </w:p>
        </w:tc>
        <w:tc>
          <w:tcPr>
            <w:tcW w:w="46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4660" w:type="dxa"/>
            <w:vAlign w:val="bottom"/>
          </w:tcPr>
          <w:p>
            <w:pPr>
              <w:ind w:left="580"/>
              <w:spacing w:after="0"/>
              <w:rPr>
                <w:sz w:val="20"/>
                <w:szCs w:val="20"/>
                <w:color w:val="auto"/>
              </w:rPr>
            </w:pPr>
            <w:r>
              <w:rPr>
                <w:rFonts w:ascii="Arial" w:cs="Arial" w:eastAsia="Arial" w:hAnsi="Arial"/>
                <w:sz w:val="18"/>
                <w:szCs w:val="18"/>
                <w:color w:val="auto"/>
              </w:rPr>
              <w:t>Financial &amp; Accounting Officer)</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/s/ James W. Barnes</w:t>
            </w:r>
          </w:p>
        </w:tc>
        <w:tc>
          <w:tcPr>
            <w:tcW w:w="466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97"/>
        </w:trPr>
        <w:tc>
          <w:tcPr>
            <w:tcW w:w="4000" w:type="dxa"/>
            <w:vAlign w:val="bottom"/>
            <w:tcBorders>
              <w:bottom w:val="single" w:sz="8" w:color="808080"/>
            </w:tcBorders>
          </w:tcPr>
          <w:p>
            <w:pPr>
              <w:spacing w:after="0"/>
              <w:rPr>
                <w:sz w:val="8"/>
                <w:szCs w:val="8"/>
                <w:color w:val="auto"/>
              </w:rPr>
            </w:pPr>
          </w:p>
        </w:tc>
        <w:tc>
          <w:tcPr>
            <w:tcW w:w="46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00" w:type="dxa"/>
            <w:vAlign w:val="bottom"/>
          </w:tcPr>
          <w:p>
            <w:pPr>
              <w:spacing w:after="0"/>
              <w:rPr>
                <w:sz w:val="20"/>
                <w:szCs w:val="20"/>
                <w:color w:val="auto"/>
              </w:rPr>
            </w:pPr>
            <w:r>
              <w:rPr>
                <w:rFonts w:ascii="Arial" w:cs="Arial" w:eastAsia="Arial" w:hAnsi="Arial"/>
                <w:sz w:val="18"/>
                <w:szCs w:val="18"/>
                <w:color w:val="auto"/>
              </w:rPr>
              <w:t>James W. Barnes</w:t>
            </w:r>
          </w:p>
        </w:tc>
        <w:tc>
          <w:tcPr>
            <w:tcW w:w="4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/s/ Harry L. Casari</w:t>
            </w:r>
          </w:p>
        </w:tc>
        <w:tc>
          <w:tcPr>
            <w:tcW w:w="466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97"/>
        </w:trPr>
        <w:tc>
          <w:tcPr>
            <w:tcW w:w="4000" w:type="dxa"/>
            <w:vAlign w:val="bottom"/>
            <w:tcBorders>
              <w:bottom w:val="single" w:sz="8" w:color="808080"/>
            </w:tcBorders>
          </w:tcPr>
          <w:p>
            <w:pPr>
              <w:spacing w:after="0"/>
              <w:rPr>
                <w:sz w:val="8"/>
                <w:szCs w:val="8"/>
                <w:color w:val="auto"/>
              </w:rPr>
            </w:pPr>
          </w:p>
        </w:tc>
        <w:tc>
          <w:tcPr>
            <w:tcW w:w="46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00" w:type="dxa"/>
            <w:vAlign w:val="bottom"/>
          </w:tcPr>
          <w:p>
            <w:pPr>
              <w:spacing w:after="0"/>
              <w:rPr>
                <w:sz w:val="20"/>
                <w:szCs w:val="20"/>
                <w:color w:val="auto"/>
              </w:rPr>
            </w:pPr>
            <w:r>
              <w:rPr>
                <w:rFonts w:ascii="Arial" w:cs="Arial" w:eastAsia="Arial" w:hAnsi="Arial"/>
                <w:sz w:val="18"/>
                <w:szCs w:val="18"/>
                <w:color w:val="auto"/>
              </w:rPr>
              <w:t>Harry L. Casari</w:t>
            </w:r>
          </w:p>
        </w:tc>
        <w:tc>
          <w:tcPr>
            <w:tcW w:w="4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/s/ Harold Harrigian</w:t>
            </w:r>
          </w:p>
        </w:tc>
        <w:tc>
          <w:tcPr>
            <w:tcW w:w="466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80"/>
              <w:spacing w:after="0"/>
              <w:rPr>
                <w:sz w:val="20"/>
                <w:szCs w:val="20"/>
                <w:color w:val="auto"/>
              </w:rPr>
            </w:pPr>
            <w:r>
              <w:rPr>
                <w:rFonts w:ascii="Arial" w:cs="Arial" w:eastAsia="Arial" w:hAnsi="Arial"/>
                <w:sz w:val="18"/>
                <w:szCs w:val="18"/>
                <w:color w:val="auto"/>
              </w:rPr>
              <w:t>March 4, 2002</w:t>
            </w:r>
          </w:p>
        </w:tc>
        <w:tc>
          <w:tcPr>
            <w:tcW w:w="0" w:type="dxa"/>
            <w:vAlign w:val="bottom"/>
          </w:tcPr>
          <w:p>
            <w:pPr>
              <w:spacing w:after="0"/>
              <w:rPr>
                <w:sz w:val="1"/>
                <w:szCs w:val="1"/>
                <w:color w:val="auto"/>
              </w:rPr>
            </w:pPr>
          </w:p>
        </w:tc>
      </w:tr>
      <w:tr>
        <w:trPr>
          <w:trHeight w:val="97"/>
        </w:trPr>
        <w:tc>
          <w:tcPr>
            <w:tcW w:w="4000" w:type="dxa"/>
            <w:vAlign w:val="bottom"/>
            <w:tcBorders>
              <w:bottom w:val="single" w:sz="8" w:color="808080"/>
            </w:tcBorders>
          </w:tcPr>
          <w:p>
            <w:pPr>
              <w:spacing w:after="0"/>
              <w:rPr>
                <w:sz w:val="8"/>
                <w:szCs w:val="8"/>
                <w:color w:val="auto"/>
              </w:rPr>
            </w:pPr>
          </w:p>
        </w:tc>
        <w:tc>
          <w:tcPr>
            <w:tcW w:w="46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00" w:type="dxa"/>
            <w:vAlign w:val="bottom"/>
          </w:tcPr>
          <w:p>
            <w:pPr>
              <w:spacing w:after="0"/>
              <w:rPr>
                <w:sz w:val="20"/>
                <w:szCs w:val="20"/>
                <w:color w:val="auto"/>
              </w:rPr>
            </w:pPr>
            <w:r>
              <w:rPr>
                <w:rFonts w:ascii="Arial" w:cs="Arial" w:eastAsia="Arial" w:hAnsi="Arial"/>
                <w:sz w:val="18"/>
                <w:szCs w:val="18"/>
                <w:color w:val="auto"/>
              </w:rPr>
              <w:t>Harold Harrigian</w:t>
            </w:r>
          </w:p>
        </w:tc>
        <w:tc>
          <w:tcPr>
            <w:tcW w:w="4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4660" w:type="dxa"/>
            <w:vAlign w:val="bottom"/>
          </w:tcPr>
          <w:p>
            <w:pPr>
              <w:ind w:left="1620"/>
              <w:spacing w:after="0"/>
              <w:rPr>
                <w:sz w:val="20"/>
                <w:szCs w:val="20"/>
                <w:color w:val="auto"/>
              </w:rPr>
            </w:pPr>
            <w:r>
              <w:rPr>
                <w:rFonts w:ascii="Arial" w:cs="Arial" w:eastAsia="Arial" w:hAnsi="Arial"/>
                <w:sz w:val="18"/>
                <w:szCs w:val="18"/>
                <w:color w:val="auto"/>
              </w:rPr>
              <w:t>34</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87"/>
              </w:rPr>
              <w:t>Balance at</w:t>
            </w:r>
          </w:p>
        </w:tc>
        <w:tc>
          <w:tcPr>
            <w:tcW w:w="4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3"/>
              </w:rPr>
              <w:t>Additions</w:t>
            </w:r>
          </w:p>
        </w:tc>
        <w:tc>
          <w:tcPr>
            <w:tcW w:w="4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9"/>
              </w:rPr>
              <w:t>Additions (Reductions)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99"/>
              <w:spacing w:after="0"/>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Beginning</w:t>
            </w:r>
          </w:p>
        </w:tc>
        <w:tc>
          <w:tcPr>
            <w:tcW w:w="4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Not Charged</w:t>
            </w:r>
          </w:p>
        </w:tc>
        <w:tc>
          <w:tcPr>
            <w:tcW w:w="4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Charged (Credited)</w:t>
            </w:r>
          </w:p>
        </w:tc>
        <w:tc>
          <w:tcPr>
            <w:tcW w:w="420" w:type="dxa"/>
            <w:vAlign w:val="bottom"/>
          </w:tcPr>
          <w:p>
            <w:pPr>
              <w:spacing w:after="0"/>
              <w:rPr>
                <w:sz w:val="12"/>
                <w:szCs w:val="12"/>
                <w:color w:val="auto"/>
              </w:rPr>
            </w:pPr>
          </w:p>
        </w:tc>
        <w:tc>
          <w:tcPr>
            <w:tcW w:w="10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Deductions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3"/>
              </w:rPr>
              <w:t>at End</w:t>
            </w:r>
          </w:p>
        </w:tc>
        <w:tc>
          <w:tcPr>
            <w:tcW w:w="0" w:type="dxa"/>
            <w:vAlign w:val="bottom"/>
          </w:tcPr>
          <w:p>
            <w:pPr>
              <w:spacing w:after="0"/>
              <w:rPr>
                <w:sz w:val="1"/>
                <w:szCs w:val="1"/>
                <w:color w:val="auto"/>
              </w:rPr>
            </w:pPr>
          </w:p>
        </w:tc>
      </w:tr>
      <w:tr>
        <w:trPr>
          <w:trHeight w:val="172"/>
        </w:trPr>
        <w:tc>
          <w:tcPr>
            <w:tcW w:w="40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15"/>
              <w:spacing w:after="0"/>
              <w:rPr>
                <w:sz w:val="20"/>
                <w:szCs w:val="20"/>
                <w:color w:val="auto"/>
              </w:rPr>
            </w:pPr>
            <w:r>
              <w:rPr>
                <w:rFonts w:ascii="Arial" w:cs="Arial" w:eastAsia="Arial" w:hAnsi="Arial"/>
                <w:sz w:val="14"/>
                <w:szCs w:val="14"/>
                <w:color w:val="auto"/>
                <w:w w:val="84"/>
              </w:rPr>
              <w:t>of Year</w:t>
            </w:r>
          </w:p>
        </w:tc>
        <w:tc>
          <w:tcPr>
            <w:tcW w:w="4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87"/>
              </w:rPr>
              <w:t>to Expense(1)</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ind w:right="255"/>
              <w:spacing w:after="0"/>
              <w:rPr>
                <w:sz w:val="20"/>
                <w:szCs w:val="20"/>
                <w:color w:val="auto"/>
              </w:rPr>
            </w:pPr>
            <w:r>
              <w:rPr>
                <w:rFonts w:ascii="Arial" w:cs="Arial" w:eastAsia="Arial" w:hAnsi="Arial"/>
                <w:sz w:val="14"/>
                <w:szCs w:val="14"/>
                <w:color w:val="auto"/>
                <w:w w:val="85"/>
              </w:rPr>
              <w:t>to Expense</w:t>
            </w:r>
          </w:p>
        </w:tc>
        <w:tc>
          <w:tcPr>
            <w:tcW w:w="420" w:type="dxa"/>
            <w:vAlign w:val="bottom"/>
          </w:tcPr>
          <w:p>
            <w:pPr>
              <w:spacing w:after="0"/>
              <w:rPr>
                <w:sz w:val="14"/>
                <w:szCs w:val="14"/>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4"/>
                <w:szCs w:val="14"/>
                <w:color w:val="auto"/>
              </w:rPr>
              <w:t>(Write-offs)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99"/>
              <w:spacing w:after="0"/>
              <w:rPr>
                <w:sz w:val="20"/>
                <w:szCs w:val="20"/>
                <w:color w:val="auto"/>
              </w:rPr>
            </w:pPr>
            <w:r>
              <w:rPr>
                <w:rFonts w:ascii="Arial" w:cs="Arial" w:eastAsia="Arial" w:hAnsi="Arial"/>
                <w:sz w:val="14"/>
                <w:szCs w:val="14"/>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Year ended December 31, 1999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1,338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5"/>
              <w:spacing w:after="0"/>
              <w:rPr>
                <w:sz w:val="20"/>
                <w:szCs w:val="20"/>
                <w:color w:val="auto"/>
              </w:rPr>
            </w:pPr>
            <w:r>
              <w:rPr>
                <w:rFonts w:ascii="Arial" w:cs="Arial" w:eastAsia="Arial" w:hAnsi="Arial"/>
                <w:sz w:val="18"/>
                <w:szCs w:val="18"/>
                <w:color w:val="auto"/>
              </w:rPr>
              <w:t>823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180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1,981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445</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199</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2,227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600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5"/>
              <w:spacing w:after="0"/>
              <w:rPr>
                <w:sz w:val="20"/>
                <w:szCs w:val="20"/>
                <w:color w:val="auto"/>
              </w:rPr>
            </w:pPr>
            <w:r>
              <w:rPr>
                <w:rFonts w:ascii="Arial" w:cs="Arial" w:eastAsia="Arial" w:hAnsi="Arial"/>
                <w:sz w:val="18"/>
                <w:szCs w:val="18"/>
                <w:color w:val="auto"/>
              </w:rPr>
              <w:t>(741)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Reserve for excess and obsolete inventories:</w:t>
            </w: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Year ended December 31, 1999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color w:val="auto"/>
                <w:w w:val="83"/>
              </w:rPr>
              <w:t>18,422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5"/>
              <w:spacing w:after="0"/>
              <w:rPr>
                <w:sz w:val="20"/>
                <w:szCs w:val="20"/>
                <w:color w:val="auto"/>
              </w:rPr>
            </w:pPr>
            <w:r>
              <w:rPr>
                <w:rFonts w:ascii="Arial" w:cs="Arial" w:eastAsia="Arial" w:hAnsi="Arial"/>
                <w:sz w:val="18"/>
                <w:szCs w:val="18"/>
                <w:color w:val="auto"/>
              </w:rPr>
              <w:t>1,113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3,676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15,859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83"/>
              </w:rPr>
              <w:t>15,859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5,928</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4,267</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w w:val="83"/>
              </w:rPr>
              <w:t>17,520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color w:val="auto"/>
                <w:w w:val="83"/>
              </w:rPr>
              <w:t>17,520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7,500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5"/>
              <w:spacing w:after="0"/>
              <w:rPr>
                <w:sz w:val="20"/>
                <w:szCs w:val="20"/>
                <w:color w:val="auto"/>
              </w:rPr>
            </w:pPr>
            <w:r>
              <w:rPr>
                <w:rFonts w:ascii="Arial" w:cs="Arial" w:eastAsia="Arial" w:hAnsi="Arial"/>
                <w:sz w:val="18"/>
                <w:szCs w:val="18"/>
                <w:color w:val="auto"/>
                <w:w w:val="87"/>
              </w:rPr>
              <w:t>15,854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11,484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29,390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620" w:right="5420" w:hanging="5612"/>
        <w:spacing w:after="0" w:line="455" w:lineRule="auto"/>
        <w:tabs>
          <w:tab w:leader="none" w:pos="542" w:val="left"/>
        </w:tabs>
        <w:numPr>
          <w:ilvl w:val="0"/>
          <w:numId w:val="6"/>
        </w:numPr>
        <w:rPr>
          <w:rFonts w:ascii="Arial" w:cs="Arial" w:eastAsia="Arial" w:hAnsi="Arial"/>
          <w:sz w:val="15"/>
          <w:szCs w:val="15"/>
          <w:color w:val="auto"/>
        </w:rPr>
      </w:pPr>
      <w:r>
        <w:rPr>
          <w:rFonts w:ascii="Arial" w:cs="Arial" w:eastAsia="Arial" w:hAnsi="Arial"/>
          <w:sz w:val="15"/>
          <w:szCs w:val="15"/>
          <w:color w:val="auto"/>
        </w:rPr>
        <w:t>Additions resulting from purchase of Automated Systems assets in July 2001. 35</w:t>
      </w:r>
    </w:p>
    <w:p>
      <w:pPr>
        <w:sectPr>
          <w:pgSz w:w="11900" w:h="16838" w:orient="portrait"/>
          <w:cols w:equalWidth="0" w:num="1">
            <w:col w:w="11420"/>
          </w:cols>
          <w:pgMar w:left="240" w:top="419" w:right="239"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(Form S-8 Nos. 33-63818, 33-60735, 333-16293, 333-62803, 333-27663, 333-40610 and 333-66466) pertaining to the Cohu, Inc. 1992, 1994, 1996 and 1998 Stock Option Plans, 1996 Outside Directors Stock Option Plan and 1997 Employee Stock Purchase Plan of our report dated January 28, 2002, with respect to the consolidated financial statements and schedule of Cohu, Inc. included in this Annual Report (Form 10-K) of Cohu, Inc. for the year ended December 31, 2001.</w:t>
      </w:r>
    </w:p>
    <w:p>
      <w:pPr>
        <w:spacing w:after="0" w:line="385"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/s/</w:t>
        <w:tab/>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1,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2019-12-12T22:49:51Z</dcterms:created>
  <dcterms:modified xsi:type="dcterms:W3CDTF">2019-12-12T22:49:51Z</dcterms:modified>
</cp:coreProperties>
</file>