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6"/>
          <w:szCs w:val="36"/>
          <w:b w:val="1"/>
          <w:bCs w:val="1"/>
          <w:color w:val="auto"/>
          <w:vertAlign w:val="superscript"/>
        </w:rPr>
        <w:t>*</w:t>
      </w:r>
    </w:p>
    <w:p>
      <w:pPr>
        <w:spacing w:after="0" w:line="200" w:lineRule="exact"/>
        <w:rPr>
          <w:sz w:val="24"/>
          <w:szCs w:val="24"/>
          <w:color w:val="auto"/>
        </w:rPr>
      </w:pPr>
    </w:p>
    <w:p>
      <w:pPr>
        <w:spacing w:after="0" w:line="3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479"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8" w:lineRule="exact"/>
        <w:rPr>
          <w:sz w:val="24"/>
          <w:szCs w:val="24"/>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16" w:right="29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w:t>
            </w:r>
          </w:p>
        </w:tc>
        <w:tc>
          <w:tcPr>
            <w:tcW w:w="28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2,977,416</w:t>
            </w:r>
          </w:p>
        </w:tc>
        <w:tc>
          <w:tcPr>
            <w:tcW w:w="0" w:type="dxa"/>
            <w:vAlign w:val="bottom"/>
          </w:tcPr>
          <w:p>
            <w:pPr>
              <w:spacing w:after="0"/>
              <w:rPr>
                <w:sz w:val="1"/>
                <w:szCs w:val="1"/>
                <w:color w:val="auto"/>
              </w:rPr>
            </w:pPr>
          </w:p>
        </w:tc>
      </w:tr>
      <w:tr>
        <w:trPr>
          <w:trHeight w:val="174"/>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3,346,697</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3,346,697</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4"/>
              </w:rPr>
              <w:t>8.11%</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w:t>
            </w:r>
          </w:p>
        </w:tc>
        <w:tc>
          <w:tcPr>
            <w:tcW w:w="28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2,977,416</w:t>
            </w:r>
          </w:p>
        </w:tc>
        <w:tc>
          <w:tcPr>
            <w:tcW w:w="0" w:type="dxa"/>
            <w:vAlign w:val="bottom"/>
          </w:tcPr>
          <w:p>
            <w:pPr>
              <w:spacing w:after="0"/>
              <w:rPr>
                <w:sz w:val="1"/>
                <w:szCs w:val="1"/>
                <w:color w:val="auto"/>
              </w:rPr>
            </w:pPr>
          </w:p>
        </w:tc>
      </w:tr>
      <w:tr>
        <w:trPr>
          <w:trHeight w:val="174"/>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3,346,697</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3,346,697</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4"/>
              </w:rPr>
              <w:t>8.11%</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w:t>
            </w:r>
          </w:p>
        </w:tc>
        <w:tc>
          <w:tcPr>
            <w:tcW w:w="28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2,977,416</w:t>
            </w:r>
          </w:p>
        </w:tc>
        <w:tc>
          <w:tcPr>
            <w:tcW w:w="0" w:type="dxa"/>
            <w:vAlign w:val="bottom"/>
          </w:tcPr>
          <w:p>
            <w:pPr>
              <w:spacing w:after="0"/>
              <w:rPr>
                <w:sz w:val="1"/>
                <w:szCs w:val="1"/>
                <w:color w:val="auto"/>
              </w:rPr>
            </w:pPr>
          </w:p>
        </w:tc>
      </w:tr>
      <w:tr>
        <w:trPr>
          <w:trHeight w:val="174"/>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3,346,697</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3,346,697</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4"/>
              </w:rPr>
              <w:t>8.11%</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w:t>
            </w:r>
          </w:p>
        </w:tc>
        <w:tc>
          <w:tcPr>
            <w:tcW w:w="28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2,955,149</w:t>
            </w:r>
          </w:p>
        </w:tc>
        <w:tc>
          <w:tcPr>
            <w:tcW w:w="0" w:type="dxa"/>
            <w:vAlign w:val="bottom"/>
          </w:tcPr>
          <w:p>
            <w:pPr>
              <w:spacing w:after="0"/>
              <w:rPr>
                <w:sz w:val="1"/>
                <w:szCs w:val="1"/>
                <w:color w:val="auto"/>
              </w:rPr>
            </w:pPr>
          </w:p>
        </w:tc>
      </w:tr>
      <w:tr>
        <w:trPr>
          <w:trHeight w:val="174"/>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3,185,981</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3,185,981</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4"/>
              </w:rPr>
              <w:t>7.72%</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80" w:right="8080" w:hanging="407"/>
        <w:spacing w:after="0" w:line="286" w:lineRule="auto"/>
        <w:tabs>
          <w:tab w:leader="none" w:pos="17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COHU, INC.</w:t>
      </w:r>
    </w:p>
    <w:p>
      <w:pPr>
        <w:spacing w:after="0" w:line="45" w:lineRule="exact"/>
        <w:rPr>
          <w:rFonts w:ascii="Times New Roman" w:cs="Times New Roman" w:eastAsia="Times New Roman" w:hAnsi="Times New Roman"/>
          <w:sz w:val="21"/>
          <w:szCs w:val="21"/>
          <w:b w:val="1"/>
          <w:bCs w:val="1"/>
          <w:color w:val="auto"/>
        </w:rPr>
      </w:pPr>
    </w:p>
    <w:p>
      <w:pPr>
        <w:ind w:left="1780" w:right="5180" w:hanging="407"/>
        <w:spacing w:after="0" w:line="243" w:lineRule="auto"/>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12367 Crosthwaite Circle</w:t>
      </w:r>
    </w:p>
    <w:p>
      <w:pPr>
        <w:spacing w:after="0" w:line="1"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Poway, CA 92064-6817</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80" w:right="540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80" w:right="4080" w:hanging="407"/>
        <w:spacing w:after="0" w:line="243"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80" w:right="77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4" w:lineRule="exact"/>
        <w:rPr>
          <w:rFonts w:ascii="Times New Roman" w:cs="Times New Roman" w:eastAsia="Times New Roman" w:hAnsi="Times New Roman"/>
          <w:sz w:val="22"/>
          <w:szCs w:val="22"/>
          <w:b w:val="1"/>
          <w:bCs w:val="1"/>
          <w:color w:val="auto"/>
        </w:rPr>
      </w:pPr>
    </w:p>
    <w:p>
      <w:pPr>
        <w:ind w:left="1780" w:hanging="407"/>
        <w:spacing w:after="0"/>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80" w:right="43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80" w:right="7080" w:hanging="407"/>
        <w:spacing w:after="0" w:line="262"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80" w:right="802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192576106</w:t>
      </w:r>
    </w:p>
    <w:p>
      <w:pPr>
        <w:spacing w:after="0" w:line="46" w:lineRule="exact"/>
        <w:rPr>
          <w:sz w:val="20"/>
          <w:szCs w:val="20"/>
          <w:color w:val="auto"/>
        </w:rPr>
      </w:pPr>
    </w:p>
    <w:p>
      <w:pPr>
        <w:ind w:left="1380" w:hanging="1363"/>
        <w:spacing w:after="0" w:line="262" w:lineRule="auto"/>
        <w:tabs>
          <w:tab w:leader="none" w:pos="13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40" w:right="3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 savings association as defined in Section 3(b) of the Federal Deposit Insurance Act (12 U.S.C. 1813);</w:t>
      </w:r>
    </w:p>
    <w:p>
      <w:pPr>
        <w:spacing w:after="0" w:line="136" w:lineRule="exact"/>
        <w:rPr>
          <w:rFonts w:ascii="Times New Roman" w:cs="Times New Roman" w:eastAsia="Times New Roman" w:hAnsi="Times New Roman"/>
          <w:sz w:val="21"/>
          <w:szCs w:val="21"/>
          <w:color w:val="auto"/>
        </w:rPr>
      </w:pPr>
    </w:p>
    <w:p>
      <w:pPr>
        <w:ind w:left="2240" w:right="1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8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838" w:orient="portrait"/>
          <w:cols w:equalWidth="0" w:num="1">
            <w:col w:w="11260"/>
          </w:cols>
          <w:pgMar w:left="320" w:top="405" w:right="319" w:bottom="0" w:gutter="0" w:footer="0" w:header="0"/>
        </w:sectPr>
      </w:pPr>
    </w:p>
    <w:bookmarkStart w:id="6" w:name="page7"/>
    <w:bookmarkEnd w:id="6"/>
    <w:p>
      <w:pPr>
        <w:ind w:left="1780" w:hanging="407"/>
        <w:spacing w:after="0"/>
        <w:tabs>
          <w:tab w:leader="none" w:pos="178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7" w:lineRule="exact"/>
        <w:rPr>
          <w:rFonts w:ascii="Times New Roman" w:cs="Times New Roman" w:eastAsia="Times New Roman" w:hAnsi="Times New Roman"/>
          <w:sz w:val="21"/>
          <w:szCs w:val="21"/>
          <w:color w:val="auto"/>
        </w:rPr>
      </w:pPr>
    </w:p>
    <w:p>
      <w:pPr>
        <w:ind w:left="2240" w:hanging="462"/>
        <w:spacing w:after="0"/>
        <w:tabs>
          <w:tab w:leader="none" w:pos="22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40" w:hanging="462"/>
        <w:spacing w:after="0"/>
        <w:tabs>
          <w:tab w:leader="none" w:pos="224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1" w:lineRule="exact"/>
        <w:rPr>
          <w:sz w:val="20"/>
          <w:szCs w:val="20"/>
          <w:color w:val="auto"/>
        </w:rPr>
      </w:pPr>
    </w:p>
    <w:p>
      <w:pPr>
        <w:sectPr>
          <w:pgSz w:w="11900" w:h="16838" w:orient="portrait"/>
          <w:cols w:equalWidth="0" w:num="2">
            <w:col w:w="5980" w:space="720"/>
            <w:col w:w="4560"/>
          </w:cols>
          <w:pgMar w:left="320" w:top="111" w:right="319" w:bottom="0" w:gutter="0" w:footer="0" w:header="0"/>
        </w:sectPr>
      </w:pPr>
    </w:p>
    <w:p>
      <w:pPr>
        <w:ind w:left="2240" w:hanging="462"/>
        <w:spacing w:after="0"/>
        <w:tabs>
          <w:tab w:leader="none" w:pos="224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40" w:right="780" w:hanging="462"/>
        <w:spacing w:after="0" w:line="185" w:lineRule="auto"/>
        <w:tabs>
          <w:tab w:leader="none" w:pos="224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6420" w:space="280"/>
            <w:col w:w="4560"/>
          </w:cols>
          <w:pgMar w:left="320" w:top="111" w:right="319" w:bottom="0" w:gutter="0" w:footer="0" w:header="0"/>
          <w:type w:val="continuous"/>
        </w:sectPr>
      </w:pPr>
    </w:p>
    <w:tbl>
      <w:tblPr>
        <w:tblLayout w:type="fixed"/>
        <w:tblInd w:w="0" w:type="dxa"/>
        <w:tblCellMar>
          <w:top w:w="0" w:type="dxa"/>
          <w:left w:w="0" w:type="dxa"/>
          <w:bottom w:w="0" w:type="dxa"/>
          <w:right w:w="0" w:type="dxa"/>
        </w:tblCellMar>
      </w:tblPr>
      <w:tr>
        <w:trPr>
          <w:trHeight w:val="287"/>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 the</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w w:val="9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w w:val="98"/>
              </w:rPr>
              <w:t>securities. No such client is known to have such right or power with respect to more than five percent of this class</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 the</w:t>
            </w:r>
          </w:p>
        </w:tc>
      </w:tr>
      <w:tr>
        <w:trPr>
          <w:trHeight w:val="28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w w:val="9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w w:val="99"/>
              </w:rPr>
              <w:t>or with the effect of changing or influencing the control of the issuer of the securities and were not acquired and</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320" w:type="dxa"/>
            <w:vAlign w:val="bottom"/>
            <w:gridSpan w:val="3"/>
          </w:tcPr>
          <w:p>
            <w:pPr>
              <w:ind w:left="3540"/>
              <w:spacing w:after="0" w:line="245" w:lineRule="exact"/>
              <w:rPr>
                <w:sz w:val="20"/>
                <w:szCs w:val="20"/>
                <w:color w:val="auto"/>
              </w:rPr>
            </w:pPr>
            <w:r>
              <w:rPr>
                <w:rFonts w:ascii="Times New Roman" w:cs="Times New Roman" w:eastAsia="Times New Roman" w:hAnsi="Times New Roman"/>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2020</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5"/>
        </w:trPr>
        <w:tc>
          <w:tcPr>
            <w:tcW w:w="940" w:type="dxa"/>
            <w:vAlign w:val="bottom"/>
          </w:tcPr>
          <w:p>
            <w:pPr>
              <w:spacing w:after="0"/>
              <w:rPr>
                <w:sz w:val="21"/>
                <w:szCs w:val="21"/>
                <w:color w:val="auto"/>
              </w:rPr>
            </w:pPr>
          </w:p>
        </w:tc>
        <w:tc>
          <w:tcPr>
            <w:tcW w:w="10320" w:type="dxa"/>
            <w:vAlign w:val="bottom"/>
            <w:gridSpan w:val="3"/>
          </w:tcPr>
          <w:p>
            <w:pPr>
              <w:ind w:left="3540"/>
              <w:spacing w:after="0" w:line="245" w:lineRule="exact"/>
              <w:rPr>
                <w:sz w:val="20"/>
                <w:szCs w:val="20"/>
                <w:color w:val="auto"/>
              </w:rPr>
            </w:pPr>
            <w:r>
              <w:rPr>
                <w:rFonts w:ascii="Times New Roman" w:cs="Times New Roman" w:eastAsia="Times New Roman" w:hAnsi="Times New Roman"/>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2020</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5"/>
        </w:trPr>
        <w:tc>
          <w:tcPr>
            <w:tcW w:w="940" w:type="dxa"/>
            <w:vAlign w:val="bottom"/>
          </w:tcPr>
          <w:p>
            <w:pPr>
              <w:spacing w:after="0"/>
              <w:rPr>
                <w:sz w:val="21"/>
                <w:szCs w:val="21"/>
                <w:color w:val="auto"/>
              </w:rPr>
            </w:pPr>
          </w:p>
        </w:tc>
        <w:tc>
          <w:tcPr>
            <w:tcW w:w="10320" w:type="dxa"/>
            <w:vAlign w:val="bottom"/>
            <w:gridSpan w:val="3"/>
          </w:tcPr>
          <w:p>
            <w:pPr>
              <w:ind w:left="3540"/>
              <w:spacing w:after="0" w:line="245" w:lineRule="exact"/>
              <w:rPr>
                <w:sz w:val="20"/>
                <w:szCs w:val="20"/>
                <w:color w:val="auto"/>
              </w:rPr>
            </w:pPr>
            <w:r>
              <w:rPr>
                <w:rFonts w:ascii="Times New Roman" w:cs="Times New Roman" w:eastAsia="Times New Roman" w:hAnsi="Times New Roman"/>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James Fricano</w:t>
            </w:r>
          </w:p>
        </w:tc>
      </w:tr>
    </w:tbl>
    <w:p>
      <w:pPr>
        <w:sectPr>
          <w:pgSz w:w="11900" w:h="16838" w:orient="portrait"/>
          <w:cols w:equalWidth="0" w:num="1">
            <w:col w:w="11260"/>
          </w:cols>
          <w:pgMar w:left="320" w:top="111" w:right="319" w:bottom="0" w:gutter="0" w:footer="0" w:header="0"/>
          <w:type w:val="continuous"/>
        </w:sectPr>
      </w:pPr>
    </w:p>
    <w:bookmarkStart w:id="7" w:name="page8"/>
    <w:bookmarkEnd w:id="7"/>
    <w:p>
      <w:pPr>
        <w:ind w:left="33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4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360680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5" w:lineRule="exact"/>
        <w:rPr>
          <w:sz w:val="20"/>
          <w:szCs w:val="20"/>
          <w:color w:val="auto"/>
        </w:rPr>
      </w:pPr>
    </w:p>
    <w:p>
      <w:pPr>
        <w:ind w:right="4460"/>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149860</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COHU,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James Fricano</w:t>
      </w:r>
    </w:p>
    <w:p>
      <w:pPr>
        <w:sectPr>
          <w:pgSz w:w="11900" w:h="16838" w:orient="portrait"/>
          <w:cols w:equalWidth="0" w:num="1">
            <w:col w:w="9020"/>
          </w:cols>
          <w:pgMar w:left="1440" w:top="111" w:right="1439" w:bottom="0" w:gutter="0" w:footer="0" w:header="0"/>
        </w:sectPr>
      </w:pPr>
    </w:p>
    <w:bookmarkStart w:id="8" w:name="page9"/>
    <w:bookmarkEnd w:id="8"/>
    <w:p>
      <w:pPr>
        <w:ind w:left="33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4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2020</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2020-01-08T13:04:49Z</dcterms:created>
  <dcterms:modified xsi:type="dcterms:W3CDTF">2020-01-08T13:04:49Z</dcterms:modified>
</cp:coreProperties>
</file>