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Under the Securities Exchange Act of 1934</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(Amendment)</w:t>
      </w:r>
    </w:p>
    <w:p>
      <w:pPr>
        <w:sectPr>
          <w:pgSz w:w="11900" w:h="16910" w:orient="portrait"/>
          <w:cols w:equalWidth="0" w:num="1">
            <w:col w:w="10239"/>
          </w:cols>
          <w:pgMar w:left="220" w:top="225" w:right="1440" w:bottom="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COHU INC</w:t>
      </w:r>
    </w:p>
    <w:p>
      <w:pPr>
        <w:spacing w:after="0" w:line="171"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192576106</w:t>
      </w:r>
    </w:p>
    <w:p>
      <w:pPr>
        <w:spacing w:after="0" w:line="200" w:lineRule="exact"/>
        <w:rPr>
          <w:sz w:val="24"/>
          <w:szCs w:val="24"/>
          <w:color w:val="auto"/>
        </w:rPr>
      </w:pPr>
    </w:p>
    <w:p>
      <w:pPr>
        <w:sectPr>
          <w:pgSz w:w="11900" w:h="16910" w:orient="portrait"/>
          <w:cols w:equalWidth="0" w:num="2">
            <w:col w:w="2780" w:space="720"/>
            <w:col w:w="6739"/>
          </w:cols>
          <w:pgMar w:left="220" w:top="225" w:right="1440" w:bottom="0" w:gutter="0" w:footer="0" w:header="0"/>
          <w:type w:val="continuous"/>
        </w:sectPr>
      </w:pPr>
    </w:p>
    <w:p>
      <w:pPr>
        <w:spacing w:after="0" w:line="146" w:lineRule="exact"/>
        <w:rPr>
          <w:sz w:val="24"/>
          <w:szCs w:val="24"/>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Page 1 of 10 Pages</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13G</w:t>
      </w:r>
    </w:p>
    <w:p>
      <w:pPr>
        <w:sectPr>
          <w:pgSz w:w="11900" w:h="16910" w:orient="portrait"/>
          <w:cols w:equalWidth="0" w:num="1">
            <w:col w:w="10239"/>
          </w:cols>
          <w:pgMar w:left="220" w:top="225" w:right="1440" w:bottom="0" w:gutter="0" w:footer="0" w:header="0"/>
          <w:type w:val="continuous"/>
        </w:sectPr>
      </w:pPr>
    </w:p>
    <w:p>
      <w:pPr>
        <w:spacing w:after="0" w:line="166" w:lineRule="exact"/>
        <w:rPr>
          <w:sz w:val="24"/>
          <w:szCs w:val="24"/>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CUSIP No.</w:t>
      </w:r>
      <w:r>
        <w:rPr>
          <w:sz w:val="20"/>
          <w:szCs w:val="20"/>
          <w:color w:val="auto"/>
        </w:rPr>
        <w:tab/>
      </w:r>
      <w:r>
        <w:rPr>
          <w:rFonts w:ascii="Courier New" w:cs="Courier New" w:eastAsia="Courier New" w:hAnsi="Courier New"/>
          <w:sz w:val="14"/>
          <w:szCs w:val="14"/>
          <w:color w:val="auto"/>
        </w:rPr>
        <w:t>192576106</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Page 2 of 10 Pages</w:t>
      </w:r>
    </w:p>
    <w:p>
      <w:pPr>
        <w:spacing w:after="0" w:line="9" w:lineRule="exact"/>
        <w:rPr>
          <w:sz w:val="24"/>
          <w:szCs w:val="24"/>
          <w:color w:val="auto"/>
        </w:rPr>
      </w:pPr>
    </w:p>
    <w:p>
      <w:pPr>
        <w:sectPr>
          <w:pgSz w:w="11900" w:h="16910" w:orient="portrait"/>
          <w:cols w:equalWidth="0" w:num="2">
            <w:col w:w="6280" w:space="720"/>
            <w:col w:w="323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spacing w:after="0" w:line="237" w:lineRule="auto"/>
        <w:rPr>
          <w:sz w:val="20"/>
          <w:szCs w:val="20"/>
          <w:color w:val="auto"/>
        </w:rPr>
      </w:pPr>
      <w:r>
        <w:rPr>
          <w:rFonts w:ascii="Courier New" w:cs="Courier New" w:eastAsia="Courier New" w:hAnsi="Courier New"/>
          <w:sz w:val="15"/>
          <w:szCs w:val="15"/>
          <w:color w:val="auto"/>
        </w:rPr>
        <w:t>S.S. or I.R.S. identification no. of above person</w:t>
      </w: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Marsh &amp; McLennan Companies, Inc.</w:t>
      </w:r>
    </w:p>
    <w:p>
      <w:pPr>
        <w:ind w:left="700"/>
        <w:spacing w:after="0" w:line="237" w:lineRule="auto"/>
        <w:rPr>
          <w:sz w:val="20"/>
          <w:szCs w:val="20"/>
          <w:color w:val="auto"/>
        </w:rPr>
      </w:pPr>
      <w:r>
        <w:rPr>
          <w:rFonts w:ascii="Courier New" w:cs="Courier New" w:eastAsia="Courier New" w:hAnsi="Courier New"/>
          <w:sz w:val="15"/>
          <w:szCs w:val="15"/>
          <w:color w:val="auto"/>
        </w:rPr>
        <w:t>36-2668272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700"/>
        <w:spacing w:after="0"/>
        <w:tabs>
          <w:tab w:leader="none" w:pos="1300" w:val="left"/>
          <w:tab w:leader="none" w:pos="2780" w:val="left"/>
          <w:tab w:leader="none" w:pos="34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500" w:hanging="691"/>
        <w:spacing w:after="0" w:line="237" w:lineRule="auto"/>
        <w:tabs>
          <w:tab w:leader="none" w:pos="35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910" w:orient="portrait"/>
          <w:cols w:equalWidth="0" w:num="1">
            <w:col w:w="10239"/>
          </w:cols>
          <w:pgMar w:left="220" w:top="225" w:right="1440" w:bottom="0" w:gutter="0" w:footer="0" w:header="0"/>
          <w:type w:val="continuous"/>
        </w:sect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 w:lineRule="exact"/>
        <w:rPr>
          <w:sz w:val="24"/>
          <w:szCs w:val="24"/>
          <w:color w:val="auto"/>
        </w:rPr>
      </w:pPr>
    </w:p>
    <w:p>
      <w:pPr>
        <w:sectPr>
          <w:pgSz w:w="11900" w:h="16910" w:orient="portrait"/>
          <w:cols w:equalWidth="0" w:num="4">
            <w:col w:w="1400" w:space="700"/>
            <w:col w:w="100" w:space="600"/>
            <w:col w:w="180" w:space="520"/>
            <w:col w:w="6739"/>
          </w:cols>
          <w:pgMar w:left="220" w:top="225" w:right="1440" w:bottom="0" w:gutter="0" w:footer="0" w:header="0"/>
          <w:type w:val="continuous"/>
        </w:sectPr>
      </w:pPr>
    </w:p>
    <w:p>
      <w:pPr>
        <w:spacing w:after="0" w:line="4" w:lineRule="exact"/>
        <w:rPr>
          <w:sz w:val="24"/>
          <w:szCs w:val="24"/>
          <w:color w:val="auto"/>
        </w:rPr>
      </w:pPr>
    </w:p>
    <w:p>
      <w:pPr>
        <w:spacing w:after="0" w:line="254" w:lineRule="auto"/>
        <w:rPr>
          <w:sz w:val="20"/>
          <w:szCs w:val="20"/>
          <w:color w:val="auto"/>
        </w:rPr>
      </w:pPr>
      <w:r>
        <w:rPr>
          <w:rFonts w:ascii="Courier New" w:cs="Courier New" w:eastAsia="Courier New" w:hAnsi="Courier New"/>
          <w:sz w:val="14"/>
          <w:szCs w:val="14"/>
          <w:color w:val="auto"/>
        </w:rPr>
        <w:t>Beneficially Owned by each</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ectPr>
          <w:pgSz w:w="11900" w:h="16910" w:orient="portrait"/>
          <w:cols w:equalWidth="0" w:num="3">
            <w:col w:w="1140" w:space="260"/>
            <w:col w:w="1380" w:space="720"/>
            <w:col w:w="6739"/>
          </w:cols>
          <w:pgMar w:left="220" w:top="22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31"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7.</w:t>
      </w:r>
    </w:p>
    <w:p>
      <w:pPr>
        <w:spacing w:after="0" w:line="20" w:lineRule="exact"/>
        <w:rPr>
          <w:sz w:val="24"/>
          <w:szCs w:val="24"/>
          <w:color w:val="auto"/>
        </w:rPr>
      </w:pPr>
      <w:r>
        <w:rPr>
          <w:sz w:val="24"/>
          <w:szCs w:val="24"/>
          <w:color w:val="auto"/>
        </w:rPr>
        <w:br w:type="column"/>
      </w: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4"/>
          <w:szCs w:val="24"/>
          <w:color w:val="auto"/>
        </w:rPr>
      </w:pPr>
    </w:p>
    <w:p>
      <w:pPr>
        <w:sectPr>
          <w:pgSz w:w="11900" w:h="16910" w:orient="portrait"/>
          <w:cols w:equalWidth="0" w:num="4">
            <w:col w:w="1060" w:space="340"/>
            <w:col w:w="100" w:space="600"/>
            <w:col w:w="180" w:space="520"/>
            <w:col w:w="7439"/>
          </w:cols>
          <w:pgMar w:left="220" w:top="22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4"/>
          <w:szCs w:val="24"/>
          <w:color w:val="auto"/>
        </w:r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Percent of class represented by amount in row 9</w:t>
      </w:r>
    </w:p>
    <w:p>
      <w:pPr>
        <w:sectPr>
          <w:pgSz w:w="11900" w:h="16910" w:orient="portrait"/>
          <w:cols w:equalWidth="0" w:num="1">
            <w:col w:w="10239"/>
          </w:cols>
          <w:pgMar w:left="220" w:top="225" w:right="1440" w:bottom="0" w:gutter="0" w:footer="0" w:header="0"/>
          <w:type w:val="continuous"/>
        </w:sectPr>
      </w:pPr>
    </w:p>
    <w:bookmarkStart w:id="1" w:name="page2"/>
    <w:bookmarkEnd w:id="1"/>
    <w:p>
      <w:pPr>
        <w:ind w:left="700"/>
        <w:spacing w:after="0"/>
        <w:rPr>
          <w:sz w:val="20"/>
          <w:szCs w:val="20"/>
          <w:color w:val="auto"/>
        </w:rPr>
      </w:pPr>
      <w:r>
        <w:rPr>
          <w:rFonts w:ascii="Courier New" w:cs="Courier New" w:eastAsia="Courier New" w:hAnsi="Courier New"/>
          <w:sz w:val="15"/>
          <w:szCs w:val="15"/>
          <w:color w:val="auto"/>
        </w:rPr>
        <w:t>NONE</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192576106</w:t>
      </w:r>
      <w:r>
        <w:rPr>
          <w:sz w:val="20"/>
          <w:szCs w:val="20"/>
          <w:color w:val="auto"/>
        </w:rPr>
        <w:tab/>
      </w:r>
      <w:r>
        <w:rPr>
          <w:rFonts w:ascii="Courier New" w:cs="Courier New" w:eastAsia="Courier New" w:hAnsi="Courier New"/>
          <w:sz w:val="14"/>
          <w:szCs w:val="14"/>
          <w:color w:val="auto"/>
        </w:rPr>
        <w:t>Page 3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LLC. d/b/a/ Putnam Investments</w:t>
      </w:r>
    </w:p>
    <w:p>
      <w:pPr>
        <w:ind w:left="700"/>
        <w:spacing w:after="0" w:line="237" w:lineRule="auto"/>
        <w:rPr>
          <w:sz w:val="20"/>
          <w:szCs w:val="20"/>
          <w:color w:val="auto"/>
        </w:rPr>
      </w:pPr>
      <w:r>
        <w:rPr>
          <w:rFonts w:ascii="Courier New" w:cs="Courier New" w:eastAsia="Courier New" w:hAnsi="Courier New"/>
          <w:sz w:val="15"/>
          <w:szCs w:val="15"/>
          <w:color w:val="auto"/>
        </w:rPr>
        <w:t>36-4488942</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303"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303" w:right="1440" w:bottom="0" w:gutter="0" w:footer="0" w:header="0"/>
          <w:type w:val="continuous"/>
        </w:sectPr>
      </w:pPr>
    </w:p>
    <w:p>
      <w:pPr>
        <w:ind w:left="4200"/>
        <w:spacing w:after="0" w:line="232" w:lineRule="auto"/>
        <w:rPr>
          <w:sz w:val="20"/>
          <w:szCs w:val="20"/>
          <w:color w:val="auto"/>
        </w:rPr>
      </w:pPr>
      <w:r>
        <w:rPr>
          <w:rFonts w:ascii="Courier New" w:cs="Courier New" w:eastAsia="Courier New" w:hAnsi="Courier New"/>
          <w:sz w:val="15"/>
          <w:szCs w:val="15"/>
          <w:color w:val="auto"/>
        </w:rPr>
        <w:t>330630</w:t>
      </w:r>
    </w:p>
    <w:p>
      <w:pPr>
        <w:sectPr>
          <w:pgSz w:w="11900" w:h="16838" w:orient="portrait"/>
          <w:cols w:equalWidth="0" w:num="1">
            <w:col w:w="10239"/>
          </w:cols>
          <w:pgMar w:left="220" w:top="303"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ectPr>
          <w:pgSz w:w="11900" w:h="16838" w:orient="portrait"/>
          <w:cols w:equalWidth="0" w:num="2">
            <w:col w:w="1380" w:space="720"/>
            <w:col w:w="8139"/>
          </w:cols>
          <w:pgMar w:left="220" w:top="303"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with:</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4">
            <w:col w:w="1060" w:space="340"/>
            <w:col w:w="680" w:space="720"/>
            <w:col w:w="180" w:space="520"/>
            <w:col w:w="6739"/>
          </w:cols>
          <w:pgMar w:left="220" w:top="303"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1349430</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400" w:right="4279" w:hanging="1390"/>
        <w:spacing w:after="0" w:line="46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 1349430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6.4%</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HC</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192576106</w:t>
      </w:r>
      <w:r>
        <w:rPr>
          <w:sz w:val="20"/>
          <w:szCs w:val="20"/>
          <w:color w:val="auto"/>
        </w:rPr>
        <w:tab/>
      </w:r>
      <w:r>
        <w:rPr>
          <w:rFonts w:ascii="Courier New" w:cs="Courier New" w:eastAsia="Courier New" w:hAnsi="Courier New"/>
          <w:sz w:val="14"/>
          <w:szCs w:val="14"/>
          <w:color w:val="auto"/>
        </w:rPr>
        <w:t>Page 4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Putnam Investment Management, LLC.</w:t>
      </w:r>
    </w:p>
    <w:p>
      <w:pPr>
        <w:ind w:left="700"/>
        <w:spacing w:after="0" w:line="237" w:lineRule="auto"/>
        <w:rPr>
          <w:sz w:val="20"/>
          <w:szCs w:val="20"/>
          <w:color w:val="auto"/>
        </w:rPr>
      </w:pPr>
      <w:r>
        <w:rPr>
          <w:rFonts w:ascii="Courier New" w:cs="Courier New" w:eastAsia="Courier New" w:hAnsi="Courier New"/>
          <w:sz w:val="15"/>
          <w:szCs w:val="15"/>
          <w:color w:val="auto"/>
        </w:rPr>
        <w:t>04-2471937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303" w:right="1440" w:bottom="0" w:gutter="0" w:footer="0" w:header="0"/>
          <w:type w:val="continuous"/>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303"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303"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3" w:right="1440" w:bottom="0" w:gutter="0" w:footer="0" w:header="0"/>
          <w:type w:val="continuous"/>
        </w:sectPr>
      </w:pPr>
    </w:p>
    <w:bookmarkStart w:id="2" w:name="page3"/>
    <w:bookmarkEnd w:id="2"/>
    <w:p>
      <w:pPr>
        <w:ind w:left="2800" w:hanging="691"/>
        <w:spacing w:after="0"/>
        <w:tabs>
          <w:tab w:leader="none" w:pos="2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544800</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544800</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2.6%</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13G</w:t>
      </w:r>
    </w:p>
    <w:p>
      <w:pPr>
        <w:spacing w:after="0" w:line="16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CUSIP No. 192576106</w:t>
      </w:r>
      <w:r>
        <w:rPr>
          <w:sz w:val="20"/>
          <w:szCs w:val="20"/>
          <w:color w:val="auto"/>
        </w:rPr>
        <w:tab/>
      </w:r>
      <w:r>
        <w:rPr>
          <w:rFonts w:ascii="Courier New" w:cs="Courier New" w:eastAsia="Courier New" w:hAnsi="Courier New"/>
          <w:sz w:val="14"/>
          <w:szCs w:val="14"/>
          <w:color w:val="auto"/>
        </w:rPr>
        <w:t>Page 5 of 10 Pages</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reporting person</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 or I.R.S. identification no. of above person</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Putnam Advisory Company, LLC.</w:t>
      </w:r>
    </w:p>
    <w:p>
      <w:pPr>
        <w:ind w:left="700"/>
        <w:spacing w:after="0" w:line="237" w:lineRule="auto"/>
        <w:rPr>
          <w:sz w:val="20"/>
          <w:szCs w:val="20"/>
          <w:color w:val="auto"/>
        </w:rPr>
      </w:pPr>
      <w:r>
        <w:rPr>
          <w:rFonts w:ascii="Courier New" w:cs="Courier New" w:eastAsia="Courier New" w:hAnsi="Courier New"/>
          <w:sz w:val="15"/>
          <w:szCs w:val="15"/>
          <w:color w:val="auto"/>
        </w:rPr>
        <w:t>04-6187127</w:t>
      </w:r>
    </w:p>
    <w:p>
      <w:pPr>
        <w:spacing w:after="0" w:line="238" w:lineRule="auto"/>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the appropriate box if a member of a group*</w:t>
      </w:r>
    </w:p>
    <w:p>
      <w:pPr>
        <w:ind w:left="1400"/>
        <w:spacing w:after="0"/>
        <w:tabs>
          <w:tab w:leader="none" w:pos="2000" w:val="left"/>
          <w:tab w:leader="none" w:pos="3480" w:val="left"/>
          <w:tab w:leader="none" w:pos="4100" w:val="left"/>
        </w:tabs>
        <w:rPr>
          <w:sz w:val="20"/>
          <w:szCs w:val="20"/>
          <w:color w:val="auto"/>
        </w:rPr>
      </w:pPr>
      <w:r>
        <w:rPr>
          <w:rFonts w:ascii="Courier New" w:cs="Courier New" w:eastAsia="Courier New" w:hAnsi="Courier New"/>
          <w:sz w:val="15"/>
          <w:szCs w:val="15"/>
          <w:color w:val="auto"/>
        </w:rPr>
        <w:t>(a)(</w:t>
        <w:tab/>
        <w:t>)</w:t>
      </w:r>
      <w:r>
        <w:rPr>
          <w:sz w:val="20"/>
          <w:szCs w:val="20"/>
          <w:color w:val="auto"/>
        </w:rPr>
        <w:tab/>
      </w: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use only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700" w:hanging="690"/>
        <w:spacing w:after="0" w:line="237" w:lineRule="auto"/>
        <w:tabs>
          <w:tab w:leader="none" w:pos="7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Citizenship or place of organization</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Delaware</w:t>
      </w:r>
    </w:p>
    <w:p>
      <w:pPr>
        <w:ind w:left="180" w:hanging="170"/>
        <w:spacing w:after="0" w:line="237" w:lineRule="auto"/>
        <w:tabs>
          <w:tab w:leader="none" w:pos="1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0" w:hanging="691"/>
        <w:spacing w:after="0" w:line="237" w:lineRule="auto"/>
        <w:tabs>
          <w:tab w:leader="none" w:pos="350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Voting Power</w:t>
      </w:r>
    </w:p>
    <w:p>
      <w:pPr>
        <w:sectPr>
          <w:pgSz w:w="11900" w:h="16838" w:orient="portrait"/>
          <w:cols w:equalWidth="0" w:num="1">
            <w:col w:w="10239"/>
          </w:cols>
          <w:pgMar w:left="220" w:top="135" w:right="1440" w:bottom="0" w:gutter="0" w:footer="0" w:header="0"/>
        </w:sectPr>
      </w:pPr>
    </w:p>
    <w:p>
      <w:pPr>
        <w:spacing w:after="0" w:line="342"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Number of Beneficially Owned by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w:t>
      </w:r>
    </w:p>
    <w:p>
      <w:pPr>
        <w:ind w:left="600"/>
        <w:spacing w:after="0" w:line="237" w:lineRule="auto"/>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Shared Voting Power</w:t>
      </w:r>
    </w:p>
    <w:p>
      <w:pPr>
        <w:spacing w:after="0" w:line="172" w:lineRule="exact"/>
        <w:rPr>
          <w:sz w:val="20"/>
          <w:szCs w:val="20"/>
          <w:color w:val="auto"/>
        </w:rPr>
      </w:pPr>
    </w:p>
    <w:p>
      <w:pPr>
        <w:sectPr>
          <w:pgSz w:w="11900" w:h="16838" w:orient="portrait"/>
          <w:cols w:equalWidth="0" w:num="4">
            <w:col w:w="1140" w:space="260"/>
            <w:col w:w="100" w:space="0"/>
            <w:col w:w="780" w:space="520"/>
            <w:col w:w="7439"/>
          </w:cols>
          <w:pgMar w:left="220" w:top="135" w:right="1440" w:bottom="0" w:gutter="0" w:footer="0" w:header="0"/>
          <w:type w:val="continuous"/>
        </w:sectPr>
      </w:pPr>
    </w:p>
    <w:p>
      <w:pPr>
        <w:spacing w:after="0" w:line="261" w:lineRule="auto"/>
        <w:rPr>
          <w:sz w:val="20"/>
          <w:szCs w:val="20"/>
          <w:color w:val="auto"/>
        </w:rPr>
      </w:pPr>
      <w:r>
        <w:rPr>
          <w:rFonts w:ascii="Courier New" w:cs="Courier New" w:eastAsia="Courier New" w:hAnsi="Courier New"/>
          <w:sz w:val="14"/>
          <w:szCs w:val="14"/>
          <w:color w:val="auto"/>
        </w:rPr>
        <w:t>Reporting Person with:</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ind w:left="700"/>
        <w:spacing w:after="0" w:line="232" w:lineRule="auto"/>
        <w:rPr>
          <w:sz w:val="20"/>
          <w:szCs w:val="20"/>
          <w:color w:val="auto"/>
        </w:rPr>
      </w:pPr>
      <w:r>
        <w:rPr>
          <w:rFonts w:ascii="Courier New" w:cs="Courier New" w:eastAsia="Courier New" w:hAnsi="Courier New"/>
          <w:sz w:val="15"/>
          <w:szCs w:val="15"/>
          <w:color w:val="auto"/>
        </w:rPr>
        <w:t>330630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Sole Dispositive Power</w:t>
      </w:r>
    </w:p>
    <w:p>
      <w:pPr>
        <w:spacing w:after="0" w:line="166" w:lineRule="exact"/>
        <w:rPr>
          <w:sz w:val="20"/>
          <w:szCs w:val="20"/>
          <w:color w:val="auto"/>
        </w:rPr>
      </w:pPr>
    </w:p>
    <w:p>
      <w:pPr>
        <w:sectPr>
          <w:pgSz w:w="11900" w:h="16838" w:orient="portrait"/>
          <w:cols w:equalWidth="0" w:num="5">
            <w:col w:w="1060" w:space="340"/>
            <w:col w:w="100" w:space="600"/>
            <w:col w:w="100" w:space="600"/>
            <w:col w:w="180" w:space="520"/>
            <w:col w:w="6739"/>
          </w:cols>
          <w:pgMar w:left="220" w:top="135" w:right="1440" w:bottom="0" w:gutter="0" w:footer="0" w:header="0"/>
          <w:type w:val="continuous"/>
        </w:sectPr>
      </w:pPr>
    </w:p>
    <w:p>
      <w:pPr>
        <w:ind w:left="4200"/>
        <w:spacing w:after="0"/>
        <w:rPr>
          <w:sz w:val="20"/>
          <w:szCs w:val="20"/>
          <w:color w:val="auto"/>
        </w:rPr>
      </w:pPr>
      <w:r>
        <w:rPr>
          <w:rFonts w:ascii="Courier New" w:cs="Courier New" w:eastAsia="Courier New" w:hAnsi="Courier New"/>
          <w:sz w:val="15"/>
          <w:szCs w:val="15"/>
          <w:color w:val="auto"/>
        </w:rPr>
        <w:t>NONE</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hanging="691"/>
        <w:spacing w:after="0" w:line="238" w:lineRule="auto"/>
        <w:tabs>
          <w:tab w:leader="none" w:pos="35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Shared Dispositive Power</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804630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amount beneficially owned by each reporting person</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804630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(9) excludes certain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Percent of class represented by amount in row 9</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3.8%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700" w:hanging="690"/>
        <w:spacing w:after="0"/>
        <w:tabs>
          <w:tab w:leader="none" w:pos="7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tabs>
          <w:tab w:leader="none" w:pos="166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13G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Securities Exchange Act of 1934</w:t>
      </w:r>
    </w:p>
    <w:p>
      <w:pPr>
        <w:sectPr>
          <w:pgSz w:w="11900" w:h="16838" w:orient="portrait"/>
          <w:cols w:equalWidth="0" w:num="1">
            <w:col w:w="10239"/>
          </w:cols>
          <w:pgMar w:left="220" w:top="135" w:right="1440" w:bottom="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Issuer: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COHU INC</w:t>
      </w:r>
    </w:p>
    <w:p>
      <w:pPr>
        <w:spacing w:after="0" w:line="178" w:lineRule="exact"/>
        <w:rPr>
          <w:sz w:val="20"/>
          <w:szCs w:val="20"/>
          <w:color w:val="auto"/>
        </w:rPr>
      </w:pPr>
    </w:p>
    <w:p>
      <w:pPr>
        <w:sectPr>
          <w:pgSz w:w="11900" w:h="16838" w:orient="portrait"/>
          <w:cols w:equalWidth="0" w:num="3">
            <w:col w:w="800" w:space="600"/>
            <w:col w:w="1380" w:space="720"/>
            <w:col w:w="67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1(b)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of Issuer's Principal Executive Offices:</w:t>
      </w:r>
    </w:p>
    <w:p>
      <w:pPr>
        <w:spacing w:after="0" w:line="178" w:lineRule="exact"/>
        <w:rPr>
          <w:sz w:val="20"/>
          <w:szCs w:val="20"/>
          <w:color w:val="auto"/>
        </w:rPr>
      </w:pPr>
    </w:p>
    <w:p>
      <w:pPr>
        <w:sectPr>
          <w:pgSz w:w="11900" w:h="16838" w:orient="portrait"/>
          <w:cols w:equalWidth="0" w:num="2">
            <w:col w:w="800" w:space="600"/>
            <w:col w:w="88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5755 Kearny Villa Road, San Diego, California 92123,</w:t>
      </w:r>
    </w:p>
    <w:p>
      <w:pPr>
        <w:sectPr>
          <w:pgSz w:w="11900" w:h="16838" w:orient="portrait"/>
          <w:cols w:equalWidth="0" w:num="1">
            <w:col w:w="10239"/>
          </w:cols>
          <w:pgMar w:left="220" w:top="135"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2(a)</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Item 2(b)</w:t>
      </w:r>
    </w:p>
    <w:p>
      <w:pPr>
        <w:spacing w:after="0" w:line="178" w:lineRule="exact"/>
        <w:rPr>
          <w:sz w:val="20"/>
          <w:szCs w:val="20"/>
          <w:color w:val="auto"/>
        </w:rPr>
      </w:pPr>
    </w:p>
    <w:p>
      <w:pPr>
        <w:sectPr>
          <w:pgSz w:w="11900" w:h="16838" w:orient="portrait"/>
          <w:cols w:equalWidth="0" w:num="2">
            <w:col w:w="4180" w:space="720"/>
            <w:col w:w="533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of Person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Address or Principal Office or, if</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 Residence:</w:t>
      </w:r>
    </w:p>
    <w:p>
      <w:pPr>
        <w:spacing w:after="0" w:line="166" w:lineRule="exact"/>
        <w:rPr>
          <w:sz w:val="20"/>
          <w:szCs w:val="20"/>
          <w:color w:val="auto"/>
        </w:rPr>
      </w:pPr>
    </w:p>
    <w:p>
      <w:pPr>
        <w:sectPr>
          <w:pgSz w:w="11900" w:h="16838" w:orient="portrait"/>
          <w:cols w:equalWidth="0" w:num="2">
            <w:col w:w="3480" w:space="720"/>
            <w:col w:w="6039"/>
          </w:cols>
          <w:pgMar w:left="220" w:top="13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LLC d/b/a Putnam Investments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Boston, Massachusetts 02109</w:t>
      </w:r>
    </w:p>
    <w:p>
      <w:pPr>
        <w:sectPr>
          <w:pgSz w:w="11900" w:h="16838" w:orient="portrait"/>
          <w:cols w:equalWidth="0" w:num="2">
            <w:col w:w="3160" w:space="340"/>
            <w:col w:w="6739"/>
          </w:cols>
          <w:pgMar w:left="220" w:top="135"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on behalf of itself and:</w:t>
      </w:r>
    </w:p>
    <w:p>
      <w:pPr>
        <w:sectPr>
          <w:pgSz w:w="11900" w:h="16838" w:orient="portrait"/>
          <w:cols w:equalWidth="0" w:num="1">
            <w:col w:w="11540"/>
          </w:cols>
          <w:pgMar w:left="220" w:top="141" w:right="139" w:bottom="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*Marsh &amp; McLennan Companies, Inc.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("MMC")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4960"/>
        <w:spacing w:after="0"/>
        <w:rPr>
          <w:sz w:val="20"/>
          <w:szCs w:val="20"/>
          <w:color w:val="auto"/>
        </w:rPr>
      </w:pPr>
      <w:r>
        <w:rPr>
          <w:rFonts w:ascii="Courier New" w:cs="Courier New" w:eastAsia="Courier New" w:hAnsi="Courier New"/>
          <w:sz w:val="14"/>
          <w:szCs w:val="14"/>
          <w:color w:val="auto"/>
        </w:rPr>
        <w:t>1166 Avenue of the Americas</w:t>
      </w:r>
    </w:p>
    <w:p>
      <w:pPr>
        <w:spacing w:after="0" w:line="3" w:lineRule="exact"/>
        <w:rPr>
          <w:sz w:val="20"/>
          <w:szCs w:val="20"/>
          <w:color w:val="auto"/>
        </w:rPr>
      </w:pPr>
    </w:p>
    <w:p>
      <w:pPr>
        <w:jc w:val="right"/>
        <w:ind w:right="4960"/>
        <w:spacing w:after="0"/>
        <w:tabs>
          <w:tab w:leader="none" w:pos="420" w:val="left"/>
        </w:tabs>
        <w:rPr>
          <w:sz w:val="20"/>
          <w:szCs w:val="20"/>
          <w:color w:val="auto"/>
        </w:rPr>
      </w:pPr>
      <w:r>
        <w:rPr>
          <w:rFonts w:ascii="Courier New" w:cs="Courier New" w:eastAsia="Courier New" w:hAnsi="Courier New"/>
          <w:sz w:val="15"/>
          <w:szCs w:val="15"/>
          <w:color w:val="auto"/>
        </w:rPr>
        <w:t>New York, NY</w:t>
      </w:r>
      <w:r>
        <w:rPr>
          <w:sz w:val="20"/>
          <w:szCs w:val="20"/>
          <w:color w:val="auto"/>
        </w:rPr>
        <w:tab/>
      </w:r>
      <w:r>
        <w:rPr>
          <w:rFonts w:ascii="Courier New" w:cs="Courier New" w:eastAsia="Courier New" w:hAnsi="Courier New"/>
          <w:sz w:val="14"/>
          <w:szCs w:val="14"/>
          <w:color w:val="auto"/>
        </w:rPr>
        <w:t>10036</w:t>
      </w:r>
    </w:p>
    <w:p>
      <w:pPr>
        <w:spacing w:after="0" w:line="166" w:lineRule="exact"/>
        <w:rPr>
          <w:sz w:val="20"/>
          <w:szCs w:val="20"/>
          <w:color w:val="auto"/>
        </w:rPr>
      </w:pPr>
    </w:p>
    <w:p>
      <w:pPr>
        <w:sectPr>
          <w:pgSz w:w="11900" w:h="16838" w:orient="portrait"/>
          <w:cols w:equalWidth="0" w:num="2">
            <w:col w:w="3480" w:space="720"/>
            <w:col w:w="7340"/>
          </w:cols>
          <w:pgMar w:left="220" w:top="141" w:right="1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Investment Management, LLC.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Boston, Massachusetts 02109</w:t>
      </w:r>
    </w:p>
    <w:p>
      <w:pPr>
        <w:spacing w:after="0" w:line="170" w:lineRule="exact"/>
        <w:rPr>
          <w:sz w:val="20"/>
          <w:szCs w:val="20"/>
          <w:color w:val="auto"/>
        </w:rPr>
      </w:pPr>
    </w:p>
    <w:p>
      <w:pPr>
        <w:sectPr>
          <w:pgSz w:w="11900" w:h="16838" w:orient="portrait"/>
          <w:cols w:equalWidth="0" w:num="2">
            <w:col w:w="3480" w:space="720"/>
            <w:col w:w="7340"/>
          </w:cols>
          <w:pgMar w:left="220" w:top="141" w:right="13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Putnam Advisory Company, LLC.</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One Post Office Square</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Boston, Massachusetts 02109</w:t>
      </w:r>
    </w:p>
    <w:p>
      <w:pPr>
        <w:spacing w:after="0" w:line="204" w:lineRule="exact"/>
        <w:rPr>
          <w:sz w:val="20"/>
          <w:szCs w:val="20"/>
          <w:color w:val="auto"/>
        </w:rPr>
      </w:pPr>
    </w:p>
    <w:p>
      <w:pPr>
        <w:sectPr>
          <w:pgSz w:w="11900" w:h="16838" w:orient="portrait"/>
          <w:cols w:equalWidth="0" w:num="2">
            <w:col w:w="3480" w:space="720"/>
            <w:col w:w="7340"/>
          </w:cols>
          <w:pgMar w:left="220" w:top="141" w:right="13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4"/>
          <w:szCs w:val="14"/>
          <w:color w:val="auto"/>
        </w:rPr>
        <w:t>Citizenship:</w:t>
        <w:tab/>
        <w:t>PI, PIM and PAC are limited liability companies</w:t>
      </w:r>
    </w:p>
    <w:p>
      <w:pPr>
        <w:spacing w:after="0" w:line="3"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organized under Delaware law.</w:t>
      </w:r>
      <w:r>
        <w:rPr>
          <w:sz w:val="20"/>
          <w:szCs w:val="20"/>
          <w:color w:val="auto"/>
        </w:rPr>
        <w:tab/>
      </w:r>
      <w:r>
        <w:rPr>
          <w:rFonts w:ascii="Courier New" w:cs="Courier New" w:eastAsia="Courier New" w:hAnsi="Courier New"/>
          <w:sz w:val="14"/>
          <w:szCs w:val="14"/>
          <w:color w:val="auto"/>
        </w:rPr>
        <w:t>The citizenship of other</w:t>
      </w:r>
    </w:p>
    <w:p>
      <w:pPr>
        <w:spacing w:after="0" w:line="237" w:lineRule="auto"/>
        <w:rPr>
          <w:sz w:val="20"/>
          <w:szCs w:val="20"/>
          <w:color w:val="auto"/>
        </w:rPr>
      </w:pPr>
      <w:r>
        <w:rPr>
          <w:rFonts w:ascii="Courier New" w:cs="Courier New" w:eastAsia="Courier New" w:hAnsi="Courier New"/>
          <w:sz w:val="15"/>
          <w:szCs w:val="15"/>
          <w:color w:val="auto"/>
        </w:rPr>
        <w:t>persons identified in Item 2(a) is designated as follows:</w:t>
      </w:r>
    </w:p>
    <w:p>
      <w:pPr>
        <w:spacing w:after="0" w:line="167" w:lineRule="exact"/>
        <w:rPr>
          <w:sz w:val="20"/>
          <w:szCs w:val="20"/>
          <w:color w:val="auto"/>
        </w:rPr>
      </w:pPr>
    </w:p>
    <w:p>
      <w:pPr>
        <w:sectPr>
          <w:pgSz w:w="11900" w:h="16838" w:orient="portrait"/>
          <w:cols w:equalWidth="0" w:num="2">
            <w:col w:w="1380" w:space="720"/>
            <w:col w:w="9440"/>
          </w:cols>
          <w:pgMar w:left="220" w:top="141" w:right="139" w:bottom="0" w:gutter="0" w:footer="0" w:header="0"/>
          <w:type w:val="continuous"/>
        </w:sectPr>
      </w:pPr>
    </w:p>
    <w:p>
      <w:pPr>
        <w:ind w:left="2800" w:hanging="691"/>
        <w:spacing w:after="0"/>
        <w:tabs>
          <w:tab w:leader="none" w:pos="2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 - Delaware law</w:t>
      </w:r>
    </w:p>
    <w:p>
      <w:pPr>
        <w:spacing w:after="0" w:line="5" w:lineRule="exact"/>
        <w:rPr>
          <w:sz w:val="20"/>
          <w:szCs w:val="20"/>
          <w:color w:val="auto"/>
        </w:rPr>
      </w:pPr>
    </w:p>
    <w:p>
      <w:pPr>
        <w:ind w:left="2800" w:right="3400" w:hanging="691"/>
        <w:spacing w:after="0" w:line="234" w:lineRule="auto"/>
        <w:tabs>
          <w:tab w:leader="none" w:pos="2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association known as Massachusetts business trust - Massachusetts law</w:t>
      </w:r>
    </w:p>
    <w:p>
      <w:pPr>
        <w:sectPr>
          <w:pgSz w:w="11900" w:h="16838" w:orient="portrait"/>
          <w:cols w:equalWidth="0" w:num="1">
            <w:col w:w="11540"/>
          </w:cols>
          <w:pgMar w:left="220" w:top="141" w:right="139" w:bottom="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w:t>
      </w:r>
    </w:p>
    <w:p>
      <w:pPr>
        <w:spacing w:after="0" w:line="173" w:lineRule="exact"/>
        <w:rPr>
          <w:sz w:val="20"/>
          <w:szCs w:val="20"/>
          <w:color w:val="auto"/>
        </w:rPr>
      </w:pPr>
    </w:p>
    <w:p>
      <w:pPr>
        <w:sectPr>
          <w:pgSz w:w="11900" w:h="16838" w:orient="portrait"/>
          <w:cols w:equalWidth="0" w:num="3">
            <w:col w:w="1380" w:space="720"/>
            <w:col w:w="2540" w:space="260"/>
            <w:col w:w="664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192576106</w:t>
      </w:r>
    </w:p>
    <w:p>
      <w:pPr>
        <w:spacing w:after="0" w:line="178" w:lineRule="exact"/>
        <w:rPr>
          <w:sz w:val="20"/>
          <w:szCs w:val="20"/>
          <w:color w:val="auto"/>
        </w:rPr>
      </w:pPr>
    </w:p>
    <w:p>
      <w:pPr>
        <w:sectPr>
          <w:pgSz w:w="11900" w:h="16838" w:orient="portrait"/>
          <w:cols w:equalWidth="0" w:num="3">
            <w:col w:w="1380" w:space="720"/>
            <w:col w:w="1140" w:space="260"/>
            <w:col w:w="8040"/>
          </w:cols>
          <w:pgMar w:left="220" w:top="141"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Page 6 of 10 Pages</w:t>
      </w:r>
    </w:p>
    <w:p>
      <w:pPr>
        <w:sectPr>
          <w:pgSz w:w="11900" w:h="16838" w:orient="portrait"/>
          <w:cols w:equalWidth="0" w:num="1">
            <w:col w:w="11540"/>
          </w:cols>
          <w:pgMar w:left="220" w:top="141"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Item 3. If this</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statement is filed pursuant to Rules 13d-1(b), or 13d-2(b),</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check whether the person filing is a:</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Broker or Dealer registered under Section 15 of the Act</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Bank as defined in Section 3(a)(6) of the Act</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Insurance Company as defined in Section 3(a)(19) of the Act</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Investment Company registered under Section 8 of the Investment</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Company Act</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(e)( X )</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Investment Adviser registered under Section 203 of the Investment</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Advisers Act of 1940</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(f)(</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62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Employee Benefit Plan, Pension Fund which is subject to the</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provisions of the Employee Retirement Income Security Act of 1974 or</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Endowment Fund; see (Section 240.13d-1(b)(1)(ii)(F)</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rPr>
              <w:t>(g)( X )</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Parent Holding Company, in accordance with Section</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240.13d-1(b)(ii)(G)</w:t>
            </w: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(h)(</w:t>
            </w:r>
          </w:p>
        </w:tc>
        <w:tc>
          <w:tcPr>
            <w:tcW w:w="740" w:type="dxa"/>
            <w:vAlign w:val="bottom"/>
          </w:tcPr>
          <w:p>
            <w:pPr>
              <w:jc w:val="right"/>
              <w:ind w:right="590"/>
              <w:spacing w:after="0"/>
              <w:rPr>
                <w:sz w:val="20"/>
                <w:szCs w:val="20"/>
                <w:color w:val="auto"/>
              </w:rPr>
            </w:pPr>
            <w:r>
              <w:rPr>
                <w:rFonts w:ascii="Courier New" w:cs="Courier New" w:eastAsia="Courier New" w:hAnsi="Courier New"/>
                <w:sz w:val="14"/>
                <w:szCs w:val="14"/>
                <w:color w:val="auto"/>
                <w:w w:val="70"/>
              </w:rPr>
              <w:t>)</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Group, in accordance with Section 240.13d-1(b)(1)(ii)(H)</w:t>
            </w: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009"/>
        </w:trPr>
        <w:tc>
          <w:tcPr>
            <w:tcW w:w="620" w:type="dxa"/>
            <w:vAlign w:val="bottom"/>
          </w:tcPr>
          <w:p>
            <w:pPr>
              <w:spacing w:after="0"/>
              <w:rPr>
                <w:sz w:val="24"/>
                <w:szCs w:val="24"/>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Page 7 of 10 Pages</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41"/>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4.</w:t>
            </w: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1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Ownership.</w:t>
            </w:r>
          </w:p>
        </w:tc>
        <w:tc>
          <w:tcPr>
            <w:tcW w:w="1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M&amp;MC</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PIM*</w:t>
            </w: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rPr>
              <w:t>PAC</w:t>
            </w:r>
          </w:p>
        </w:tc>
        <w:tc>
          <w:tcPr>
            <w:tcW w:w="440" w:type="dxa"/>
            <w:vAlign w:val="bottom"/>
          </w:tcPr>
          <w:p>
            <w:pPr>
              <w:spacing w:after="0"/>
              <w:rPr>
                <w:sz w:val="24"/>
                <w:szCs w:val="24"/>
                <w:color w:val="auto"/>
              </w:rPr>
            </w:pPr>
          </w:p>
        </w:tc>
        <w:tc>
          <w:tcPr>
            <w:tcW w:w="640" w:type="dxa"/>
            <w:vAlign w:val="bottom"/>
          </w:tcPr>
          <w:p>
            <w:pPr>
              <w:ind w:left="300"/>
              <w:spacing w:after="0"/>
              <w:rPr>
                <w:sz w:val="20"/>
                <w:szCs w:val="20"/>
                <w:color w:val="auto"/>
              </w:rPr>
            </w:pPr>
            <w:r>
              <w:rPr>
                <w:rFonts w:ascii="Courier New" w:cs="Courier New" w:eastAsia="Courier New" w:hAnsi="Courier New"/>
                <w:sz w:val="15"/>
                <w:szCs w:val="15"/>
                <w:color w:val="auto"/>
              </w:rPr>
              <w:t>PI</w:t>
            </w: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8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(Parent holding</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advisers</w:t>
            </w:r>
          </w:p>
        </w:tc>
        <w:tc>
          <w:tcPr>
            <w:tcW w:w="48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(Parent company</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company to PI)</w:t>
            </w:r>
          </w:p>
        </w:tc>
        <w:tc>
          <w:tcPr>
            <w:tcW w:w="2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&amp; subsidiaries of PI)</w:t>
            </w:r>
          </w:p>
        </w:tc>
        <w:tc>
          <w:tcPr>
            <w:tcW w:w="480" w:type="dxa"/>
            <w:vAlign w:val="bottom"/>
          </w:tcPr>
          <w:p>
            <w:pPr>
              <w:spacing w:after="0"/>
              <w:rPr>
                <w:sz w:val="14"/>
                <w:szCs w:val="14"/>
                <w:color w:val="auto"/>
              </w:rPr>
            </w:pP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9"/>
              </w:rPr>
              <w:t>to PIM and PAC)</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Amount Beneficially</w:t>
            </w:r>
          </w:p>
        </w:tc>
        <w:tc>
          <w:tcPr>
            <w:tcW w:w="2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6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Owned:</w:t>
            </w:r>
          </w:p>
        </w:tc>
        <w:tc>
          <w:tcPr>
            <w:tcW w:w="1980" w:type="dxa"/>
            <w:vAlign w:val="bottom"/>
          </w:tcPr>
          <w:p>
            <w:pPr>
              <w:spacing w:after="0"/>
              <w:rPr>
                <w:sz w:val="14"/>
                <w:szCs w:val="14"/>
                <w:color w:val="auto"/>
              </w:rPr>
            </w:pPr>
          </w:p>
        </w:tc>
        <w:tc>
          <w:tcPr>
            <w:tcW w:w="2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NONE</w:t>
            </w: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544800  +</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804630</w:t>
            </w:r>
          </w:p>
        </w:tc>
        <w:tc>
          <w:tcPr>
            <w:tcW w:w="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1349430</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Percent</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of Class:</w:t>
            </w:r>
          </w:p>
        </w:tc>
        <w:tc>
          <w:tcPr>
            <w:tcW w:w="2960" w:type="dxa"/>
            <w:vAlign w:val="bottom"/>
          </w:tcPr>
          <w:p>
            <w:pPr>
              <w:ind w:left="860"/>
              <w:spacing w:after="0"/>
              <w:rPr>
                <w:sz w:val="20"/>
                <w:szCs w:val="20"/>
                <w:color w:val="auto"/>
              </w:rPr>
            </w:pPr>
            <w:r>
              <w:rPr>
                <w:rFonts w:ascii="Courier New" w:cs="Courier New" w:eastAsia="Courier New" w:hAnsi="Courier New"/>
                <w:sz w:val="15"/>
                <w:szCs w:val="15"/>
                <w:color w:val="auto"/>
              </w:rPr>
              <w:t>NONE</w:t>
            </w:r>
          </w:p>
        </w:tc>
        <w:tc>
          <w:tcPr>
            <w:tcW w:w="1280" w:type="dxa"/>
            <w:vAlign w:val="bottom"/>
          </w:tcPr>
          <w:p>
            <w:pPr>
              <w:ind w:left="700"/>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spacing w:after="0"/>
              <w:rPr>
                <w:sz w:val="24"/>
                <w:szCs w:val="24"/>
                <w:color w:val="auto"/>
              </w:rPr>
            </w:pPr>
          </w:p>
        </w:tc>
        <w:tc>
          <w:tcPr>
            <w:tcW w:w="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300"/>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300"/>
              <w:spacing w:after="0"/>
              <w:rPr>
                <w:sz w:val="20"/>
                <w:szCs w:val="20"/>
                <w:color w:val="auto"/>
              </w:rPr>
            </w:pPr>
            <w:r>
              <w:rPr>
                <w:rFonts w:ascii="Courier New" w:cs="Courier New" w:eastAsia="Courier New" w:hAnsi="Courier New"/>
                <w:sz w:val="15"/>
                <w:szCs w:val="15"/>
                <w:color w:val="auto"/>
                <w:w w:val="88"/>
              </w:rPr>
              <w:t>6.4%</w:t>
            </w:r>
          </w:p>
        </w:tc>
      </w:tr>
    </w:tbl>
    <w:p>
      <w:pPr>
        <w:spacing w:after="0" w:line="166" w:lineRule="exact"/>
        <w:rPr>
          <w:sz w:val="20"/>
          <w:szCs w:val="20"/>
          <w:color w:val="auto"/>
        </w:rPr>
      </w:pPr>
    </w:p>
    <w:p>
      <w:pPr>
        <w:ind w:left="700" w:hanging="690"/>
        <w:spacing w:after="0"/>
        <w:tabs>
          <w:tab w:leader="none" w:pos="7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as</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which such person has:</w:t>
      </w:r>
    </w:p>
    <w:p>
      <w:pPr>
        <w:spacing w:after="0" w:line="167" w:lineRule="exact"/>
        <w:rPr>
          <w:sz w:val="20"/>
          <w:szCs w:val="20"/>
          <w:color w:val="auto"/>
        </w:rPr>
      </w:pPr>
    </w:p>
    <w:p>
      <w:pPr>
        <w:ind w:left="700" w:hanging="690"/>
        <w:spacing w:after="0"/>
        <w:tabs>
          <w:tab w:leader="none" w:pos="7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vote</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to direct the vote;</w:t>
      </w:r>
    </w:p>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4"/>
          <w:szCs w:val="14"/>
          <w:color w:val="auto"/>
        </w:rPr>
        <w:t>NONE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w:t>
            </w:r>
          </w:p>
        </w:tc>
        <w:tc>
          <w:tcPr>
            <w:tcW w:w="1300" w:type="dxa"/>
            <w:vAlign w:val="bottom"/>
          </w:tcPr>
          <w:p>
            <w:pPr>
              <w:ind w:left="200"/>
              <w:spacing w:after="0"/>
              <w:rPr>
                <w:sz w:val="20"/>
                <w:szCs w:val="20"/>
                <w:color w:val="auto"/>
              </w:rPr>
            </w:pPr>
            <w:r>
              <w:rPr>
                <w:rFonts w:ascii="Courier New" w:cs="Courier New" w:eastAsia="Courier New" w:hAnsi="Courier New"/>
                <w:sz w:val="15"/>
                <w:szCs w:val="15"/>
                <w:color w:val="auto"/>
                <w:w w:val="99"/>
              </w:rPr>
              <w:t>shared power</w:t>
            </w:r>
          </w:p>
        </w:tc>
        <w:tc>
          <w:tcPr>
            <w:tcW w:w="1620" w:type="dxa"/>
            <w:vAlign w:val="bottom"/>
          </w:tcPr>
          <w:p>
            <w:pPr>
              <w:ind w:left="40"/>
              <w:spacing w:after="0"/>
              <w:rPr>
                <w:sz w:val="20"/>
                <w:szCs w:val="20"/>
                <w:color w:val="auto"/>
              </w:rPr>
            </w:pPr>
            <w:r>
              <w:rPr>
                <w:rFonts w:ascii="Courier New" w:cs="Courier New" w:eastAsia="Courier New" w:hAnsi="Courier New"/>
                <w:sz w:val="15"/>
                <w:szCs w:val="15"/>
                <w:color w:val="auto"/>
              </w:rPr>
              <w:t>to vote</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1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9"/>
              </w:rPr>
              <w:t>or to direct</w:t>
            </w:r>
          </w:p>
        </w:tc>
        <w:tc>
          <w:tcPr>
            <w:tcW w:w="1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vote;</w:t>
            </w: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920" w:type="dxa"/>
            <w:vAlign w:val="bottom"/>
            <w:gridSpan w:val="2"/>
          </w:tcPr>
          <w:p>
            <w:pPr>
              <w:ind w:left="200"/>
              <w:spacing w:after="0" w:line="168" w:lineRule="exact"/>
              <w:rPr>
                <w:sz w:val="20"/>
                <w:szCs w:val="20"/>
                <w:color w:val="auto"/>
              </w:rPr>
            </w:pPr>
            <w:r>
              <w:rPr>
                <w:rFonts w:ascii="Courier New" w:cs="Courier New" w:eastAsia="Courier New" w:hAnsi="Courier New"/>
                <w:sz w:val="15"/>
                <w:szCs w:val="15"/>
                <w:color w:val="auto"/>
              </w:rPr>
              <w:t>(but see Item 7)</w:t>
            </w:r>
          </w:p>
        </w:tc>
        <w:tc>
          <w:tcPr>
            <w:tcW w:w="23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NONE</w:t>
            </w:r>
          </w:p>
        </w:tc>
        <w:tc>
          <w:tcPr>
            <w:tcW w:w="24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NONE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330630</w:t>
            </w:r>
          </w:p>
        </w:tc>
      </w:tr>
      <w:tr>
        <w:trPr>
          <w:trHeight w:val="168"/>
        </w:trPr>
        <w:tc>
          <w:tcPr>
            <w:tcW w:w="500" w:type="dxa"/>
            <w:vAlign w:val="bottom"/>
          </w:tcPr>
          <w:p>
            <w:pPr>
              <w:spacing w:after="0"/>
              <w:rPr>
                <w:sz w:val="14"/>
                <w:szCs w:val="14"/>
                <w:color w:val="auto"/>
              </w:rPr>
            </w:pPr>
          </w:p>
        </w:tc>
        <w:tc>
          <w:tcPr>
            <w:tcW w:w="13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330630</w:t>
            </w:r>
          </w:p>
        </w:tc>
        <w:tc>
          <w:tcPr>
            <w:tcW w:w="1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ectPr>
          <w:pgSz w:w="11900" w:h="16838" w:orient="portrait"/>
          <w:cols w:equalWidth="0" w:num="1">
            <w:col w:w="11540"/>
          </w:cols>
          <w:pgMar w:left="220" w:top="141" w:right="139" w:bottom="0" w:gutter="0" w:footer="0" w:header="0"/>
          <w:type w:val="continuous"/>
        </w:sectPr>
      </w:pPr>
    </w:p>
    <w:bookmarkStart w:id="4" w:name="page5"/>
    <w:bookmarkEnd w:id="4"/>
    <w:p>
      <w:pPr>
        <w:ind w:left="700" w:right="9000" w:hanging="690"/>
        <w:spacing w:after="0" w:line="235" w:lineRule="auto"/>
        <w:tabs>
          <w:tab w:leader="none" w:pos="7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sole power to dispose or to direct the disposition of;</w:t>
      </w:r>
    </w:p>
    <w:p>
      <w:pPr>
        <w:ind w:left="700"/>
        <w:spacing w:after="0"/>
        <w:tabs>
          <w:tab w:leader="none" w:pos="4180" w:val="left"/>
          <w:tab w:leader="none" w:pos="6980" w:val="left"/>
          <w:tab w:leader="none" w:pos="9080" w:val="left"/>
          <w:tab w:leader="none" w:pos="11180" w:val="left"/>
        </w:tabs>
        <w:rPr>
          <w:sz w:val="20"/>
          <w:szCs w:val="20"/>
          <w:color w:val="auto"/>
        </w:rPr>
      </w:pPr>
      <w:r>
        <w:rPr>
          <w:rFonts w:ascii="Courier New" w:cs="Courier New" w:eastAsia="Courier New" w:hAnsi="Courier New"/>
          <w:sz w:val="15"/>
          <w:szCs w:val="15"/>
          <w:color w:val="auto"/>
        </w:rPr>
        <w:t>(but see Item 7)</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5"/>
          <w:szCs w:val="15"/>
          <w:color w:val="auto"/>
        </w:rPr>
        <w:t>NONE</w:t>
      </w:r>
      <w:r>
        <w:rPr>
          <w:sz w:val="20"/>
          <w:szCs w:val="20"/>
          <w:color w:val="auto"/>
        </w:rPr>
        <w:tab/>
      </w:r>
      <w:r>
        <w:rPr>
          <w:rFonts w:ascii="Courier New" w:cs="Courier New" w:eastAsia="Courier New" w:hAnsi="Courier New"/>
          <w:sz w:val="14"/>
          <w:szCs w:val="14"/>
          <w:color w:val="auto"/>
        </w:rPr>
        <w:t>NONE</w:t>
      </w:r>
    </w:p>
    <w:p>
      <w:pPr>
        <w:spacing w:after="0" w:line="173" w:lineRule="exact"/>
        <w:rPr>
          <w:sz w:val="20"/>
          <w:szCs w:val="20"/>
          <w:color w:val="auto"/>
        </w:rPr>
      </w:pPr>
    </w:p>
    <w:p>
      <w:pPr>
        <w:ind w:left="700" w:right="9080" w:hanging="690"/>
        <w:spacing w:after="0" w:line="254" w:lineRule="auto"/>
        <w:tabs>
          <w:tab w:leader="none" w:pos="7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shared power to dispose or to direct</w:t>
      </w:r>
    </w:p>
    <w:p>
      <w:pPr>
        <w:ind w:left="700"/>
        <w:spacing w:after="0" w:line="231" w:lineRule="auto"/>
        <w:rPr>
          <w:sz w:val="20"/>
          <w:szCs w:val="20"/>
          <w:color w:val="auto"/>
        </w:rPr>
      </w:pPr>
      <w:r>
        <w:rPr>
          <w:rFonts w:ascii="Courier New" w:cs="Courier New" w:eastAsia="Courier New" w:hAnsi="Courier New"/>
          <w:sz w:val="15"/>
          <w:szCs w:val="15"/>
          <w:color w:val="auto"/>
        </w:rPr>
        <w:t>the disposition of;</w:t>
      </w:r>
    </w:p>
    <w:p>
      <w:pPr>
        <w:sectPr>
          <w:pgSz w:w="11900" w:h="16838" w:orient="portrait"/>
          <w:cols w:equalWidth="0" w:num="1">
            <w:col w:w="11540"/>
          </w:cols>
          <w:pgMar w:left="220" w:top="141" w:right="139" w:bottom="0" w:gutter="0" w:footer="0" w:header="0"/>
        </w:sectPr>
      </w:pP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(but see Item 7)</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NONE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ALL</w:t>
      </w:r>
    </w:p>
    <w:p>
      <w:pPr>
        <w:spacing w:after="0" w:line="20" w:lineRule="exact"/>
        <w:rPr>
          <w:sz w:val="20"/>
          <w:szCs w:val="20"/>
          <w:color w:val="auto"/>
        </w:rPr>
      </w:pPr>
      <w:r>
        <w:rPr>
          <w:sz w:val="20"/>
          <w:szCs w:val="20"/>
          <w:color w:val="auto"/>
        </w:rPr>
        <w:br w:type="column"/>
      </w:r>
    </w:p>
    <w:p>
      <w:pPr>
        <w:jc w:val="center"/>
        <w:ind w:right="1120"/>
        <w:spacing w:after="0"/>
        <w:rPr>
          <w:sz w:val="20"/>
          <w:szCs w:val="20"/>
          <w:color w:val="auto"/>
        </w:rPr>
      </w:pPr>
      <w:r>
        <w:rPr>
          <w:rFonts w:ascii="Courier New" w:cs="Courier New" w:eastAsia="Courier New" w:hAnsi="Courier New"/>
          <w:sz w:val="14"/>
          <w:szCs w:val="14"/>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ALL</w:t>
      </w:r>
    </w:p>
    <w:p>
      <w:pPr>
        <w:spacing w:after="0" w:line="204" w:lineRule="exact"/>
        <w:rPr>
          <w:sz w:val="20"/>
          <w:szCs w:val="20"/>
          <w:color w:val="auto"/>
        </w:rPr>
      </w:pPr>
    </w:p>
    <w:p>
      <w:pPr>
        <w:sectPr>
          <w:pgSz w:w="11900" w:h="16838" w:orient="portrait"/>
          <w:cols w:equalWidth="0" w:num="5">
            <w:col w:w="3480" w:space="720"/>
            <w:col w:w="2080" w:space="720"/>
            <w:col w:w="1380" w:space="720"/>
            <w:col w:w="1380" w:space="720"/>
            <w:col w:w="340"/>
          </w:cols>
          <w:pgMar w:left="220" w:top="141" w:right="139" w:bottom="0" w:gutter="0" w:footer="0" w:header="0"/>
          <w:type w:val="continuous"/>
        </w:sect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 of 10 Pages</w:t>
      </w:r>
    </w:p>
    <w:p>
      <w:pPr>
        <w:sectPr>
          <w:pgSz w:w="11900" w:h="16838" w:orient="portrait"/>
          <w:cols w:equalWidth="0" w:num="1">
            <w:col w:w="11540"/>
          </w:cols>
          <w:pgMar w:left="220" w:top="141"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Ownership of Five Percent or Less of a Class</w:t>
      </w:r>
    </w:p>
    <w:p>
      <w:pPr>
        <w:spacing w:after="0" w:line="173" w:lineRule="exact"/>
        <w:rPr>
          <w:sz w:val="20"/>
          <w:szCs w:val="20"/>
          <w:color w:val="auto"/>
        </w:rPr>
      </w:pPr>
    </w:p>
    <w:p>
      <w:pPr>
        <w:ind w:right="5060"/>
        <w:spacing w:after="0" w:line="258" w:lineRule="auto"/>
        <w:rPr>
          <w:sz w:val="20"/>
          <w:szCs w:val="20"/>
          <w:color w:val="auto"/>
        </w:rPr>
      </w:pPr>
      <w:r>
        <w:rPr>
          <w:rFonts w:ascii="Courier New" w:cs="Courier New" w:eastAsia="Courier New" w:hAnsi="Courier New"/>
          <w:sz w:val="14"/>
          <w:szCs w:val="14"/>
          <w:color w:val="auto"/>
        </w:rPr>
        <w:t>If this statement is being filed to report the fact that as of the date thereof the reporting person has ceased to be the beneficial owner of more than five percent of the class of securities, check the following ( )</w:t>
      </w:r>
    </w:p>
    <w:p>
      <w:pPr>
        <w:spacing w:after="0" w:line="161" w:lineRule="exact"/>
        <w:rPr>
          <w:sz w:val="20"/>
          <w:szCs w:val="20"/>
          <w:color w:val="auto"/>
        </w:rPr>
      </w:pPr>
    </w:p>
    <w:p>
      <w:pPr>
        <w:ind w:right="5580"/>
        <w:spacing w:after="0" w:line="234" w:lineRule="auto"/>
        <w:rPr>
          <w:sz w:val="20"/>
          <w:szCs w:val="20"/>
          <w:color w:val="auto"/>
        </w:rPr>
      </w:pPr>
      <w:r>
        <w:rPr>
          <w:rFonts w:ascii="Courier New" w:cs="Courier New" w:eastAsia="Courier New" w:hAnsi="Courier New"/>
          <w:sz w:val="15"/>
          <w:szCs w:val="15"/>
          <w:color w:val="auto"/>
        </w:rPr>
        <w:t>Item 6. Ownership of More than Five/Ten Percent on Behalf of Another Person:</w:t>
      </w:r>
    </w:p>
    <w:p>
      <w:pPr>
        <w:spacing w:after="0" w:line="5" w:lineRule="exact"/>
        <w:rPr>
          <w:sz w:val="20"/>
          <w:szCs w:val="20"/>
          <w:color w:val="auto"/>
        </w:rPr>
      </w:pPr>
    </w:p>
    <w:p>
      <w:pPr>
        <w:ind w:right="4800"/>
        <w:spacing w:after="0" w:line="255" w:lineRule="auto"/>
        <w:rPr>
          <w:sz w:val="20"/>
          <w:szCs w:val="20"/>
          <w:color w:val="auto"/>
        </w:rPr>
      </w:pPr>
      <w:r>
        <w:rPr>
          <w:rFonts w:ascii="Courier New" w:cs="Courier New" w:eastAsia="Courier New" w:hAnsi="Courier New"/>
          <w:sz w:val="14"/>
          <w:szCs w:val="14"/>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165" w:lineRule="exact"/>
        <w:rPr>
          <w:sz w:val="20"/>
          <w:szCs w:val="20"/>
          <w:color w:val="auto"/>
        </w:rPr>
      </w:pPr>
    </w:p>
    <w:p>
      <w:pPr>
        <w:ind w:right="5500"/>
        <w:spacing w:after="0" w:line="261"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160" w:lineRule="exact"/>
        <w:rPr>
          <w:sz w:val="20"/>
          <w:szCs w:val="20"/>
          <w:color w:val="auto"/>
        </w:rPr>
      </w:pPr>
    </w:p>
    <w:p>
      <w:pPr>
        <w:ind w:right="4880"/>
        <w:spacing w:after="0" w:line="237" w:lineRule="auto"/>
        <w:rPr>
          <w:sz w:val="20"/>
          <w:szCs w:val="20"/>
          <w:color w:val="auto"/>
        </w:rPr>
      </w:pPr>
      <w:r>
        <w:rPr>
          <w:rFonts w:ascii="Courier New" w:cs="Courier New" w:eastAsia="Courier New" w:hAnsi="Courier New"/>
          <w:sz w:val="15"/>
          <w:szCs w:val="15"/>
          <w:color w:val="auto"/>
        </w:rPr>
        <w:t>PI, which is a wholly-owned subsidiary of M&amp;MC, wholly owns two registered investment advisers: Putnam Investment Management, LLC., which is the investment adviser to the Putnam family of mutual funds and The Putnam Advisory Company, LLC., which is the investment adviser to Putnam's institutional clients. Both subsidiaries have dispository power over the shares as investment managers, but each of the mutual fund's trustees have voting power over the shares held by each fund, and The Putnam Advisory Company, LLC. has shared voting power over the shares held by the institutional clients.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Identification and Classification of Members of the Group:</w:t>
      </w:r>
    </w:p>
    <w:p>
      <w:pPr>
        <w:ind w:left="1400"/>
        <w:spacing w:after="0" w:line="237" w:lineRule="auto"/>
        <w:rPr>
          <w:sz w:val="20"/>
          <w:szCs w:val="20"/>
          <w:color w:val="auto"/>
        </w:rPr>
      </w:pPr>
      <w:r>
        <w:rPr>
          <w:rFonts w:ascii="Courier New" w:cs="Courier New" w:eastAsia="Courier New" w:hAnsi="Courier New"/>
          <w:sz w:val="15"/>
          <w:szCs w:val="15"/>
          <w:color w:val="auto"/>
        </w:rPr>
        <w:t>Not applicable.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Notice of Dissolution of Group:</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9 of 10 Pages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800"/>
        <w:spacing w:after="0" w:line="236" w:lineRule="auto"/>
        <w:rPr>
          <w:sz w:val="20"/>
          <w:szCs w:val="20"/>
          <w:color w:val="auto"/>
        </w:rPr>
      </w:pPr>
      <w:r>
        <w:rPr>
          <w:rFonts w:ascii="Courier New" w:cs="Courier New" w:eastAsia="Courier New" w:hAnsi="Courier New"/>
          <w:sz w:val="15"/>
          <w:szCs w:val="15"/>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43" w:lineRule="exact"/>
        <w:rPr>
          <w:sz w:val="20"/>
          <w:szCs w:val="20"/>
          <w:color w:val="auto"/>
        </w:rPr>
      </w:pPr>
    </w:p>
    <w:p>
      <w:pPr>
        <w:ind w:right="5060"/>
        <w:spacing w:after="0" w:line="235" w:lineRule="auto"/>
        <w:rPr>
          <w:sz w:val="20"/>
          <w:szCs w:val="20"/>
          <w:color w:val="auto"/>
        </w:rPr>
      </w:pPr>
      <w:r>
        <w:rPr>
          <w:rFonts w:ascii="Courier New" w:cs="Courier New" w:eastAsia="Courier New" w:hAnsi="Courier New"/>
          <w:sz w:val="15"/>
          <w:szCs w:val="15"/>
          <w:color w:val="auto"/>
        </w:rPr>
        <w:t>After reasonable inquiry and to the best of my knowledge and belief, I certify that the information set forth in this statement is true, complete and correct.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PUTNAM, LLC.</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/s/Andrew J. Hachey</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700"/>
        <w:spacing w:after="0"/>
        <w:tabs>
          <w:tab w:leader="none" w:pos="2080" w:val="left"/>
        </w:tabs>
        <w:rPr>
          <w:sz w:val="20"/>
          <w:szCs w:val="20"/>
          <w:color w:val="auto"/>
        </w:rPr>
      </w:pPr>
      <w:r>
        <w:rPr>
          <w:rFonts w:ascii="Courier New" w:cs="Courier New" w:eastAsia="Courier New" w:hAnsi="Courier New"/>
          <w:sz w:val="15"/>
          <w:szCs w:val="15"/>
          <w:color w:val="auto"/>
        </w:rPr>
        <w:t>Name/Title:</w:t>
      </w:r>
      <w:r>
        <w:rPr>
          <w:sz w:val="20"/>
          <w:szCs w:val="20"/>
          <w:color w:val="auto"/>
        </w:rPr>
        <w:tab/>
      </w:r>
      <w:r>
        <w:rPr>
          <w:rFonts w:ascii="Courier New" w:cs="Courier New" w:eastAsia="Courier New" w:hAnsi="Courier New"/>
          <w:sz w:val="15"/>
          <w:szCs w:val="15"/>
          <w:color w:val="auto"/>
        </w:rPr>
        <w:t>Andrew J. Hachey</w:t>
      </w:r>
    </w:p>
    <w:p>
      <w:pPr>
        <w:ind w:left="700"/>
        <w:spacing w:after="0" w:line="237" w:lineRule="auto"/>
        <w:rPr>
          <w:sz w:val="20"/>
          <w:szCs w:val="20"/>
          <w:color w:val="auto"/>
        </w:rPr>
      </w:pPr>
      <w:r>
        <w:rPr>
          <w:rFonts w:ascii="Courier New" w:cs="Courier New" w:eastAsia="Courier New" w:hAnsi="Courier New"/>
          <w:sz w:val="15"/>
          <w:szCs w:val="15"/>
          <w:color w:val="auto"/>
        </w:rPr>
        <w:t>Vice President and Counsel</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Date:</w:t>
        <w:tab/>
        <w:t>February 5, 2003</w:t>
      </w:r>
    </w:p>
    <w:p>
      <w:pPr>
        <w:spacing w:after="0" w:line="341" w:lineRule="exact"/>
        <w:rPr>
          <w:sz w:val="20"/>
          <w:szCs w:val="20"/>
          <w:color w:val="auto"/>
        </w:rPr>
      </w:pPr>
    </w:p>
    <w:p>
      <w:pPr>
        <w:jc w:val="both"/>
        <w:ind w:right="4800"/>
        <w:spacing w:after="0" w:line="258" w:lineRule="auto"/>
        <w:rPr>
          <w:sz w:val="20"/>
          <w:szCs w:val="20"/>
          <w:color w:val="auto"/>
        </w:rPr>
      </w:pPr>
      <w:r>
        <w:rPr>
          <w:rFonts w:ascii="Courier New" w:cs="Courier New" w:eastAsia="Courier New" w:hAnsi="Courier New"/>
          <w:sz w:val="14"/>
          <w:szCs w:val="14"/>
          <w:color w:val="auto"/>
        </w:rPr>
        <w:t>For this and all future filings, reference is made to Power of Attorney dated April 29, 1999, with respect to duly authorized signatures on behalf of Marsh &amp; McLennan Companies, Inc., Putnam Investments, LLC., Putnam Investment</w:t>
      </w:r>
    </w:p>
    <w:p>
      <w:pPr>
        <w:sectPr>
          <w:pgSz w:w="11900" w:h="16838" w:orient="portrait"/>
          <w:cols w:equalWidth="0" w:num="1">
            <w:col w:w="11540"/>
          </w:cols>
          <w:pgMar w:left="220" w:top="141" w:right="139" w:bottom="0" w:gutter="0" w:footer="0" w:header="0"/>
          <w:type w:val="continuous"/>
        </w:sectPr>
      </w:pPr>
    </w:p>
    <w:bookmarkStart w:id="5" w:name="page6"/>
    <w:bookmarkEnd w:id="5"/>
    <w:p>
      <w:pPr>
        <w:ind w:right="4019"/>
        <w:spacing w:after="0" w:line="234" w:lineRule="auto"/>
        <w:rPr>
          <w:sz w:val="20"/>
          <w:szCs w:val="20"/>
          <w:color w:val="auto"/>
        </w:rPr>
      </w:pPr>
      <w:r>
        <w:rPr>
          <w:rFonts w:ascii="Courier New" w:cs="Courier New" w:eastAsia="Courier New" w:hAnsi="Courier New"/>
          <w:sz w:val="15"/>
          <w:szCs w:val="15"/>
          <w:color w:val="auto"/>
        </w:rPr>
        <w:t>Management, LLC., The Putnam Advisory Company, LLC. and any Putnam Fund wherever applicable.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For this and all future filings, reference is made to an Agreement dated June 28, 1990, with respect to one filing of Schedule 13G on behalf of said entities,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10 of 10 Pages</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2"/>
    </w:lvl>
  </w:abstractNum>
  <w:abstractNum w:abstractNumId="2">
    <w:nsid w:val="75A2A8D4"/>
    <w:multiLevelType w:val="hybridMultilevel"/>
    <w:lvl w:ilvl="0">
      <w:lvlJc w:val="left"/>
      <w:lvlText w:val="%1."/>
      <w:numFmt w:val="decimal"/>
      <w:start w:val="3"/>
    </w:lvl>
  </w:abstractNum>
  <w:abstractNum w:abstractNumId="3">
    <w:nsid w:val="8EDBDAB"/>
    <w:multiLevelType w:val="hybridMultilevel"/>
    <w:lvl w:ilvl="0">
      <w:lvlJc w:val="left"/>
      <w:lvlText w:val="%1."/>
      <w:numFmt w:val="decimal"/>
      <w:start w:val="4"/>
    </w:lvl>
  </w:abstractNum>
  <w:abstractNum w:abstractNumId="4">
    <w:nsid w:val="79838CB2"/>
    <w:multiLevelType w:val="hybridMultilevel"/>
    <w:lvl w:ilvl="0">
      <w:lvlJc w:val="left"/>
      <w:lvlText w:val="-"/>
      <w:numFmt w:val="bullet"/>
      <w:start w:val="1"/>
    </w:lvl>
    <w:lvl w:ilvl="1">
      <w:lvlJc w:val="left"/>
      <w:lvlText w:val="%2."/>
      <w:numFmt w:val="decimal"/>
      <w:start w:val="5"/>
    </w:lvl>
  </w:abstractNum>
  <w:abstractNum w:abstractNumId="5">
    <w:nsid w:val="4353D0CD"/>
    <w:multiLevelType w:val="hybridMultilevel"/>
    <w:lvl w:ilvl="0">
      <w:lvlJc w:val="left"/>
      <w:lvlText w:val="%1."/>
      <w:numFmt w:val="decimal"/>
      <w:start w:val="8"/>
    </w:lvl>
  </w:abstractNum>
  <w:abstractNum w:abstractNumId="6">
    <w:nsid w:val="B03E0C6"/>
    <w:multiLevelType w:val="hybridMultilevel"/>
    <w:lvl w:ilvl="0">
      <w:lvlJc w:val="left"/>
      <w:lvlText w:val="%1."/>
      <w:numFmt w:val="decimal"/>
      <w:start w:val="9"/>
    </w:lvl>
  </w:abstractNum>
  <w:abstractNum w:abstractNumId="7">
    <w:nsid w:val="189A769B"/>
    <w:multiLevelType w:val="hybridMultilevel"/>
    <w:lvl w:ilvl="0">
      <w:lvlJc w:val="left"/>
      <w:lvlText w:val="%1."/>
      <w:numFmt w:val="decimal"/>
      <w:start w:val="10"/>
    </w:lvl>
  </w:abstractNum>
  <w:abstractNum w:abstractNumId="8">
    <w:nsid w:val="54E49EB4"/>
    <w:multiLevelType w:val="hybridMultilevel"/>
    <w:lvl w:ilvl="0">
      <w:lvlJc w:val="left"/>
      <w:lvlText w:val="%1."/>
      <w:numFmt w:val="decimal"/>
      <w:start w:val="12"/>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2"/>
    </w:lvl>
  </w:abstractNum>
  <w:abstractNum w:abstractNumId="11">
    <w:nsid w:val="836C40E"/>
    <w:multiLevelType w:val="hybridMultilevel"/>
    <w:lvl w:ilvl="0">
      <w:lvlJc w:val="left"/>
      <w:lvlText w:val="%1."/>
      <w:numFmt w:val="decimal"/>
      <w:start w:val="3"/>
    </w:lvl>
  </w:abstractNum>
  <w:abstractNum w:abstractNumId="12">
    <w:nsid w:val="2901D82"/>
    <w:multiLevelType w:val="hybridMultilevel"/>
    <w:lvl w:ilvl="0">
      <w:lvlJc w:val="left"/>
      <w:lvlText w:val="%1."/>
      <w:numFmt w:val="decimal"/>
      <w:start w:val="4"/>
    </w:lvl>
  </w:abstractNum>
  <w:abstractNum w:abstractNumId="13">
    <w:nsid w:val="3A95F874"/>
    <w:multiLevelType w:val="hybridMultilevel"/>
    <w:lvl w:ilvl="0">
      <w:lvlJc w:val="left"/>
      <w:lvlText w:val="-"/>
      <w:numFmt w:val="bullet"/>
      <w:start w:val="1"/>
    </w:lvl>
    <w:lvl w:ilvl="1">
      <w:lvlJc w:val="left"/>
      <w:lvlText w:val="%2."/>
      <w:numFmt w:val="decimal"/>
      <w:start w:val="5"/>
    </w:lvl>
  </w:abstractNum>
  <w:abstractNum w:abstractNumId="14">
    <w:nsid w:val="8138641"/>
    <w:multiLevelType w:val="hybridMultilevel"/>
    <w:lvl w:ilvl="0">
      <w:lvlJc w:val="left"/>
      <w:lvlText w:val="%1."/>
      <w:numFmt w:val="decimal"/>
      <w:start w:val="8"/>
    </w:lvl>
  </w:abstractNum>
  <w:abstractNum w:abstractNumId="15">
    <w:nsid w:val="1E7FF521"/>
    <w:multiLevelType w:val="hybridMultilevel"/>
    <w:lvl w:ilvl="0">
      <w:lvlJc w:val="left"/>
      <w:lvlText w:val="%1."/>
      <w:numFmt w:val="decimal"/>
      <w:start w:val="9"/>
    </w:lvl>
  </w:abstractNum>
  <w:abstractNum w:abstractNumId="16">
    <w:nsid w:val="7C3DBD3D"/>
    <w:multiLevelType w:val="hybridMultilevel"/>
    <w:lvl w:ilvl="0">
      <w:lvlJc w:val="left"/>
      <w:lvlText w:val="%1."/>
      <w:numFmt w:val="decimal"/>
      <w:start w:val="10"/>
    </w:lvl>
  </w:abstractNum>
  <w:abstractNum w:abstractNumId="17">
    <w:nsid w:val="737B8DDC"/>
    <w:multiLevelType w:val="hybridMultilevel"/>
    <w:lvl w:ilvl="0">
      <w:lvlJc w:val="left"/>
      <w:lvlText w:val="%1."/>
      <w:numFmt w:val="decimal"/>
      <w:start w:val="11"/>
    </w:lvl>
  </w:abstractNum>
  <w:abstractNum w:abstractNumId="18">
    <w:nsid w:val="6CEAF087"/>
    <w:multiLevelType w:val="hybridMultilevel"/>
    <w:lvl w:ilvl="0">
      <w:lvlJc w:val="left"/>
      <w:lvlText w:val="%1."/>
      <w:numFmt w:val="decimal"/>
      <w:start w:val="12"/>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2"/>
    </w:lvl>
  </w:abstractNum>
  <w:abstractNum w:abstractNumId="21">
    <w:nsid w:val="3006C83E"/>
    <w:multiLevelType w:val="hybridMultilevel"/>
    <w:lvl w:ilvl="0">
      <w:lvlJc w:val="left"/>
      <w:lvlText w:val="%1."/>
      <w:numFmt w:val="decimal"/>
      <w:start w:val="3"/>
    </w:lvl>
  </w:abstractNum>
  <w:abstractNum w:abstractNumId="22">
    <w:nsid w:val="614FD4A1"/>
    <w:multiLevelType w:val="hybridMultilevel"/>
    <w:lvl w:ilvl="0">
      <w:lvlJc w:val="left"/>
      <w:lvlText w:val="%1."/>
      <w:numFmt w:val="decimal"/>
      <w:start w:val="4"/>
    </w:lvl>
  </w:abstractNum>
  <w:abstractNum w:abstractNumId="23">
    <w:nsid w:val="419AC241"/>
    <w:multiLevelType w:val="hybridMultilevel"/>
    <w:lvl w:ilvl="0">
      <w:lvlJc w:val="left"/>
      <w:lvlText w:val="-"/>
      <w:numFmt w:val="bullet"/>
      <w:start w:val="1"/>
    </w:lvl>
    <w:lvl w:ilvl="1">
      <w:lvlJc w:val="left"/>
      <w:lvlText w:val="%2."/>
      <w:numFmt w:val="decimal"/>
      <w:start w:val="5"/>
    </w:lvl>
  </w:abstractNum>
  <w:abstractNum w:abstractNumId="24">
    <w:nsid w:val="5577F8E1"/>
    <w:multiLevelType w:val="hybridMultilevel"/>
    <w:lvl w:ilvl="0">
      <w:lvlJc w:val="left"/>
      <w:lvlText w:val="%1."/>
      <w:numFmt w:val="decimal"/>
      <w:start w:val="8"/>
    </w:lvl>
  </w:abstractNum>
  <w:abstractNum w:abstractNumId="25">
    <w:nsid w:val="440BADFC"/>
    <w:multiLevelType w:val="hybridMultilevel"/>
    <w:lvl w:ilvl="0">
      <w:lvlJc w:val="left"/>
      <w:lvlText w:val="%1."/>
      <w:numFmt w:val="decimal"/>
      <w:start w:val="9"/>
    </w:lvl>
  </w:abstractNum>
  <w:abstractNum w:abstractNumId="26">
    <w:nsid w:val="5072367"/>
    <w:multiLevelType w:val="hybridMultilevel"/>
    <w:lvl w:ilvl="0">
      <w:lvlJc w:val="left"/>
      <w:lvlText w:val="%1."/>
      <w:numFmt w:val="decimal"/>
      <w:start w:val="10"/>
    </w:lvl>
  </w:abstractNum>
  <w:abstractNum w:abstractNumId="27">
    <w:nsid w:val="3804823E"/>
    <w:multiLevelType w:val="hybridMultilevel"/>
    <w:lvl w:ilvl="0">
      <w:lvlJc w:val="left"/>
      <w:lvlText w:val="%1."/>
      <w:numFmt w:val="decimal"/>
      <w:start w:val="11"/>
    </w:lvl>
  </w:abstractNum>
  <w:abstractNum w:abstractNumId="28">
    <w:nsid w:val="77465F01"/>
    <w:multiLevelType w:val="hybridMultilevel"/>
    <w:lvl w:ilvl="0">
      <w:lvlJc w:val="left"/>
      <w:lvlText w:val="%1."/>
      <w:numFmt w:val="decimal"/>
      <w:start w:val="12"/>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decimal"/>
      <w:start w:val="4"/>
    </w:lvl>
  </w:abstractNum>
  <w:abstractNum w:abstractNumId="33">
    <w:nsid w:val="51EAD36B"/>
    <w:multiLevelType w:val="hybridMultilevel"/>
    <w:lvl w:ilvl="0">
      <w:lvlJc w:val="left"/>
      <w:lvlText w:val="-"/>
      <w:numFmt w:val="bullet"/>
      <w:start w:val="1"/>
    </w:lvl>
    <w:lvl w:ilvl="1">
      <w:lvlJc w:val="left"/>
      <w:lvlText w:val="%2."/>
      <w:numFmt w:val="decimal"/>
      <w:start w:val="5"/>
    </w:lvl>
  </w:abstractNum>
  <w:abstractNum w:abstractNumId="34">
    <w:nsid w:val="2D517796"/>
    <w:multiLevelType w:val="hybridMultilevel"/>
    <w:lvl w:ilvl="0">
      <w:lvlJc w:val="left"/>
      <w:lvlText w:val="%1."/>
      <w:numFmt w:val="decimal"/>
      <w:start w:val="8"/>
    </w:lvl>
  </w:abstractNum>
  <w:abstractNum w:abstractNumId="35">
    <w:nsid w:val="580BD78F"/>
    <w:multiLevelType w:val="hybridMultilevel"/>
    <w:lvl w:ilvl="0">
      <w:lvlJc w:val="left"/>
      <w:lvlText w:val="%1."/>
      <w:numFmt w:val="decimal"/>
      <w:start w:val="9"/>
    </w:lvl>
  </w:abstractNum>
  <w:abstractNum w:abstractNumId="36">
    <w:nsid w:val="153EA438"/>
    <w:multiLevelType w:val="hybridMultilevel"/>
    <w:lvl w:ilvl="0">
      <w:lvlJc w:val="left"/>
      <w:lvlText w:val="%1."/>
      <w:numFmt w:val="decimal"/>
      <w:start w:val="10"/>
    </w:lvl>
  </w:abstractNum>
  <w:abstractNum w:abstractNumId="37">
    <w:nsid w:val="3855585C"/>
    <w:multiLevelType w:val="hybridMultilevel"/>
    <w:lvl w:ilvl="0">
      <w:lvlJc w:val="left"/>
      <w:lvlText w:val="%1."/>
      <w:numFmt w:val="decimal"/>
      <w:start w:val="11"/>
    </w:lvl>
  </w:abstractNum>
  <w:abstractNum w:abstractNumId="38">
    <w:nsid w:val="70A64E2A"/>
    <w:multiLevelType w:val="hybridMultilevel"/>
    <w:lvl w:ilvl="0">
      <w:lvlJc w:val="left"/>
      <w:lvlText w:val="%1."/>
      <w:numFmt w:val="decimal"/>
      <w:start w:val="12"/>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lowerLetter"/>
      <w:start w:val="3"/>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3"/>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2019-12-12T22:55:13Z</dcterms:created>
  <dcterms:modified xsi:type="dcterms:W3CDTF">2019-12-12T22:55:13Z</dcterms:modified>
</cp:coreProperties>
</file>