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80"/>
        <w:spacing w:after="0"/>
        <w:tabs>
          <w:tab w:leader="none" w:pos="66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Cohu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192576106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Number)</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December 31, 2019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22"/>
          <w:szCs w:val="22"/>
          <w:color w:val="auto"/>
        </w:rPr>
        <w:t>Check appropriate box to designate the rule pursuant to which this Schedule is filed:</w:t>
      </w:r>
    </w:p>
    <w:p>
      <w:pPr>
        <w:spacing w:after="0" w:line="24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6" w:lineRule="exact"/>
        <w:rPr>
          <w:rFonts w:ascii="MS PGothic" w:cs="MS PGothic" w:eastAsia="MS PGothic" w:hAnsi="MS PGothic"/>
          <w:sz w:val="22"/>
          <w:szCs w:val="22"/>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00" w:lineRule="exact"/>
        <w:rPr>
          <w:sz w:val="24"/>
          <w:szCs w:val="24"/>
          <w:color w:val="auto"/>
        </w:rPr>
      </w:pPr>
    </w:p>
    <w:p>
      <w:pPr>
        <w:spacing w:after="0" w:line="283" w:lineRule="exact"/>
        <w:rPr>
          <w:sz w:val="24"/>
          <w:szCs w:val="24"/>
          <w:color w:val="auto"/>
        </w:rPr>
      </w:pPr>
    </w:p>
    <w:p>
      <w:pPr>
        <w:ind w:left="240" w:right="100" w:hanging="232"/>
        <w:spacing w:after="0" w:line="277"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0"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192576106</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1.NAMES OF REPORTING PERSONS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I.R.S. IDENTIFICATION NOS. OF ABOVE PERSONS (entities only)</w:t>
      </w:r>
    </w:p>
    <w:p>
      <w:pPr>
        <w:spacing w:after="0" w:line="23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Barrow, Hanley, Mewhinney &amp; Strauss, LLC</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752403190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2.CHECK THE APPROPRIATE BOX IF A MEMBER OF A GROUP (See Instructions)</w:t>
      </w:r>
    </w:p>
    <w:p>
      <w:pPr>
        <w:spacing w:after="0" w:line="18" w:lineRule="exact"/>
        <w:rPr>
          <w:sz w:val="20"/>
          <w:szCs w:val="20"/>
          <w:color w:val="auto"/>
        </w:rPr>
      </w:pPr>
    </w:p>
    <w:p>
      <w:pPr>
        <w:ind w:left="1060" w:hanging="282"/>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1080" w:hanging="302"/>
        <w:spacing w:after="0" w:line="207" w:lineRule="exact"/>
        <w:tabs>
          <w:tab w:leader="none" w:pos="1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Delaware limited liability company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1,608,236 shares</w:t>
            </w:r>
          </w:p>
        </w:tc>
        <w:tc>
          <w:tcPr>
            <w:tcW w:w="0" w:type="dxa"/>
            <w:vAlign w:val="bottom"/>
          </w:tcPr>
          <w:p>
            <w:pPr>
              <w:spacing w:after="0"/>
              <w:rPr>
                <w:sz w:val="1"/>
                <w:szCs w:val="1"/>
                <w:color w:val="auto"/>
              </w:rPr>
            </w:pPr>
          </w:p>
        </w:tc>
      </w:tr>
      <w:tr>
        <w:trPr>
          <w:trHeight w:val="148"/>
        </w:trPr>
        <w:tc>
          <w:tcPr>
            <w:tcW w:w="1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72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8"/>
                <w:szCs w:val="8"/>
                <w:color w:val="auto"/>
              </w:rPr>
            </w:pPr>
          </w:p>
        </w:tc>
        <w:tc>
          <w:tcPr>
            <w:tcW w:w="9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Arial" w:cs="Arial" w:eastAsia="Arial" w:hAnsi="Arial"/>
                <w:sz w:val="18"/>
                <w:szCs w:val="18"/>
                <w:color w:val="auto"/>
              </w:rPr>
              <w:t>547,433 shares</w:t>
            </w:r>
          </w:p>
        </w:tc>
        <w:tc>
          <w:tcPr>
            <w:tcW w:w="0" w:type="dxa"/>
            <w:vAlign w:val="bottom"/>
          </w:tcPr>
          <w:p>
            <w:pPr>
              <w:spacing w:after="0"/>
              <w:rPr>
                <w:sz w:val="1"/>
                <w:szCs w:val="1"/>
                <w:color w:val="auto"/>
              </w:rPr>
            </w:pPr>
          </w:p>
        </w:tc>
      </w:tr>
      <w:tr>
        <w:trPr>
          <w:trHeight w:val="129"/>
        </w:trPr>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00" w:type="dxa"/>
            <w:vAlign w:val="bottom"/>
            <w:tcBorders>
              <w:bottom w:val="single" w:sz="8" w:color="auto"/>
            </w:tcBorders>
          </w:tcPr>
          <w:p>
            <w:pPr>
              <w:spacing w:after="0"/>
              <w:rPr>
                <w:sz w:val="11"/>
                <w:szCs w:val="11"/>
                <w:color w:val="auto"/>
              </w:rPr>
            </w:pPr>
          </w:p>
        </w:tc>
        <w:tc>
          <w:tcPr>
            <w:tcW w:w="94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4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4"/>
                <w:szCs w:val="14"/>
                <w:color w:val="auto"/>
              </w:rPr>
            </w:pPr>
          </w:p>
        </w:tc>
        <w:tc>
          <w:tcPr>
            <w:tcW w:w="9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7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Arial" w:cs="Arial" w:eastAsia="Arial" w:hAnsi="Arial"/>
                <w:sz w:val="18"/>
                <w:szCs w:val="18"/>
                <w:color w:val="auto"/>
              </w:rPr>
              <w:t>2,155,669 shares</w:t>
            </w:r>
          </w:p>
        </w:tc>
        <w:tc>
          <w:tcPr>
            <w:tcW w:w="0" w:type="dxa"/>
            <w:vAlign w:val="bottom"/>
          </w:tcPr>
          <w:p>
            <w:pPr>
              <w:spacing w:after="0"/>
              <w:rPr>
                <w:sz w:val="1"/>
                <w:szCs w:val="1"/>
                <w:color w:val="auto"/>
              </w:rPr>
            </w:pPr>
          </w:p>
        </w:tc>
      </w:tr>
      <w:tr>
        <w:trPr>
          <w:trHeight w:val="183"/>
        </w:trPr>
        <w:tc>
          <w:tcPr>
            <w:tcW w:w="172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15"/>
                <w:szCs w:val="15"/>
                <w:color w:val="auto"/>
              </w:rPr>
            </w:pPr>
          </w:p>
        </w:tc>
        <w:tc>
          <w:tcPr>
            <w:tcW w:w="9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4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2,155,669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10.CHECK IF THE AGGREGATE AMOUNT IN ROW (9) EXCLUDES CERTAIN SHARES (See Instructions)</w:t>
      </w:r>
    </w:p>
    <w:p>
      <w:pPr>
        <w:spacing w:after="0" w:line="220" w:lineRule="exact"/>
        <w:rPr>
          <w:sz w:val="20"/>
          <w:szCs w:val="20"/>
          <w:color w:val="auto"/>
        </w:rPr>
      </w:pPr>
    </w:p>
    <w:p>
      <w:pPr>
        <w:ind w:left="7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11.PERCENT OF CLASS REPRESENTED BY AMOUNT IN ROW (9)</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12.TYPE OF REPORTING PERSON (See Instructions)</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Item 1(a)  Name of Issuer: Cohu Inc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1(b)  Address of Issuer’s Principal Executive Offices:</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12367 Crosthwaite Circle</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Poway, CA 92064</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Item 2(a)  Name of Person Filing:</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Barrow, Hanley, Mewhinney &amp; Strauss, LLC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2(b)  Address of Principal Business Office or, if none, Residence:</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2200 Ross Avenue, 31st Floor</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Dallas, TX 75201-2761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2(c)  Citizenship:</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2(d)  Title of Class of Securities</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left="660"/>
        <w:spacing w:after="0"/>
        <w:tabs>
          <w:tab w:leader="none" w:pos="2420" w:val="left"/>
        </w:tabs>
        <w:rPr>
          <w:sz w:val="20"/>
          <w:szCs w:val="20"/>
          <w:color w:val="auto"/>
        </w:rPr>
      </w:pPr>
      <w:r>
        <w:rPr>
          <w:rFonts w:ascii="Arial" w:cs="Arial" w:eastAsia="Arial" w:hAnsi="Arial"/>
          <w:sz w:val="18"/>
          <w:szCs w:val="18"/>
          <w:color w:val="auto"/>
        </w:rPr>
        <w:t>2(e)  CUSIP Number:</w:t>
      </w:r>
      <w:r>
        <w:rPr>
          <w:sz w:val="20"/>
          <w:szCs w:val="20"/>
          <w:color w:val="auto"/>
        </w:rPr>
        <w:tab/>
      </w:r>
      <w:r>
        <w:rPr>
          <w:rFonts w:ascii="Arial" w:cs="Arial" w:eastAsia="Arial" w:hAnsi="Arial"/>
          <w:sz w:val="15"/>
          <w:szCs w:val="15"/>
          <w:color w:val="auto"/>
        </w:rPr>
        <w:t>192576106</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193" w:lineRule="exact"/>
        <w:rPr>
          <w:sz w:val="20"/>
          <w:szCs w:val="20"/>
          <w:color w:val="auto"/>
        </w:rPr>
      </w:pPr>
    </w:p>
    <w:p>
      <w:pPr>
        <w:ind w:left="1660" w:hanging="599"/>
        <w:spacing w:after="0" w:line="207" w:lineRule="exact"/>
        <w:tabs>
          <w:tab w:leader="none" w:pos="1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660" w:hanging="599"/>
        <w:spacing w:after="0" w:line="207" w:lineRule="exact"/>
        <w:tabs>
          <w:tab w:leader="none" w:pos="1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660" w:hanging="599"/>
        <w:spacing w:after="0" w:line="207" w:lineRule="exact"/>
        <w:tabs>
          <w:tab w:leader="none" w:pos="1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660" w:hanging="599"/>
        <w:spacing w:after="0" w:line="207" w:lineRule="exact"/>
        <w:tabs>
          <w:tab w:leader="none" w:pos="1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60" w:hanging="599"/>
        <w:spacing w:after="0" w:line="207" w:lineRule="exact"/>
        <w:tabs>
          <w:tab w:leader="none" w:pos="1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1660" w:hanging="599"/>
        <w:spacing w:after="0" w:line="207" w:lineRule="exact"/>
        <w:tabs>
          <w:tab w:leader="none" w:pos="1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660" w:hanging="599"/>
        <w:spacing w:after="0" w:line="207" w:lineRule="exact"/>
        <w:tabs>
          <w:tab w:leader="none" w:pos="1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§240.13d-1(b)(ii)(G);</w:t>
      </w:r>
    </w:p>
    <w:p>
      <w:pPr>
        <w:spacing w:after="0" w:line="225" w:lineRule="exact"/>
        <w:rPr>
          <w:rFonts w:ascii="Arial" w:cs="Arial" w:eastAsia="Arial" w:hAnsi="Arial"/>
          <w:sz w:val="18"/>
          <w:szCs w:val="18"/>
          <w:color w:val="auto"/>
        </w:rPr>
      </w:pPr>
    </w:p>
    <w:p>
      <w:pPr>
        <w:ind w:left="1660" w:hanging="599"/>
        <w:spacing w:after="0" w:line="207" w:lineRule="exact"/>
        <w:tabs>
          <w:tab w:leader="none" w:pos="1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160" w:hanging="1099"/>
        <w:spacing w:after="0" w:line="239" w:lineRule="exact"/>
        <w:tabs>
          <w:tab w:leader="none" w:pos="1674"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60" w:hanging="599"/>
        <w:spacing w:after="0" w:line="207" w:lineRule="exact"/>
        <w:tabs>
          <w:tab w:leader="none" w:pos="1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 accordance with §240.13d-1(b)(1)(ii)(J).</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 w:name="page4"/>
    <w:bookmarkEnd w:id="3"/>
    <w:p>
      <w:pPr>
        <w:ind w:left="480"/>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60" w:type="dxa"/>
            <w:vAlign w:val="bottom"/>
          </w:tcPr>
          <w:p>
            <w:pPr>
              <w:ind w:left="680"/>
              <w:spacing w:after="0"/>
              <w:rPr>
                <w:sz w:val="20"/>
                <w:szCs w:val="20"/>
                <w:color w:val="auto"/>
              </w:rPr>
            </w:pPr>
            <w:r>
              <w:rPr>
                <w:rFonts w:ascii="Arial" w:cs="Arial" w:eastAsia="Arial" w:hAnsi="Arial"/>
                <w:sz w:val="18"/>
                <w:szCs w:val="18"/>
                <w:color w:val="auto"/>
              </w:rPr>
              <w:t>4(a)</w:t>
            </w: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rPr>
              <w:t>Amount beneficially owned: 2,155,669 shares</w:t>
            </w:r>
          </w:p>
        </w:tc>
      </w:tr>
      <w:tr>
        <w:trPr>
          <w:trHeight w:val="432"/>
        </w:trPr>
        <w:tc>
          <w:tcPr>
            <w:tcW w:w="1060" w:type="dxa"/>
            <w:vAlign w:val="bottom"/>
          </w:tcPr>
          <w:p>
            <w:pPr>
              <w:ind w:left="680"/>
              <w:spacing w:after="0"/>
              <w:rPr>
                <w:sz w:val="20"/>
                <w:szCs w:val="20"/>
                <w:color w:val="auto"/>
              </w:rPr>
            </w:pPr>
            <w:r>
              <w:rPr>
                <w:rFonts w:ascii="Arial" w:cs="Arial" w:eastAsia="Arial" w:hAnsi="Arial"/>
                <w:sz w:val="18"/>
                <w:szCs w:val="18"/>
                <w:color w:val="auto"/>
              </w:rPr>
              <w:t>4(b)</w:t>
            </w: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rPr>
              <w:t>Percent of Class: 5.22%</w:t>
            </w:r>
          </w:p>
        </w:tc>
      </w:tr>
      <w:tr>
        <w:trPr>
          <w:trHeight w:val="432"/>
        </w:trPr>
        <w:tc>
          <w:tcPr>
            <w:tcW w:w="1060" w:type="dxa"/>
            <w:vAlign w:val="bottom"/>
          </w:tcPr>
          <w:p>
            <w:pPr>
              <w:ind w:left="680"/>
              <w:spacing w:after="0"/>
              <w:rPr>
                <w:sz w:val="20"/>
                <w:szCs w:val="20"/>
                <w:color w:val="auto"/>
              </w:rPr>
            </w:pPr>
            <w:r>
              <w:rPr>
                <w:rFonts w:ascii="Arial" w:cs="Arial" w:eastAsia="Arial" w:hAnsi="Arial"/>
                <w:sz w:val="18"/>
                <w:szCs w:val="18"/>
                <w:color w:val="auto"/>
              </w:rPr>
              <w:t>4(c)</w:t>
            </w: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rPr>
              <w:t>Number of shares as to which person has:</w:t>
            </w:r>
          </w:p>
        </w:tc>
      </w:tr>
      <w:tr>
        <w:trPr>
          <w:trHeight w:val="459"/>
        </w:trPr>
        <w:tc>
          <w:tcPr>
            <w:tcW w:w="10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(i)</w:t>
            </w:r>
          </w:p>
        </w:tc>
        <w:tc>
          <w:tcPr>
            <w:tcW w:w="9380" w:type="dxa"/>
            <w:vAlign w:val="bottom"/>
          </w:tcPr>
          <w:p>
            <w:pPr>
              <w:ind w:left="220"/>
              <w:spacing w:after="0"/>
              <w:rPr>
                <w:sz w:val="20"/>
                <w:szCs w:val="20"/>
                <w:color w:val="auto"/>
              </w:rPr>
            </w:pPr>
            <w:r>
              <w:rPr>
                <w:rFonts w:ascii="Arial" w:cs="Arial" w:eastAsia="Arial" w:hAnsi="Arial"/>
                <w:sz w:val="18"/>
                <w:szCs w:val="18"/>
                <w:color w:val="auto"/>
              </w:rPr>
              <w:t>Sole power to vote or to direct the vote: 1,608,236 shares</w:t>
            </w:r>
          </w:p>
        </w:tc>
      </w:tr>
      <w:tr>
        <w:trPr>
          <w:trHeight w:val="459"/>
        </w:trPr>
        <w:tc>
          <w:tcPr>
            <w:tcW w:w="10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(ii)</w:t>
            </w:r>
          </w:p>
        </w:tc>
        <w:tc>
          <w:tcPr>
            <w:tcW w:w="9380" w:type="dxa"/>
            <w:vAlign w:val="bottom"/>
          </w:tcPr>
          <w:p>
            <w:pPr>
              <w:ind w:left="260"/>
              <w:spacing w:after="0"/>
              <w:rPr>
                <w:sz w:val="20"/>
                <w:szCs w:val="20"/>
                <w:color w:val="auto"/>
              </w:rPr>
            </w:pPr>
            <w:r>
              <w:rPr>
                <w:rFonts w:ascii="Arial" w:cs="Arial" w:eastAsia="Arial" w:hAnsi="Arial"/>
                <w:sz w:val="18"/>
                <w:szCs w:val="18"/>
                <w:color w:val="auto"/>
              </w:rPr>
              <w:t>Shared power to vote or to direct the vote: 547,433 shares</w:t>
            </w:r>
          </w:p>
        </w:tc>
      </w:tr>
      <w:tr>
        <w:trPr>
          <w:trHeight w:val="432"/>
        </w:trPr>
        <w:tc>
          <w:tcPr>
            <w:tcW w:w="10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(iii)</w:t>
            </w:r>
          </w:p>
        </w:tc>
        <w:tc>
          <w:tcPr>
            <w:tcW w:w="9380" w:type="dxa"/>
            <w:vAlign w:val="bottom"/>
          </w:tcPr>
          <w:p>
            <w:pPr>
              <w:ind w:left="260"/>
              <w:spacing w:after="0"/>
              <w:rPr>
                <w:sz w:val="20"/>
                <w:szCs w:val="20"/>
                <w:color w:val="auto"/>
              </w:rPr>
            </w:pPr>
            <w:r>
              <w:rPr>
                <w:rFonts w:ascii="Arial" w:cs="Arial" w:eastAsia="Arial" w:hAnsi="Arial"/>
                <w:sz w:val="18"/>
                <w:szCs w:val="18"/>
                <w:color w:val="auto"/>
              </w:rPr>
              <w:t>Sole power to dispose or to direct the disposition of: 2,155,669 shares</w:t>
            </w:r>
          </w:p>
        </w:tc>
      </w:tr>
      <w:tr>
        <w:trPr>
          <w:trHeight w:val="432"/>
        </w:trPr>
        <w:tc>
          <w:tcPr>
            <w:tcW w:w="10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(iv)</w:t>
            </w:r>
          </w:p>
        </w:tc>
        <w:tc>
          <w:tcPr>
            <w:tcW w:w="9380" w:type="dxa"/>
            <w:vAlign w:val="bottom"/>
          </w:tcPr>
          <w:p>
            <w:pPr>
              <w:ind w:left="260"/>
              <w:spacing w:after="0"/>
              <w:rPr>
                <w:sz w:val="20"/>
                <w:szCs w:val="20"/>
                <w:color w:val="auto"/>
              </w:rPr>
            </w:pPr>
            <w:r>
              <w:rPr>
                <w:rFonts w:ascii="Arial" w:cs="Arial" w:eastAsia="Arial" w:hAnsi="Arial"/>
                <w:sz w:val="18"/>
                <w:szCs w:val="18"/>
                <w:color w:val="auto"/>
              </w:rPr>
              <w:t>Shared power to dispose or to direct the disposition of: —</w:t>
            </w:r>
          </w:p>
        </w:tc>
      </w:tr>
      <w:tr>
        <w:trPr>
          <w:trHeight w:val="432"/>
        </w:trPr>
        <w:tc>
          <w:tcPr>
            <w:tcW w:w="1060" w:type="dxa"/>
            <w:vAlign w:val="bottom"/>
          </w:tcPr>
          <w:p>
            <w:pPr>
              <w:jc w:val="right"/>
              <w:ind w:right="430"/>
              <w:spacing w:after="0"/>
              <w:rPr>
                <w:sz w:val="20"/>
                <w:szCs w:val="20"/>
                <w:color w:val="auto"/>
              </w:rPr>
            </w:pPr>
            <w:r>
              <w:rPr>
                <w:rFonts w:ascii="Arial" w:cs="Arial" w:eastAsia="Arial" w:hAnsi="Arial"/>
                <w:sz w:val="18"/>
                <w:szCs w:val="18"/>
                <w:color w:val="auto"/>
              </w:rPr>
              <w:t>Item 5</w:t>
            </w: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rPr>
              <w:t>Ownership of Five Percent or Less of a Class:</w:t>
            </w:r>
          </w:p>
        </w:tc>
      </w:tr>
      <w:tr>
        <w:trPr>
          <w:trHeight w:val="243"/>
        </w:trPr>
        <w:tc>
          <w:tcPr>
            <w:tcW w:w="1060" w:type="dxa"/>
            <w:vAlign w:val="bottom"/>
          </w:tcPr>
          <w:p>
            <w:pPr>
              <w:spacing w:after="0"/>
              <w:rPr>
                <w:sz w:val="21"/>
                <w:szCs w:val="21"/>
                <w:color w:val="auto"/>
              </w:rPr>
            </w:pPr>
          </w:p>
        </w:tc>
        <w:tc>
          <w:tcPr>
            <w:tcW w:w="9980" w:type="dxa"/>
            <w:vAlign w:val="bottom"/>
            <w:gridSpan w:val="2"/>
          </w:tcPr>
          <w:p>
            <w:pPr>
              <w:ind w:left="140"/>
              <w:spacing w:after="0"/>
              <w:rPr>
                <w:sz w:val="20"/>
                <w:szCs w:val="20"/>
                <w:color w:val="auto"/>
              </w:rPr>
            </w:pPr>
            <w:r>
              <w:rPr>
                <w:rFonts w:ascii="Arial" w:cs="Arial" w:eastAsia="Arial" w:hAnsi="Arial"/>
                <w:sz w:val="18"/>
                <w:szCs w:val="18"/>
                <w:color w:val="auto"/>
              </w:rPr>
              <w:t>Not Applicable.</w:t>
            </w:r>
          </w:p>
        </w:tc>
      </w:tr>
      <w:tr>
        <w:trPr>
          <w:trHeight w:val="418"/>
        </w:trPr>
        <w:tc>
          <w:tcPr>
            <w:tcW w:w="1060" w:type="dxa"/>
            <w:vAlign w:val="bottom"/>
          </w:tcPr>
          <w:p>
            <w:pPr>
              <w:jc w:val="right"/>
              <w:ind w:right="430"/>
              <w:spacing w:after="0"/>
              <w:rPr>
                <w:sz w:val="20"/>
                <w:szCs w:val="20"/>
                <w:color w:val="auto"/>
              </w:rPr>
            </w:pPr>
            <w:r>
              <w:rPr>
                <w:rFonts w:ascii="Arial" w:cs="Arial" w:eastAsia="Arial" w:hAnsi="Arial"/>
                <w:sz w:val="18"/>
                <w:szCs w:val="18"/>
                <w:color w:val="auto"/>
              </w:rPr>
              <w:t>Item 6</w:t>
            </w: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216"/>
        </w:trPr>
        <w:tc>
          <w:tcPr>
            <w:tcW w:w="1060" w:type="dxa"/>
            <w:vAlign w:val="bottom"/>
          </w:tcPr>
          <w:p>
            <w:pPr>
              <w:spacing w:after="0"/>
              <w:rPr>
                <w:sz w:val="18"/>
                <w:szCs w:val="18"/>
                <w:color w:val="auto"/>
              </w:rPr>
            </w:pP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w w:val="92"/>
              </w:rPr>
              <w:t>The right to receive or the power to direct the receipt of dividends from, or the proceeds from the sale of, the common stock is held by</w:t>
            </w:r>
          </w:p>
        </w:tc>
      </w:tr>
      <w:tr>
        <w:trPr>
          <w:trHeight w:val="230"/>
        </w:trPr>
        <w:tc>
          <w:tcPr>
            <w:tcW w:w="1060" w:type="dxa"/>
            <w:vAlign w:val="bottom"/>
          </w:tcPr>
          <w:p>
            <w:pPr>
              <w:spacing w:after="0"/>
              <w:rPr>
                <w:sz w:val="20"/>
                <w:szCs w:val="20"/>
                <w:color w:val="auto"/>
              </w:rPr>
            </w:pP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w w:val="92"/>
              </w:rPr>
              <w:t>certain clients of the reporting person, none of which has such right or power with respect to five percent or more of the common stock.</w:t>
            </w:r>
          </w:p>
        </w:tc>
      </w:tr>
      <w:tr>
        <w:trPr>
          <w:trHeight w:val="418"/>
        </w:trPr>
        <w:tc>
          <w:tcPr>
            <w:tcW w:w="1060" w:type="dxa"/>
            <w:vAlign w:val="bottom"/>
          </w:tcPr>
          <w:p>
            <w:pPr>
              <w:jc w:val="right"/>
              <w:ind w:right="430"/>
              <w:spacing w:after="0"/>
              <w:rPr>
                <w:sz w:val="20"/>
                <w:szCs w:val="20"/>
                <w:color w:val="auto"/>
              </w:rPr>
            </w:pPr>
            <w:r>
              <w:rPr>
                <w:rFonts w:ascii="Arial" w:cs="Arial" w:eastAsia="Arial" w:hAnsi="Arial"/>
                <w:sz w:val="18"/>
                <w:szCs w:val="18"/>
                <w:color w:val="auto"/>
              </w:rPr>
              <w:t>Item 7</w:t>
            </w: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w w:val="95"/>
              </w:rPr>
              <w:t>Identification and Classification of the Subsidiary Which Acquired the Security Being Reported on by the Parent Holding Company:</w:t>
            </w:r>
          </w:p>
        </w:tc>
      </w:tr>
      <w:tr>
        <w:trPr>
          <w:trHeight w:val="230"/>
        </w:trPr>
        <w:tc>
          <w:tcPr>
            <w:tcW w:w="1060" w:type="dxa"/>
            <w:vAlign w:val="bottom"/>
          </w:tcPr>
          <w:p>
            <w:pPr>
              <w:spacing w:after="0"/>
              <w:rPr>
                <w:sz w:val="20"/>
                <w:szCs w:val="20"/>
                <w:color w:val="auto"/>
              </w:rPr>
            </w:pP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18"/>
        </w:trPr>
        <w:tc>
          <w:tcPr>
            <w:tcW w:w="1060" w:type="dxa"/>
            <w:vAlign w:val="bottom"/>
          </w:tcPr>
          <w:p>
            <w:pPr>
              <w:jc w:val="right"/>
              <w:ind w:right="430"/>
              <w:spacing w:after="0"/>
              <w:rPr>
                <w:sz w:val="20"/>
                <w:szCs w:val="20"/>
                <w:color w:val="auto"/>
              </w:rPr>
            </w:pPr>
            <w:r>
              <w:rPr>
                <w:rFonts w:ascii="Arial" w:cs="Arial" w:eastAsia="Arial" w:hAnsi="Arial"/>
                <w:sz w:val="18"/>
                <w:szCs w:val="18"/>
                <w:color w:val="auto"/>
              </w:rPr>
              <w:t>Item 8</w:t>
            </w: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230"/>
        </w:trPr>
        <w:tc>
          <w:tcPr>
            <w:tcW w:w="1060" w:type="dxa"/>
            <w:vAlign w:val="bottom"/>
          </w:tcPr>
          <w:p>
            <w:pPr>
              <w:spacing w:after="0"/>
              <w:rPr>
                <w:sz w:val="20"/>
                <w:szCs w:val="20"/>
                <w:color w:val="auto"/>
              </w:rPr>
            </w:pP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18"/>
        </w:trPr>
        <w:tc>
          <w:tcPr>
            <w:tcW w:w="1060" w:type="dxa"/>
            <w:vAlign w:val="bottom"/>
          </w:tcPr>
          <w:p>
            <w:pPr>
              <w:jc w:val="right"/>
              <w:ind w:right="430"/>
              <w:spacing w:after="0"/>
              <w:rPr>
                <w:sz w:val="20"/>
                <w:szCs w:val="20"/>
                <w:color w:val="auto"/>
              </w:rPr>
            </w:pPr>
            <w:r>
              <w:rPr>
                <w:rFonts w:ascii="Arial" w:cs="Arial" w:eastAsia="Arial" w:hAnsi="Arial"/>
                <w:sz w:val="18"/>
                <w:szCs w:val="18"/>
                <w:color w:val="auto"/>
              </w:rPr>
              <w:t>Item 9</w:t>
            </w: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rPr>
              <w:t>Notice of Dissolution of Group:</w:t>
            </w:r>
          </w:p>
        </w:tc>
      </w:tr>
      <w:tr>
        <w:trPr>
          <w:trHeight w:val="230"/>
        </w:trPr>
        <w:tc>
          <w:tcPr>
            <w:tcW w:w="1060" w:type="dxa"/>
            <w:vAlign w:val="bottom"/>
          </w:tcPr>
          <w:p>
            <w:pPr>
              <w:spacing w:after="0"/>
              <w:rPr>
                <w:sz w:val="20"/>
                <w:szCs w:val="20"/>
                <w:color w:val="auto"/>
              </w:rPr>
            </w:pP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32"/>
        </w:trPr>
        <w:tc>
          <w:tcPr>
            <w:tcW w:w="1060" w:type="dxa"/>
            <w:vAlign w:val="bottom"/>
          </w:tcPr>
          <w:p>
            <w:pPr>
              <w:jc w:val="right"/>
              <w:ind w:right="430"/>
              <w:spacing w:after="0"/>
              <w:rPr>
                <w:sz w:val="20"/>
                <w:szCs w:val="20"/>
                <w:color w:val="auto"/>
              </w:rPr>
            </w:pPr>
            <w:r>
              <w:rPr>
                <w:rFonts w:ascii="Arial" w:cs="Arial" w:eastAsia="Arial" w:hAnsi="Arial"/>
                <w:sz w:val="18"/>
                <w:szCs w:val="18"/>
                <w:color w:val="auto"/>
                <w:w w:val="86"/>
              </w:rPr>
              <w:t>Item 10</w:t>
            </w: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rPr>
              <w:t>Certification:</w:t>
            </w:r>
          </w:p>
        </w:tc>
      </w:tr>
      <w:tr>
        <w:trPr>
          <w:trHeight w:val="418"/>
        </w:trPr>
        <w:tc>
          <w:tcPr>
            <w:tcW w:w="1060" w:type="dxa"/>
            <w:vAlign w:val="bottom"/>
          </w:tcPr>
          <w:p>
            <w:pPr>
              <w:spacing w:after="0"/>
              <w:rPr>
                <w:sz w:val="24"/>
                <w:szCs w:val="24"/>
                <w:color w:val="auto"/>
              </w:rPr>
            </w:pP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w w:val="93"/>
              </w:rPr>
              <w:t>By signing below the undersigned certifies that, to the best of its knowledge and belief, the securities referred to above were acquired</w:t>
            </w:r>
          </w:p>
        </w:tc>
      </w:tr>
      <w:tr>
        <w:trPr>
          <w:trHeight w:val="230"/>
        </w:trPr>
        <w:tc>
          <w:tcPr>
            <w:tcW w:w="1060" w:type="dxa"/>
            <w:vAlign w:val="bottom"/>
          </w:tcPr>
          <w:p>
            <w:pPr>
              <w:spacing w:after="0"/>
              <w:rPr>
                <w:sz w:val="20"/>
                <w:szCs w:val="20"/>
                <w:color w:val="auto"/>
              </w:rPr>
            </w:pP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w w:val="91"/>
              </w:rPr>
              <w:t>and are held in the ordinary course of business and were not acquired and are not held for the purpose of or with the effect of changing</w:t>
            </w:r>
          </w:p>
        </w:tc>
      </w:tr>
    </w:tbl>
    <w:p>
      <w:pPr>
        <w:ind w:left="1540"/>
        <w:spacing w:after="0" w:line="261" w:lineRule="auto"/>
        <w:rPr>
          <w:sz w:val="20"/>
          <w:szCs w:val="20"/>
          <w:color w:val="auto"/>
        </w:rPr>
      </w:pPr>
      <w:r>
        <w:rPr>
          <w:rFonts w:ascii="Arial" w:cs="Arial" w:eastAsia="Arial" w:hAnsi="Arial"/>
          <w:sz w:val="18"/>
          <w:szCs w:val="18"/>
          <w:color w:val="auto"/>
        </w:rPr>
        <w:t>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the undersigned certifies that the information set forth in this statement is true, complete and correct.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ARROW</w:t>
      </w:r>
      <w:r>
        <w:rPr>
          <w:rFonts w:ascii="Arial" w:cs="Arial" w:eastAsia="Arial" w:hAnsi="Arial"/>
          <w:sz w:val="18"/>
          <w:szCs w:val="18"/>
          <w:color w:val="auto"/>
        </w:rPr>
        <w:t>, H</w:t>
      </w:r>
      <w:r>
        <w:rPr>
          <w:rFonts w:ascii="Arial" w:cs="Arial" w:eastAsia="Arial" w:hAnsi="Arial"/>
          <w:sz w:val="12"/>
          <w:szCs w:val="12"/>
          <w:color w:val="auto"/>
        </w:rPr>
        <w:t>ANLEY</w:t>
      </w:r>
      <w:r>
        <w:rPr>
          <w:rFonts w:ascii="Arial" w:cs="Arial" w:eastAsia="Arial" w:hAnsi="Arial"/>
          <w:sz w:val="18"/>
          <w:szCs w:val="18"/>
          <w:color w:val="auto"/>
        </w:rPr>
        <w:t>, M</w:t>
      </w:r>
      <w:r>
        <w:rPr>
          <w:rFonts w:ascii="Arial" w:cs="Arial" w:eastAsia="Arial" w:hAnsi="Arial"/>
          <w:sz w:val="12"/>
          <w:szCs w:val="12"/>
          <w:color w:val="auto"/>
        </w:rPr>
        <w:t>EWHINNEY</w:t>
      </w:r>
      <w:r>
        <w:rPr>
          <w:rFonts w:ascii="Arial" w:cs="Arial" w:eastAsia="Arial" w:hAnsi="Arial"/>
          <w:sz w:val="18"/>
          <w:szCs w:val="18"/>
          <w:color w:val="auto"/>
        </w:rPr>
        <w:t xml:space="preserve"> &amp; S</w:t>
      </w:r>
      <w:r>
        <w:rPr>
          <w:rFonts w:ascii="Arial" w:cs="Arial" w:eastAsia="Arial" w:hAnsi="Arial"/>
          <w:sz w:val="12"/>
          <w:szCs w:val="12"/>
          <w:color w:val="auto"/>
        </w:rPr>
        <w:t>TRAUSS</w:t>
      </w:r>
      <w:r>
        <w:rPr>
          <w:rFonts w:ascii="Arial" w:cs="Arial" w:eastAsia="Arial" w:hAnsi="Arial"/>
          <w:sz w:val="18"/>
          <w:szCs w:val="18"/>
          <w:color w:val="auto"/>
        </w:rPr>
        <w: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Patricia Barron-Andrews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Patricia Barron-Andrews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Compliance and Risk Officer</w:t>
      </w: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12, 2020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2020-02-12T09:49:00Z</dcterms:created>
  <dcterms:modified xsi:type="dcterms:W3CDTF">2020-02-12T09:49:00Z</dcterms:modified>
</cp:coreProperties>
</file>