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ind w:left="4780"/>
        <w:spacing w:after="0"/>
        <w:tabs>
          <w:tab w:leader="none" w:pos="648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192576106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appropriate box to designate the rule pursuant to which this Schedule is filed:</w:t>
      </w:r>
    </w:p>
    <w:p>
      <w:pPr>
        <w:spacing w:after="0" w:line="25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95" w:lineRule="exact"/>
        <w:rPr>
          <w:sz w:val="24"/>
          <w:szCs w:val="24"/>
          <w:color w:val="auto"/>
        </w:rPr>
      </w:pPr>
    </w:p>
    <w:p>
      <w:pPr>
        <w:ind w:left="240" w:right="120" w:hanging="232"/>
        <w:spacing w:after="0" w:line="282" w:lineRule="auto"/>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192576106</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1.NAMES OF REPORTING PERSONS</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Barrow, Hanley, Mewhinney &amp; Strauss, LLC</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752403190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2.CHECK THE APPROPRIATE BOX IF A MEMBER OF A GROUP (See Instructions)</w:t>
      </w:r>
    </w:p>
    <w:p>
      <w:pPr>
        <w:spacing w:after="0" w:line="22" w:lineRule="exact"/>
        <w:rPr>
          <w:sz w:val="20"/>
          <w:szCs w:val="20"/>
          <w:color w:val="auto"/>
        </w:rPr>
      </w:pPr>
    </w:p>
    <w:p>
      <w:pPr>
        <w:ind w:left="1060" w:hanging="282"/>
        <w:spacing w:after="0" w:line="207" w:lineRule="exact"/>
        <w:tabs>
          <w:tab w:leader="none" w:pos="10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 w:lineRule="exact"/>
        <w:rPr>
          <w:rFonts w:ascii="Times New Roman" w:cs="Times New Roman" w:eastAsia="Times New Roman" w:hAnsi="Times New Roman"/>
          <w:sz w:val="18"/>
          <w:szCs w:val="18"/>
          <w:color w:val="auto"/>
        </w:rPr>
      </w:pPr>
    </w:p>
    <w:p>
      <w:pPr>
        <w:ind w:left="1080" w:hanging="302"/>
        <w:spacing w:after="0" w:line="207" w:lineRule="exact"/>
        <w:tabs>
          <w:tab w:leader="none" w:pos="10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4.CITIZENSHIP OR PLACE OF ORGANIZATION</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4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1,772,410 shares</w:t>
            </w: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3"/>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vMerge w:val="continue"/>
          </w:tcPr>
          <w:p>
            <w:pPr>
              <w:spacing w:after="0"/>
              <w:rPr>
                <w:sz w:val="9"/>
                <w:szCs w:val="9"/>
                <w:color w:val="auto"/>
              </w:rPr>
            </w:pPr>
          </w:p>
        </w:tc>
        <w:tc>
          <w:tcPr>
            <w:tcW w:w="9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774,400 shares</w:t>
            </w:r>
          </w:p>
        </w:tc>
        <w:tc>
          <w:tcPr>
            <w:tcW w:w="0" w:type="dxa"/>
            <w:vAlign w:val="bottom"/>
          </w:tcPr>
          <w:p>
            <w:pPr>
              <w:spacing w:after="0"/>
              <w:rPr>
                <w:sz w:val="1"/>
                <w:szCs w:val="1"/>
                <w:color w:val="auto"/>
              </w:rPr>
            </w:pPr>
          </w:p>
        </w:tc>
      </w:tr>
      <w:tr>
        <w:trPr>
          <w:trHeight w:val="120"/>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bottom w:val="single" w:sz="8" w:color="auto"/>
            </w:tcBorders>
          </w:tcPr>
          <w:p>
            <w:pPr>
              <w:spacing w:after="0"/>
              <w:rPr>
                <w:sz w:val="10"/>
                <w:szCs w:val="10"/>
                <w:color w:val="auto"/>
              </w:rPr>
            </w:pPr>
          </w:p>
        </w:tc>
        <w:tc>
          <w:tcPr>
            <w:tcW w:w="9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20" w:type="dxa"/>
            <w:vAlign w:val="bottom"/>
            <w:vMerge w:val="continue"/>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vMerge w:val="continue"/>
          </w:tcPr>
          <w:p>
            <w:pPr>
              <w:spacing w:after="0"/>
              <w:rPr>
                <w:sz w:val="13"/>
                <w:szCs w:val="13"/>
                <w:color w:val="auto"/>
              </w:rPr>
            </w:pPr>
          </w:p>
        </w:tc>
        <w:tc>
          <w:tcPr>
            <w:tcW w:w="9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0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2,546,810 shares</w:t>
            </w:r>
          </w:p>
        </w:tc>
        <w:tc>
          <w:tcPr>
            <w:tcW w:w="0" w:type="dxa"/>
            <w:vAlign w:val="bottom"/>
          </w:tcPr>
          <w:p>
            <w:pPr>
              <w:spacing w:after="0"/>
              <w:rPr>
                <w:sz w:val="1"/>
                <w:szCs w:val="1"/>
                <w:color w:val="auto"/>
              </w:rPr>
            </w:pPr>
          </w:p>
        </w:tc>
      </w:tr>
      <w:tr>
        <w:trPr>
          <w:trHeight w:val="147"/>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00" w:type="dxa"/>
            <w:vAlign w:val="bottom"/>
            <w:tcBorders>
              <w:bottom w:val="single" w:sz="8" w:color="auto"/>
            </w:tcBorders>
          </w:tcPr>
          <w:p>
            <w:pPr>
              <w:spacing w:after="0"/>
              <w:rPr>
                <w:sz w:val="12"/>
                <w:szCs w:val="12"/>
                <w:color w:val="auto"/>
              </w:rPr>
            </w:pPr>
          </w:p>
        </w:tc>
        <w:tc>
          <w:tcPr>
            <w:tcW w:w="9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20" w:type="dxa"/>
            <w:vAlign w:val="bottom"/>
            <w:vMerge w:val="continue"/>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9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9.AGGREGATE AMOUNT BENEFICIALLY OWNED BY EACH REPORTING PERSON</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2,546,810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10.CHECK IF THE AGGREGATE AMOUNT IN ROW (9) EXCLUDES CERTAIN SHARES (See Instructions)</w:t>
      </w:r>
    </w:p>
    <w:p>
      <w:pPr>
        <w:spacing w:after="0" w:line="197" w:lineRule="exact"/>
        <w:rPr>
          <w:sz w:val="20"/>
          <w:szCs w:val="20"/>
          <w:color w:val="auto"/>
        </w:rPr>
      </w:pPr>
    </w:p>
    <w:p>
      <w:pPr>
        <w:ind w:left="7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11.PERCENT OF CLASS REPRESENTED BY AMOUNT IN ROW (9)</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12.TYPE OF REPORTING PERSON (See Instructions)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Item 1(a)  Name of Issuer: Cohu Inc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1(b)  Address of Issuer's Principal Executive Offices:</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12367 Crosthwaite Circle</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Poway, CA 92064</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Item 2(a)  Name of Person Filing:</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Barrow, Hanley, Mewhinney &amp; Strauss, LLC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2(b)  Address of Principal Business Office or, if none, Residence:</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2200 Ross Avenue, 31st Floor</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Dallas, TX 75201-2761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2(c)  Citizenship:</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2(d)  Title of Class of Securities</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Common Stock</w:t>
      </w:r>
    </w:p>
    <w:p>
      <w:pPr>
        <w:spacing w:after="0" w:line="225" w:lineRule="exact"/>
        <w:rPr>
          <w:sz w:val="20"/>
          <w:szCs w:val="20"/>
          <w:color w:val="auto"/>
        </w:rPr>
      </w:pPr>
    </w:p>
    <w:p>
      <w:pPr>
        <w:ind w:left="660"/>
        <w:spacing w:after="0"/>
        <w:tabs>
          <w:tab w:leader="none" w:pos="2420" w:val="left"/>
        </w:tabs>
        <w:rPr>
          <w:sz w:val="20"/>
          <w:szCs w:val="20"/>
          <w:color w:val="auto"/>
        </w:rPr>
      </w:pPr>
      <w:r>
        <w:rPr>
          <w:rFonts w:ascii="Times New Roman" w:cs="Times New Roman" w:eastAsia="Times New Roman" w:hAnsi="Times New Roman"/>
          <w:sz w:val="18"/>
          <w:szCs w:val="18"/>
          <w:color w:val="auto"/>
        </w:rPr>
        <w:t>2(e)  CUSIP Number:</w:t>
      </w:r>
      <w:r>
        <w:rPr>
          <w:sz w:val="20"/>
          <w:szCs w:val="20"/>
          <w:color w:val="auto"/>
        </w:rPr>
        <w:tab/>
      </w:r>
      <w:r>
        <w:rPr>
          <w:rFonts w:ascii="Times New Roman" w:cs="Times New Roman" w:eastAsia="Times New Roman" w:hAnsi="Times New Roman"/>
          <w:sz w:val="17"/>
          <w:szCs w:val="17"/>
          <w:color w:val="auto"/>
        </w:rPr>
        <w:t>192576106</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Item 3  If this statement is filed pursuant to §§240.13d-1(b), or 240.13d-2(b) or (c), check whether the person filing is a:</w:t>
      </w:r>
    </w:p>
    <w:p>
      <w:pPr>
        <w:spacing w:after="0" w:line="197" w:lineRule="exact"/>
        <w:rPr>
          <w:sz w:val="20"/>
          <w:szCs w:val="20"/>
          <w:color w:val="auto"/>
        </w:rPr>
      </w:pPr>
    </w:p>
    <w:p>
      <w:pPr>
        <w:ind w:left="1660" w:hanging="599"/>
        <w:spacing w:after="0" w:line="207" w:lineRule="exact"/>
        <w:tabs>
          <w:tab w:leader="none" w:pos="16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660" w:hanging="599"/>
        <w:spacing w:after="0" w:line="207" w:lineRule="exact"/>
        <w:tabs>
          <w:tab w:leader="none" w:pos="16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660" w:hanging="599"/>
        <w:spacing w:after="0" w:line="207" w:lineRule="exact"/>
        <w:tabs>
          <w:tab w:leader="none" w:pos="16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660" w:hanging="599"/>
        <w:spacing w:after="0" w:line="207" w:lineRule="exact"/>
        <w:tabs>
          <w:tab w:leader="none" w:pos="16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660" w:hanging="599"/>
        <w:spacing w:after="0" w:line="207" w:lineRule="exact"/>
        <w:tabs>
          <w:tab w:leader="none" w:pos="16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660" w:hanging="599"/>
        <w:spacing w:after="0" w:line="207" w:lineRule="exact"/>
        <w:tabs>
          <w:tab w:leader="none" w:pos="16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660" w:hanging="599"/>
        <w:spacing w:after="0" w:line="207" w:lineRule="exact"/>
        <w:tabs>
          <w:tab w:leader="none" w:pos="16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§240.13d-1(b)(ii)(G);</w:t>
      </w:r>
    </w:p>
    <w:p>
      <w:pPr>
        <w:spacing w:after="0" w:line="225" w:lineRule="exact"/>
        <w:rPr>
          <w:rFonts w:ascii="Times New Roman" w:cs="Times New Roman" w:eastAsia="Times New Roman" w:hAnsi="Times New Roman"/>
          <w:sz w:val="18"/>
          <w:szCs w:val="18"/>
          <w:color w:val="auto"/>
        </w:rPr>
      </w:pPr>
    </w:p>
    <w:p>
      <w:pPr>
        <w:ind w:left="1660" w:hanging="599"/>
        <w:spacing w:after="0" w:line="207" w:lineRule="exact"/>
        <w:tabs>
          <w:tab w:leader="none" w:pos="16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2160" w:hanging="1099"/>
        <w:spacing w:after="0" w:line="239" w:lineRule="exact"/>
        <w:tabs>
          <w:tab w:leader="none" w:pos="167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Times New Roman" w:cs="Times New Roman" w:eastAsia="Times New Roman" w:hAnsi="Times New Roman"/>
          <w:sz w:val="18"/>
          <w:szCs w:val="18"/>
          <w:color w:val="auto"/>
        </w:rPr>
      </w:pPr>
    </w:p>
    <w:p>
      <w:pPr>
        <w:ind w:left="1660" w:hanging="599"/>
        <w:spacing w:after="0" w:line="207" w:lineRule="exact"/>
        <w:tabs>
          <w:tab w:leader="none" w:pos="16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 accordance with §240.13d-1(b)(1)(ii)(J).</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ind w:left="480"/>
        <w:spacing w:after="0"/>
        <w:rPr>
          <w:sz w:val="20"/>
          <w:szCs w:val="20"/>
          <w:color w:val="auto"/>
        </w:rPr>
      </w:pPr>
      <w:r>
        <w:rPr>
          <w:rFonts w:ascii="Times New Roman" w:cs="Times New Roman" w:eastAsia="Times New Roman" w:hAnsi="Times New Roman"/>
          <w:sz w:val="18"/>
          <w:szCs w:val="18"/>
          <w:color w:val="auto"/>
        </w:rPr>
        <w:t>Item 4  Ownership:</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4(a)</w:t>
            </w:r>
          </w:p>
        </w:tc>
        <w:tc>
          <w:tcPr>
            <w:tcW w:w="9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 beneficially owned: 2,546,810 shares</w:t>
            </w:r>
          </w:p>
        </w:tc>
      </w:tr>
      <w:tr>
        <w:trPr>
          <w:trHeight w:val="432"/>
        </w:trPr>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4(b)</w:t>
            </w:r>
          </w:p>
        </w:tc>
        <w:tc>
          <w:tcPr>
            <w:tcW w:w="9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Percent of Class: 6.26%</w:t>
            </w:r>
          </w:p>
        </w:tc>
      </w:tr>
      <w:tr>
        <w:trPr>
          <w:trHeight w:val="432"/>
        </w:trPr>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4(c)</w:t>
            </w:r>
          </w:p>
        </w:tc>
        <w:tc>
          <w:tcPr>
            <w:tcW w:w="9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Number of shares as to which person has:</w:t>
            </w:r>
          </w:p>
        </w:tc>
      </w:tr>
      <w:tr>
        <w:trPr>
          <w:trHeight w:val="432"/>
        </w:trPr>
        <w:tc>
          <w:tcPr>
            <w:tcW w:w="10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9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power to vote or to direct the vote: 1,772,410 shares</w:t>
            </w:r>
          </w:p>
        </w:tc>
      </w:tr>
      <w:tr>
        <w:trPr>
          <w:trHeight w:val="459"/>
        </w:trPr>
        <w:tc>
          <w:tcPr>
            <w:tcW w:w="10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w:t>
            </w:r>
          </w:p>
        </w:tc>
        <w:tc>
          <w:tcPr>
            <w:tcW w:w="9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power to vote or to direct the vote: 774,400 shares</w:t>
            </w:r>
          </w:p>
        </w:tc>
      </w:tr>
      <w:tr>
        <w:trPr>
          <w:trHeight w:val="432"/>
        </w:trPr>
        <w:tc>
          <w:tcPr>
            <w:tcW w:w="10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(iii)</w:t>
            </w:r>
          </w:p>
        </w:tc>
        <w:tc>
          <w:tcPr>
            <w:tcW w:w="9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power to dispose or to direct the disposition of: 2,546,810 shares</w:t>
            </w:r>
          </w:p>
        </w:tc>
      </w:tr>
      <w:tr>
        <w:trPr>
          <w:trHeight w:val="432"/>
        </w:trPr>
        <w:tc>
          <w:tcPr>
            <w:tcW w:w="10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(iv)</w:t>
            </w:r>
          </w:p>
        </w:tc>
        <w:tc>
          <w:tcPr>
            <w:tcW w:w="9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 —</w:t>
            </w:r>
          </w:p>
        </w:tc>
      </w:tr>
      <w:tr>
        <w:trPr>
          <w:trHeight w:val="414"/>
        </w:trPr>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Item 5</w:t>
            </w: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Ownership of Five Percent or Less of a Class:</w:t>
            </w:r>
          </w:p>
        </w:tc>
      </w:tr>
      <w:tr>
        <w:trPr>
          <w:trHeight w:val="234"/>
        </w:trPr>
        <w:tc>
          <w:tcPr>
            <w:tcW w:w="1060" w:type="dxa"/>
            <w:vAlign w:val="bottom"/>
          </w:tcPr>
          <w:p>
            <w:pPr>
              <w:spacing w:after="0"/>
              <w:rPr>
                <w:sz w:val="20"/>
                <w:szCs w:val="20"/>
                <w:color w:val="auto"/>
              </w:rPr>
            </w:pPr>
          </w:p>
        </w:tc>
        <w:tc>
          <w:tcPr>
            <w:tcW w:w="9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Item 6</w:t>
            </w: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tc>
      </w:tr>
      <w:tr>
        <w:trPr>
          <w:trHeight w:val="216"/>
        </w:trPr>
        <w:tc>
          <w:tcPr>
            <w:tcW w:w="1060" w:type="dxa"/>
            <w:vAlign w:val="bottom"/>
          </w:tcPr>
          <w:p>
            <w:pPr>
              <w:spacing w:after="0"/>
              <w:rPr>
                <w:sz w:val="18"/>
                <w:szCs w:val="18"/>
                <w:color w:val="auto"/>
              </w:rPr>
            </w:pP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right to receive or the power to direct the receipt of dividends from, or the proceeds from the sale of, the common stock is held by</w:t>
            </w:r>
          </w:p>
        </w:tc>
      </w:tr>
      <w:tr>
        <w:trPr>
          <w:trHeight w:val="234"/>
        </w:trPr>
        <w:tc>
          <w:tcPr>
            <w:tcW w:w="1060" w:type="dxa"/>
            <w:vAlign w:val="bottom"/>
          </w:tcPr>
          <w:p>
            <w:pPr>
              <w:spacing w:after="0"/>
              <w:rPr>
                <w:sz w:val="20"/>
                <w:szCs w:val="20"/>
                <w:color w:val="auto"/>
              </w:rPr>
            </w:pP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certain clients of the reporting person, none of which has such right or power with respect to five percent or more of the common stock.</w:t>
            </w:r>
          </w:p>
        </w:tc>
      </w:tr>
      <w:tr>
        <w:trPr>
          <w:trHeight w:val="414"/>
        </w:trPr>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Item 7</w:t>
            </w: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w:t>
            </w:r>
          </w:p>
        </w:tc>
      </w:tr>
      <w:tr>
        <w:trPr>
          <w:trHeight w:val="234"/>
        </w:trPr>
        <w:tc>
          <w:tcPr>
            <w:tcW w:w="1060" w:type="dxa"/>
            <w:vAlign w:val="bottom"/>
          </w:tcPr>
          <w:p>
            <w:pPr>
              <w:spacing w:after="0"/>
              <w:rPr>
                <w:sz w:val="20"/>
                <w:szCs w:val="20"/>
                <w:color w:val="auto"/>
              </w:rPr>
            </w:pP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Item 8</w:t>
            </w: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tc>
      </w:tr>
      <w:tr>
        <w:trPr>
          <w:trHeight w:val="234"/>
        </w:trPr>
        <w:tc>
          <w:tcPr>
            <w:tcW w:w="1060" w:type="dxa"/>
            <w:vAlign w:val="bottom"/>
          </w:tcPr>
          <w:p>
            <w:pPr>
              <w:spacing w:after="0"/>
              <w:rPr>
                <w:sz w:val="20"/>
                <w:szCs w:val="20"/>
                <w:color w:val="auto"/>
              </w:rPr>
            </w:pP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Item 9</w:t>
            </w: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of Dissolution of Group:</w:t>
            </w:r>
          </w:p>
        </w:tc>
      </w:tr>
      <w:tr>
        <w:trPr>
          <w:trHeight w:val="234"/>
        </w:trPr>
        <w:tc>
          <w:tcPr>
            <w:tcW w:w="1060" w:type="dxa"/>
            <w:vAlign w:val="bottom"/>
          </w:tcPr>
          <w:p>
            <w:pPr>
              <w:spacing w:after="0"/>
              <w:rPr>
                <w:sz w:val="20"/>
                <w:szCs w:val="20"/>
                <w:color w:val="auto"/>
              </w:rPr>
            </w:pP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3"/>
              </w:rPr>
              <w:t>Item 10</w:t>
            </w: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w:t>
            </w:r>
          </w:p>
        </w:tc>
      </w:tr>
      <w:tr>
        <w:trPr>
          <w:trHeight w:val="414"/>
        </w:trPr>
        <w:tc>
          <w:tcPr>
            <w:tcW w:w="1060" w:type="dxa"/>
            <w:vAlign w:val="bottom"/>
          </w:tcPr>
          <w:p>
            <w:pPr>
              <w:spacing w:after="0"/>
              <w:rPr>
                <w:sz w:val="24"/>
                <w:szCs w:val="24"/>
                <w:color w:val="auto"/>
              </w:rPr>
            </w:pP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signing below the undersigned certifies that, to the best of its knowledge and belief, the securities referred to above were acquired</w:t>
            </w:r>
          </w:p>
        </w:tc>
      </w:tr>
      <w:tr>
        <w:trPr>
          <w:trHeight w:val="216"/>
        </w:trPr>
        <w:tc>
          <w:tcPr>
            <w:tcW w:w="1060" w:type="dxa"/>
            <w:vAlign w:val="bottom"/>
          </w:tcPr>
          <w:p>
            <w:pPr>
              <w:spacing w:after="0"/>
              <w:rPr>
                <w:sz w:val="18"/>
                <w:szCs w:val="18"/>
                <w:color w:val="auto"/>
              </w:rPr>
            </w:pP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are held in the ordinary course of business and were not acquired and are not held for the purpose of or with the effect of changing</w:t>
            </w:r>
          </w:p>
        </w:tc>
      </w:tr>
      <w:tr>
        <w:trPr>
          <w:trHeight w:val="216"/>
        </w:trPr>
        <w:tc>
          <w:tcPr>
            <w:tcW w:w="1060" w:type="dxa"/>
            <w:vAlign w:val="bottom"/>
          </w:tcPr>
          <w:p>
            <w:pPr>
              <w:spacing w:after="0"/>
              <w:rPr>
                <w:sz w:val="18"/>
                <w:szCs w:val="18"/>
                <w:color w:val="auto"/>
              </w:rPr>
            </w:pP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influencing the control of the issuer of the securities and were not acquired and are not held in connection with or as a participant in</w:t>
            </w:r>
          </w:p>
        </w:tc>
      </w:tr>
      <w:tr>
        <w:trPr>
          <w:trHeight w:val="234"/>
        </w:trPr>
        <w:tc>
          <w:tcPr>
            <w:tcW w:w="1060" w:type="dxa"/>
            <w:vAlign w:val="bottom"/>
          </w:tcPr>
          <w:p>
            <w:pPr>
              <w:spacing w:after="0"/>
              <w:rPr>
                <w:sz w:val="20"/>
                <w:szCs w:val="20"/>
                <w:color w:val="auto"/>
              </w:rPr>
            </w:pPr>
          </w:p>
        </w:tc>
        <w:tc>
          <w:tcPr>
            <w:tcW w:w="9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any transaction having that purpose or effect.</w:t>
            </w:r>
          </w:p>
        </w:tc>
      </w:tr>
    </w:tbl>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ARROW</w:t>
      </w:r>
      <w:r>
        <w:rPr>
          <w:rFonts w:ascii="Times New Roman" w:cs="Times New Roman" w:eastAsia="Times New Roman" w:hAnsi="Times New Roman"/>
          <w:sz w:val="18"/>
          <w:szCs w:val="18"/>
          <w:color w:val="auto"/>
        </w:rPr>
        <w:t>, H</w:t>
      </w:r>
      <w:r>
        <w:rPr>
          <w:rFonts w:ascii="Times New Roman" w:cs="Times New Roman" w:eastAsia="Times New Roman" w:hAnsi="Times New Roman"/>
          <w:sz w:val="12"/>
          <w:szCs w:val="12"/>
          <w:color w:val="auto"/>
        </w:rPr>
        <w:t>ANLEY</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EWHINNEY</w:t>
      </w:r>
      <w:r>
        <w:rPr>
          <w:rFonts w:ascii="Times New Roman" w:cs="Times New Roman" w:eastAsia="Times New Roman" w:hAnsi="Times New Roman"/>
          <w:sz w:val="18"/>
          <w:szCs w:val="18"/>
          <w:color w:val="auto"/>
        </w:rPr>
        <w:t xml:space="preserve"> &amp; S</w:t>
      </w:r>
      <w:r>
        <w:rPr>
          <w:rFonts w:ascii="Times New Roman" w:cs="Times New Roman" w:eastAsia="Times New Roman" w:hAnsi="Times New Roman"/>
          <w:sz w:val="12"/>
          <w:szCs w:val="12"/>
          <w:color w:val="auto"/>
        </w:rPr>
        <w:t>TRAUSS</w:t>
      </w:r>
      <w:r>
        <w:rPr>
          <w:rFonts w:ascii="Times New Roman" w:cs="Times New Roman" w:eastAsia="Times New Roman" w:hAnsi="Times New Roman"/>
          <w:sz w:val="18"/>
          <w:szCs w:val="18"/>
          <w:color w:val="auto"/>
        </w:rPr>
        <w:t>,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Patricia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Patricia B. Andrews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Compliance and Risk Officer</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12, 2018</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2019-12-04T23:07:55Z</dcterms:created>
  <dcterms:modified xsi:type="dcterms:W3CDTF">2019-12-04T23:07:55Z</dcterms:modified>
</cp:coreProperties>
</file>