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COHU INC</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(Name of Issuer)</w:t>
      </w:r>
    </w:p>
    <w:p>
      <w:pPr>
        <w:spacing w:after="0" w:line="245"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ind w:left="5240"/>
        <w:spacing w:after="0"/>
        <w:rPr>
          <w:sz w:val="20"/>
          <w:szCs w:val="20"/>
          <w:color w:val="auto"/>
        </w:rPr>
      </w:pPr>
      <w:r>
        <w:rPr>
          <w:rFonts w:ascii="Arial" w:cs="Arial" w:eastAsia="Arial" w:hAnsi="Arial"/>
          <w:sz w:val="21"/>
          <w:szCs w:val="21"/>
          <w:color w:val="auto"/>
        </w:rPr>
        <w:t>192576106</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December 31, 2014</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276,850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1,755,250</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6.8%</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1"/>
          <w:szCs w:val="21"/>
          <w:color w:val="auto"/>
        </w:rPr>
        <w:t>T. ROWE PRICE SMALL-CAP VALUE FUND, INC.</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1"/>
          <w:szCs w:val="21"/>
          <w:color w:val="auto"/>
        </w:rPr>
        <w:t>52-1575325</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6"/>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7"/>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Maryland</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Number of Shares Beneficially Owned by Each Reporting Person With</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5 Sole Voting Power* 1,467,100</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6 Shared Voting Power* -0-</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7 Sole Dispositive Power* </w:t>
      </w:r>
      <w:r>
        <w:rPr>
          <w:rFonts w:ascii="Arial" w:cs="Arial" w:eastAsia="Arial" w:hAnsi="Arial"/>
          <w:sz w:val="20"/>
          <w:szCs w:val="20"/>
          <w:color w:val="auto"/>
        </w:rPr>
        <w:t>-0-</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8 Shared Dispositive Power -0-</w:t>
      </w:r>
    </w:p>
    <w:p>
      <w:pPr>
        <w:spacing w:after="0" w:line="245" w:lineRule="exact"/>
        <w:rPr>
          <w:sz w:val="20"/>
          <w:szCs w:val="20"/>
          <w:color w:val="auto"/>
        </w:rPr>
      </w:pPr>
    </w:p>
    <w:p>
      <w:pPr>
        <w:ind w:left="480" w:right="5340" w:hanging="472"/>
        <w:spacing w:after="0" w:line="483" w:lineRule="auto"/>
        <w:tabs>
          <w:tab w:leader="none" w:pos="478" w:val="left"/>
        </w:tabs>
        <w:numPr>
          <w:ilvl w:val="0"/>
          <w:numId w:val="8"/>
        </w:numPr>
        <w:rPr>
          <w:rFonts w:ascii="Arial" w:cs="Arial" w:eastAsia="Arial" w:hAnsi="Arial"/>
          <w:sz w:val="21"/>
          <w:szCs w:val="21"/>
          <w:color w:val="auto"/>
        </w:rPr>
      </w:pPr>
      <w:r>
        <w:rPr>
          <w:rFonts w:ascii="Arial" w:cs="Arial" w:eastAsia="Arial" w:hAnsi="Arial"/>
          <w:sz w:val="21"/>
          <w:szCs w:val="21"/>
          <w:color w:val="auto"/>
        </w:rPr>
        <w:t>Aggregate Amount Beneficially Owned by Each Reporting Person 1,467,100</w:t>
      </w:r>
    </w:p>
    <w:p>
      <w:pPr>
        <w:ind w:left="480" w:hanging="472"/>
        <w:spacing w:after="0"/>
        <w:tabs>
          <w:tab w:leader="none" w:pos="480" w:val="left"/>
        </w:tabs>
        <w:numPr>
          <w:ilvl w:val="0"/>
          <w:numId w:val="9"/>
        </w:numPr>
        <w:rPr>
          <w:rFonts w:ascii="Arial" w:cs="Arial" w:eastAsia="Arial" w:hAnsi="Arial"/>
          <w:sz w:val="21"/>
          <w:szCs w:val="21"/>
          <w:color w:val="auto"/>
        </w:rPr>
      </w:pPr>
      <w:r>
        <w:rPr>
          <w:rFonts w:ascii="Arial" w:cs="Arial" w:eastAsia="Arial" w:hAnsi="Arial"/>
          <w:sz w:val="21"/>
          <w:szCs w:val="21"/>
          <w:color w:val="auto"/>
        </w:rPr>
        <w:t>Check Box if the Aggregate Amount in Row (9) Excludes Certain Shares</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NOT APPLICABLE</w:t>
      </w:r>
    </w:p>
    <w:p>
      <w:pPr>
        <w:spacing w:after="0" w:line="244" w:lineRule="exact"/>
        <w:rPr>
          <w:rFonts w:ascii="Arial" w:cs="Arial" w:eastAsia="Arial" w:hAnsi="Arial"/>
          <w:sz w:val="21"/>
          <w:szCs w:val="21"/>
          <w:color w:val="auto"/>
        </w:rPr>
      </w:pPr>
    </w:p>
    <w:p>
      <w:pPr>
        <w:ind w:left="260" w:hanging="252"/>
        <w:spacing w:after="0"/>
        <w:tabs>
          <w:tab w:leader="none" w:pos="260" w:val="left"/>
        </w:tabs>
        <w:numPr>
          <w:ilvl w:val="0"/>
          <w:numId w:val="9"/>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5.7%</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aggregate amount reported on this page is also included in the aggregate amount reported by T. Rowe Price Associates, Inc. on this Schedule 13G.</w:t>
      </w:r>
    </w:p>
    <w:p>
      <w:pPr>
        <w:sectPr>
          <w:pgSz w:w="11900" w:h="16838" w:orient="portrait"/>
          <w:cols w:equalWidth="0" w:num="1">
            <w:col w:w="11340"/>
          </w:cols>
          <w:pgMar w:left="240" w:top="477" w:right="31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12367 CROSTHWAITE CIR, POWAY, CA 92064-6817</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Small-Cap Value Fund, Inc.</w:t>
      </w: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X 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4" w:lineRule="exact"/>
        <w:rPr>
          <w:rFonts w:ascii="Arial" w:cs="Arial" w:eastAsia="Arial" w:hAnsi="Arial"/>
          <w:sz w:val="21"/>
          <w:szCs w:val="21"/>
          <w:color w:val="auto"/>
        </w:rPr>
      </w:pPr>
    </w:p>
    <w:p>
      <w:pPr>
        <w:ind w:right="2580" w:firstLine="8"/>
        <w:spacing w:after="0" w:line="543" w:lineRule="auto"/>
        <w:tabs>
          <w:tab w:leader="none" w:pos="13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360"/>
          </w:cols>
          <w:pgMar w:left="240" w:top="477" w:right="29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X Not Applicable.</w:t>
      </w:r>
    </w:p>
    <w:p>
      <w:pPr>
        <w:spacing w:after="0" w:line="245" w:lineRule="exact"/>
        <w:rPr>
          <w:sz w:val="20"/>
          <w:szCs w:val="20"/>
          <w:color w:val="auto"/>
        </w:rPr>
      </w:pPr>
    </w:p>
    <w:p>
      <w:pPr>
        <w:ind w:left="1040" w:right="180"/>
        <w:spacing w:after="0" w:line="264" w:lineRule="auto"/>
        <w:rPr>
          <w:sz w:val="20"/>
          <w:szCs w:val="20"/>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5" w:name="page6"/>
    <w:bookmarkEnd w:id="5"/>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SMALL-CAP VALUE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color w:val="auto"/>
        </w:rPr>
        <w:t>12/31/2014</w:t>
      </w:r>
    </w:p>
    <w:p>
      <w:pPr>
        <w:sectPr>
          <w:pgSz w:w="11900" w:h="16838" w:orient="portrait"/>
          <w:cols w:equalWidth="0" w:num="1">
            <w:col w:w="11360"/>
          </w:cols>
          <w:pgMar w:left="240" w:top="477" w:right="29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EXHIBIT A</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JOINT FILING OF SCHEDULE 13G</w:t>
      </w:r>
    </w:p>
    <w:p>
      <w:pPr>
        <w:spacing w:after="0" w:line="200" w:lineRule="exact"/>
        <w:rPr>
          <w:sz w:val="20"/>
          <w:szCs w:val="20"/>
          <w:color w:val="auto"/>
        </w:rPr>
      </w:pPr>
    </w:p>
    <w:p>
      <w:pPr>
        <w:spacing w:after="0" w:line="288"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Price Associates, Inc. (an investment adviser registered under the Investment Advisers Act of 1940), and T. Rowe Price Small-Cap Value Fund, Inc., 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13" w:lineRule="exact"/>
        <w:rPr>
          <w:sz w:val="20"/>
          <w:szCs w:val="20"/>
          <w:color w:val="auto"/>
        </w:rPr>
      </w:pPr>
    </w:p>
    <w:p>
      <w:pPr>
        <w:ind w:right="20" w:firstLine="734"/>
        <w:spacing w:after="0" w:line="249" w:lineRule="auto"/>
        <w:rPr>
          <w:sz w:val="20"/>
          <w:szCs w:val="20"/>
          <w:color w:val="auto"/>
        </w:rPr>
      </w:pPr>
      <w:r>
        <w:rPr>
          <w:rFonts w:ascii="Arial" w:cs="Arial" w:eastAsia="Arial" w:hAnsi="Arial"/>
          <w:sz w:val="21"/>
          <w:szCs w:val="21"/>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3" w:lineRule="exact"/>
        <w:rPr>
          <w:sz w:val="20"/>
          <w:szCs w:val="20"/>
          <w:color w:val="auto"/>
        </w:rPr>
      </w:pPr>
    </w:p>
    <w:p>
      <w:pPr>
        <w:ind w:right="140" w:firstLine="734"/>
        <w:spacing w:after="0" w:line="264" w:lineRule="auto"/>
        <w:rPr>
          <w:sz w:val="20"/>
          <w:szCs w:val="20"/>
          <w:color w:val="auto"/>
        </w:rPr>
      </w:pPr>
      <w:r>
        <w:rPr>
          <w:rFonts w:ascii="Arial" w:cs="Arial" w:eastAsia="Arial" w:hAnsi="Arial"/>
          <w:sz w:val="21"/>
          <w:szCs w:val="21"/>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SMALL-CAP VALUE</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17,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sectPr>
      <w:pgSz w:w="11900" w:h="16838" w:orient="portrait"/>
      <w:cols w:equalWidth="0" w:num="1">
        <w:col w:w="11400"/>
      </w:cols>
      <w:pgMar w:left="240" w:top="47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4"/>
      <w:numFmt w:val="bullet"/>
      <w:start w:val="1"/>
    </w:lvl>
  </w:abstractNum>
  <w:abstractNum w:abstractNumId="3">
    <w:nsid w:val="515F007C"/>
    <w:multiLevelType w:val="hybridMultilevel"/>
    <w:lvl w:ilvl="0">
      <w:lvlJc w:val="left"/>
      <w:lvlText w:val="9"/>
      <w:numFmt w:val="bullet"/>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X"/>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2019-12-05T08:56:07Z</dcterms:created>
  <dcterms:modified xsi:type="dcterms:W3CDTF">2019-12-05T08:56:07Z</dcterms:modified>
</cp:coreProperties>
</file>